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:Sathiya.P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:IV-B.TECH-IT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:611419205029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1240</Words>
  <Characters>6849</Characters>
  <Application>WPS Office</Application>
  <Paragraphs>55</Paragraphs>
  <CharactersWithSpaces>9880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2022-11-25T16:11:51Z</dcterms:created>
  <dc:creator>WPS Office</dc:creator>
  <lastModifiedBy>Redmi 8A Dual</lastModifiedBy>
  <dcterms:modified xsi:type="dcterms:W3CDTF">2022-11-25T16:20:56Z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9183d017fda943d09b04f6f1afa60d5c</vt:lpwstr>
  </property>
</Properties>
</file>