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744"/>
          <w:sz w:val="36"/>
        </w:rPr>
        <w:t>独り立ち見極めチェック表</w:t>
      </w:r>
    </w:p>
    <w:p>
      <w:pPr>
        <w:jc w:val="center"/>
      </w:pPr>
      <w:r>
        <w:rPr>
          <w:color w:val="475569"/>
          <w:sz w:val="20"/>
        </w:rPr>
        <w:t>神奈川エアーメッセンジャー株式会社　新人ドライバー独立運行可否判定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対象者氏名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入社日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年　　月　　日</w:t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評価日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年　　月　　日</w:t>
            </w:r>
          </w:p>
        </w:tc>
      </w:tr>
      <w:tr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指導員氏名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同乗研修期間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年　月　日 〜　月　日</w:t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担当便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評価者氏名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役職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1A2744"/>
          <w:sz w:val="20"/>
        </w:rPr>
        <w:t>【評価基準】</w:t>
      </w:r>
    </w:p>
    <w:p>
      <w:r>
        <w:rPr>
          <w:sz w:val="18"/>
        </w:rPr>
        <w:t>A：指示なしで正確に実施できる（独立運行可能レベル）</w:t>
        <w:br/>
        <w:t>B：概ね実施できるが、一部声掛けが必要</w:t>
        <w:br/>
        <w:t>C：指導・補助が必要（独立運行不可）</w:t>
      </w:r>
    </w:p>
    <w:p>
      <w:r>
        <w:rPr>
          <w:b/>
          <w:color w:val="DC2626"/>
          <w:sz w:val="18"/>
        </w:rPr>
        <w:t>※ 全項目が「A」または「B」で、かつ「C」が0件の場合に独立運行を許可する。</w:t>
      </w:r>
    </w:p>
    <w:p/>
    <w:p>
      <w:r>
        <w:rPr>
          <w:b/>
          <w:color w:val="1A2744"/>
          <w:sz w:val="22"/>
        </w:rPr>
        <w:t>1. 出庫前準備・点呼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953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評価項目</w:t>
            </w:r>
          </w:p>
        </w:tc>
        <w:tc>
          <w:tcPr>
            <w:tcW w:type="dxa" w:w="850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</w:t>
              <w:br/>
              <w:t>A/B/C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所見・備考</w:t>
            </w:r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身だしなみ（制服・社員証・腕章）を自主的に整えられる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必携品（キー＋腰紐・印鑑・免許証・目覚まし時計2個）を漏れなく準備できる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アルコール検査を正しい手順で自ら実施し、結果を報告できる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運行管理者への点呼報告（健康状態・車両点検結果）を正確に行える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運行指示書の内容（ルート・便名・積載物）を理解し確認できる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</w:tbl>
    <w:p/>
    <w:p>
      <w:r>
        <w:rPr>
          <w:b/>
          <w:color w:val="1A2744"/>
          <w:sz w:val="22"/>
        </w:rPr>
        <w:t>2. 車両日常点検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953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評価項目</w:t>
            </w:r>
          </w:p>
        </w:tc>
        <w:tc>
          <w:tcPr>
            <w:tcW w:type="dxa" w:w="850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</w:t>
              <w:br/>
              <w:t>A/B/C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所見・備考</w:t>
            </w:r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点検10項目を指示なしで全て実施できる（タイヤ・ブレーキ・灯火類・ミラー・オイル・冷却水・バッテリー・ベルト・ホーン・ウォッシャー）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異常を発見した場合、適切に運行管理者に報告できる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季節に応じた追加点検（夏季：空気圧管理 / 冬季：チェーン等）を理解している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</w:tbl>
    <w:p/>
    <w:p>
      <w:r>
        <w:rPr>
          <w:b/>
          <w:color w:val="1A2744"/>
          <w:sz w:val="22"/>
        </w:rPr>
        <w:t>3. 運転技術・安全運転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953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評価項目</w:t>
            </w:r>
          </w:p>
        </w:tc>
        <w:tc>
          <w:tcPr>
            <w:tcW w:type="dxa" w:w="850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</w:t>
              <w:br/>
              <w:t>A/B/C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所見・備考</w:t>
            </w:r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指定ルートを正確に記憶し、迷わずに運行できる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法定速度を遵守し、適切な車間距離を保って運転できる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左折時に一時停止し、ミラー＋目視で巻き込み確認ができる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内輪差・オーバーハングを意識した安全な右左折ができる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高さ制限のある箇所を把握し、事前確認ができる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バック時に下車して後方確認を行う習慣がある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雨天・悪天候時に車間距離拡大・エンジンブレーキの判断ができる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急加速・急ブレーキのないスムーズな運転ができる（デジタコ評価）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</w:tbl>
    <w:p/>
    <w:p>
      <w:r>
        <w:rPr>
          <w:b/>
          <w:color w:val="1A2744"/>
          <w:sz w:val="22"/>
        </w:rPr>
        <w:t>4. JP支店業務・郵便物取扱い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953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評価項目</w:t>
            </w:r>
          </w:p>
        </w:tc>
        <w:tc>
          <w:tcPr>
            <w:tcW w:type="dxa" w:w="850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</w:t>
              <w:br/>
              <w:t>A/B/C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所見・備考</w:t>
            </w:r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接車を正確に行える（ホーム中央・渡し板15cm内側設置）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安全処置を確実に行える（エンジン停止・キー抜き・施錠・輪留め）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局員への挨拶・丁寧な対応が自然にできる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局員立会いのもとで数量確認・授受簿記入を正確に行える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票札の識別（有証・無証・小包）が正しくできる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パレットの安全操作ができる（押し出し搬送・1個ずつ・引っ張り禁止）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ラッシングバー（上部）＋ベルト（下部）の固定を確実にできる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荷室の施錠を習慣的に行える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</w:tbl>
    <w:p/>
    <w:p>
      <w:r>
        <w:rPr>
          <w:b/>
          <w:color w:val="1A2744"/>
          <w:sz w:val="22"/>
        </w:rPr>
        <w:t>5. 残留点検・郵便事故防止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953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評価項目</w:t>
            </w:r>
          </w:p>
        </w:tc>
        <w:tc>
          <w:tcPr>
            <w:tcW w:type="dxa" w:w="850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</w:t>
              <w:br/>
              <w:t>A/B/C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所見・備考</w:t>
            </w:r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時計回りの法則（右→奥→左→床）で残留点検を漏れなく実施できる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指差呼称（「右よし、奥よし、左よし、床よし」）を声出しで行える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荷室内の異常（残留物・損傷・不審物）を発見した場合、即時報告できる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郵便犯罪の重大性（開封・隠匿＝3年以下懲役）を理解し、適切な管理ができる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</w:tbl>
    <w:p/>
    <w:p>
      <w:r>
        <w:rPr>
          <w:b/>
          <w:color w:val="1A2744"/>
          <w:sz w:val="22"/>
        </w:rPr>
        <w:t>6. 運行管理・記録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953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評価項目</w:t>
            </w:r>
          </w:p>
        </w:tc>
        <w:tc>
          <w:tcPr>
            <w:tcW w:type="dxa" w:w="850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</w:t>
              <w:br/>
              <w:t>A/B/C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所見・備考</w:t>
            </w:r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デジタコの操作（始業・休憩・終業ボタン）を正確に行える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運転日報を正確に記入できる（走行距離・時間・経路）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運送記（授受簿）の記載漏れを自ら確認できる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15分以上の遅延時に速やかに運行管理者へ報告する判断ができる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</w:tbl>
    <w:p/>
    <w:p>
      <w:r>
        <w:rPr>
          <w:b/>
          <w:color w:val="1A2744"/>
          <w:sz w:val="22"/>
        </w:rPr>
        <w:t>7. 報連相・ビジネスマナー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953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評価項目</w:t>
            </w:r>
          </w:p>
        </w:tc>
        <w:tc>
          <w:tcPr>
            <w:tcW w:type="dxa" w:w="850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</w:t>
              <w:br/>
              <w:t>A/B/C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所見・備考</w:t>
            </w:r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遅延・トラブル発生時に躊躇なく運行管理者に報告できる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小さな異常やヒヤリハットも報告する意識がある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郵便局員・関係者に対して適切な言葉遣い・態度で接することができる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判断に迷った場合に自己判断せず、上司に相談できる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</w:tbl>
    <w:p/>
    <w:p>
      <w:r>
        <w:rPr>
          <w:b/>
          <w:color w:val="1A2744"/>
          <w:sz w:val="22"/>
        </w:rPr>
        <w:t>8. 緊急時対応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953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評価項目</w:t>
            </w:r>
          </w:p>
        </w:tc>
        <w:tc>
          <w:tcPr>
            <w:tcW w:type="dxa" w:w="850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</w:t>
              <w:br/>
              <w:t>A/B/C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所見・備考</w:t>
            </w:r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交通事故発生時の初動対応5ステップ（救護→通報→安全確保→会社連絡→記録）を説明できる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郵便事故（誤送・残留・破損）発生時の報告手順を理解している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車両故障・パンク時の対処と連絡手順を理解している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</w:tbl>
    <w:p/>
    <w:p>
      <w:r>
        <w:rPr>
          <w:b/>
          <w:color w:val="1A2744"/>
          <w:sz w:val="22"/>
        </w:rPr>
        <w:t>9. 健康管理・法令遵守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953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評価項目</w:t>
            </w:r>
          </w:p>
        </w:tc>
        <w:tc>
          <w:tcPr>
            <w:tcW w:type="dxa" w:w="850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評価</w:t>
              <w:br/>
              <w:t>A/B/C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所見・備考</w:t>
            </w:r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体調不良時に無理をせず運行管理者に申告できる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改善基準告示の主要数値（拘束13h・休息11h・連続運転4h）を理解している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飲酒翌日の残留アルコールのリスクを理解し、自己管理できる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  <w:tr>
        <w:trPr>
          <w:trHeight w:val="360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8"/>
              </w:rPr>
              <w:t>疲労セルフチェック（身体的・精神的）を自ら実施できる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551"/>
            <w:vAlign w:val="center"/>
          </w:tcPr>
          <w:p>
            <w:r/>
          </w:p>
        </w:tc>
      </w:tr>
    </w:tbl>
    <w:p/>
    <w:p>
      <w:r>
        <w:br w:type="page"/>
      </w:r>
    </w:p>
    <w:p>
      <w:r>
        <w:rPr>
          <w:b/>
          <w:color w:val="1A2744"/>
          <w:sz w:val="28"/>
        </w:rPr>
        <w:t>■ 総合判定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評価カテゴリ</w:t>
            </w:r>
          </w:p>
        </w:tc>
        <w:tc>
          <w:tcPr>
            <w:tcW w:type="dxa" w:w="2466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 の数</w:t>
            </w:r>
          </w:p>
        </w:tc>
        <w:tc>
          <w:tcPr>
            <w:tcW w:type="dxa" w:w="2466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 の数</w:t>
            </w:r>
          </w:p>
        </w:tc>
        <w:tc>
          <w:tcPr>
            <w:tcW w:type="dxa" w:w="2466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 の数</w:t>
            </w:r>
          </w:p>
        </w:tc>
      </w:tr>
      <w:tr>
        <w:trPr>
          <w:trHeight w:val="340" w:hRule="atLeast"/>
        </w:trPr>
        <w:tc>
          <w:tcPr>
            <w:tcW w:type="dxa" w:w="2466"/>
          </w:tcPr>
          <w:p>
            <w:r/>
            <w:r>
              <w:rPr>
                <w:sz w:val="18"/>
              </w:rPr>
              <w:t>1. 出庫前準備・点呼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  <w:tr>
        <w:trPr>
          <w:trHeight w:val="340" w:hRule="atLeast"/>
        </w:trPr>
        <w:tc>
          <w:tcPr>
            <w:tcW w:type="dxa" w:w="2466"/>
          </w:tcPr>
          <w:p>
            <w:r/>
            <w:r>
              <w:rPr>
                <w:sz w:val="18"/>
              </w:rPr>
              <w:t>2. 車両日常点検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  <w:tr>
        <w:trPr>
          <w:trHeight w:val="340" w:hRule="atLeast"/>
        </w:trPr>
        <w:tc>
          <w:tcPr>
            <w:tcW w:type="dxa" w:w="2466"/>
          </w:tcPr>
          <w:p>
            <w:r/>
            <w:r>
              <w:rPr>
                <w:sz w:val="18"/>
              </w:rPr>
              <w:t>3. 運転技術・安全運転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  <w:tr>
        <w:trPr>
          <w:trHeight w:val="340" w:hRule="atLeast"/>
        </w:trPr>
        <w:tc>
          <w:tcPr>
            <w:tcW w:type="dxa" w:w="2466"/>
          </w:tcPr>
          <w:p>
            <w:r/>
            <w:r>
              <w:rPr>
                <w:sz w:val="18"/>
              </w:rPr>
              <w:t>4. JP支店業務・郵便物取扱い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  <w:tr>
        <w:trPr>
          <w:trHeight w:val="340" w:hRule="atLeast"/>
        </w:trPr>
        <w:tc>
          <w:tcPr>
            <w:tcW w:type="dxa" w:w="2466"/>
          </w:tcPr>
          <w:p>
            <w:r/>
            <w:r>
              <w:rPr>
                <w:sz w:val="18"/>
              </w:rPr>
              <w:t>5. 残留点検・郵便事故防止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  <w:tr>
        <w:trPr>
          <w:trHeight w:val="340" w:hRule="atLeast"/>
        </w:trPr>
        <w:tc>
          <w:tcPr>
            <w:tcW w:type="dxa" w:w="2466"/>
          </w:tcPr>
          <w:p>
            <w:r/>
            <w:r>
              <w:rPr>
                <w:sz w:val="18"/>
              </w:rPr>
              <w:t>6. 運行管理・記録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  <w:tr>
        <w:trPr>
          <w:trHeight w:val="340" w:hRule="atLeast"/>
        </w:trPr>
        <w:tc>
          <w:tcPr>
            <w:tcW w:type="dxa" w:w="2466"/>
          </w:tcPr>
          <w:p>
            <w:r/>
            <w:r>
              <w:rPr>
                <w:sz w:val="18"/>
              </w:rPr>
              <w:t>7. 報連相・ビジネスマナー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  <w:tr>
        <w:trPr>
          <w:trHeight w:val="340" w:hRule="atLeast"/>
        </w:trPr>
        <w:tc>
          <w:tcPr>
            <w:tcW w:type="dxa" w:w="2466"/>
          </w:tcPr>
          <w:p>
            <w:r/>
            <w:r>
              <w:rPr>
                <w:sz w:val="18"/>
              </w:rPr>
              <w:t>8. 緊急時対応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  <w:tr>
        <w:trPr>
          <w:trHeight w:val="340" w:hRule="atLeast"/>
        </w:trPr>
        <w:tc>
          <w:tcPr>
            <w:tcW w:type="dxa" w:w="2466"/>
          </w:tcPr>
          <w:p>
            <w:r/>
            <w:r>
              <w:rPr>
                <w:sz w:val="18"/>
              </w:rPr>
              <w:t>9. 健康管理・法令遵守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  <w:tr>
        <w:trPr>
          <w:trHeight w:val="400" w:hRule="atLeast"/>
        </w:trPr>
        <w:tc>
          <w:tcPr>
            <w:tcW w:type="dxa" w:w="2466"/>
            <w:shd w:fill="e8f0fe" w:val="clear"/>
          </w:tcPr>
          <w:p>
            <w:r/>
            <w:r>
              <w:rPr>
                <w:b/>
                <w:sz w:val="20"/>
              </w:rPr>
              <w:t>合　計</w:t>
            </w:r>
          </w:p>
        </w:tc>
        <w:tc>
          <w:tcPr>
            <w:tcW w:type="dxa" w:w="2466"/>
            <w:shd w:fill="e8f0fe" w:val="clear"/>
          </w:tcPr>
          <w:p>
            <w:pPr>
              <w:jc w:val="center"/>
            </w:pPr>
            <w:r/>
          </w:p>
        </w:tc>
        <w:tc>
          <w:tcPr>
            <w:tcW w:type="dxa" w:w="2466"/>
            <w:shd w:fill="e8f0fe" w:val="clear"/>
          </w:tcPr>
          <w:p>
            <w:pPr>
              <w:jc w:val="center"/>
            </w:pPr>
            <w:r/>
          </w:p>
        </w:tc>
        <w:tc>
          <w:tcPr>
            <w:tcW w:type="dxa" w:w="2466"/>
            <w:shd w:fill="e8f0fe" w:val="clear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00" w:hRule="atLeast"/>
        </w:trPr>
        <w:tc>
          <w:tcPr>
            <w:tcW w:type="dxa" w:w="1984"/>
            <w:shd w:fill="f0f5ff" w:val="clear"/>
          </w:tcPr>
          <w:p>
            <w:r/>
            <w:r>
              <w:rPr>
                <w:b/>
                <w:sz w:val="22"/>
              </w:rPr>
              <w:t>最終判定</w:t>
            </w:r>
          </w:p>
        </w:tc>
        <w:tc>
          <w:tcPr>
            <w:tcW w:type="dxa" w:w="4933"/>
          </w:tcPr>
          <w:p>
            <w:pPr>
              <w:jc w:val="center"/>
            </w:pPr>
            <w:r/>
            <w:r>
              <w:rPr>
                <w:b/>
                <w:sz w:val="24"/>
              </w:rPr>
              <w:t>独立運行許可　　/　　独立運行不可（継続研修）</w:t>
            </w:r>
          </w:p>
        </w:tc>
      </w:tr>
      <w:tr>
        <w:tc>
          <w:tcPr>
            <w:tcW w:type="dxa" w:w="4933"/>
            <w:shd w:fill="f0f5ff" w:val="clear"/>
          </w:tcPr>
          <w:p>
            <w:r/>
            <w:r>
              <w:rPr>
                <w:b/>
                <w:sz w:val="18"/>
              </w:rPr>
              <w:t>独立運行</w:t>
              <w:br/>
              <w:t>開始予定日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 xml:space="preserve">　　　　年　　　月　　　日より</w:t>
            </w:r>
          </w:p>
        </w:tc>
      </w:tr>
      <w:tr>
        <w:trPr>
          <w:trHeight w:val="600" w:hRule="atLeast"/>
        </w:trPr>
        <w:tc>
          <w:tcPr>
            <w:tcW w:type="dxa" w:w="4933"/>
            <w:shd w:fill="f0f5ff" w:val="clear"/>
          </w:tcPr>
          <w:p>
            <w:r/>
            <w:r>
              <w:rPr>
                <w:b/>
                <w:sz w:val="18"/>
              </w:rPr>
              <w:t>条件・付帯事項</w:t>
            </w:r>
          </w:p>
        </w:tc>
        <w:tc>
          <w:tcPr>
            <w:tcW w:type="dxa" w:w="4933"/>
          </w:tcPr>
          <w:p>
            <w:r/>
          </w:p>
        </w:tc>
      </w:tr>
      <w:tr>
        <w:trPr>
          <w:trHeight w:val="600" w:hRule="atLeast"/>
        </w:trPr>
        <w:tc>
          <w:tcPr>
            <w:tcW w:type="dxa" w:w="4933"/>
            <w:shd w:fill="f0f5ff" w:val="clear"/>
          </w:tcPr>
          <w:p>
            <w:r/>
            <w:r>
              <w:rPr>
                <w:b/>
                <w:sz w:val="18"/>
              </w:rPr>
              <w:t>不可の場合の</w:t>
              <w:br/>
              <w:t>改善指導計画</w:t>
            </w:r>
          </w:p>
        </w:tc>
        <w:tc>
          <w:tcPr>
            <w:tcW w:type="dxa" w:w="4933"/>
          </w:tcPr>
          <w:p>
            <w:r/>
          </w:p>
        </w:tc>
      </w:tr>
    </w:tbl>
    <w:p/>
    <w:p>
      <w:r>
        <w:rPr>
          <w:b/>
          <w:color w:val="1A2744"/>
          <w:sz w:val="22"/>
        </w:rPr>
        <w:t>■ 総合コメント（指導員所見）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1500" w:hRule="atLeast"/>
        </w:trPr>
        <w:tc>
          <w:tcPr>
            <w:tcW w:type="dxa" w:w="986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f0f5ff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指導員</w:t>
            </w:r>
          </w:p>
        </w:tc>
        <w:tc>
          <w:tcPr>
            <w:tcW w:type="dxa" w:w="2466"/>
            <w:shd w:fill="f0f5ff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運行管理者</w:t>
            </w:r>
          </w:p>
        </w:tc>
        <w:tc>
          <w:tcPr>
            <w:tcW w:type="dxa" w:w="2466"/>
            <w:shd w:fill="f0f5ff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所長</w:t>
            </w:r>
          </w:p>
        </w:tc>
        <w:tc>
          <w:tcPr>
            <w:tcW w:type="dxa" w:w="2466"/>
            <w:shd w:fill="f0f5ff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本人</w:t>
            </w:r>
          </w:p>
        </w:tc>
      </w:tr>
      <w:tr>
        <w:trPr>
          <w:trHeight w:val="700" w:hRule="atLeast"/>
        </w:trPr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  <w:tc>
          <w:tcPr>
            <w:tcW w:type="dxa" w:w="2466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