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2"/>
        </w:rPr>
        <w:t>神奈川エアーメッセンジャー株式会社　運転者教育資料</w:t>
      </w:r>
    </w:p>
    <w:p/>
    <w:p/>
    <w:p/>
    <w:p/>
    <w:p/>
    <w:p/>
    <w:p/>
    <w:p/>
    <w:p/>
    <w:p/>
    <w:p>
      <w:pPr>
        <w:jc w:val="center"/>
      </w:pPr>
      <w:r>
        <w:rPr>
          <w:b/>
          <w:sz w:val="40"/>
        </w:rPr>
        <w:t>過積載防止と安全運行</w:t>
      </w:r>
    </w:p>
    <w:p/>
    <w:p>
      <w:pPr>
        <w:jc w:val="center"/>
      </w:pPr>
      <w:r>
        <w:rPr>
          <w:sz w:val="24"/>
        </w:rPr>
        <w:t>教育テーマ：過積載の危険性</w:t>
      </w:r>
    </w:p>
    <w:p>
      <w:pPr>
        <w:jc w:val="center"/>
      </w:pPr>
      <w:r>
        <w:rPr>
          <w:sz w:val="24"/>
        </w:rPr>
        <w:t>講師：渡邊昇二</w:t>
      </w:r>
    </w:p>
    <w:p>
      <w:r>
        <w:br w:type="page"/>
      </w:r>
    </w:p>
    <w:p>
      <w:pPr>
        <w:pStyle w:val="Heading2"/>
        <w:spacing w:before="200" w:after="100"/>
      </w:pPr>
      <w:r>
        <w:rPr>
          <w:b/>
          <w:sz w:val="26"/>
        </w:rPr>
        <w:t>過積載の法的基準と罰則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029"/>
      </w:tblGrid>
      <w:tr>
        <w:tc>
          <w:tcPr>
            <w:tcW w:type="dxa" w:w="9029"/>
            <w:shd w:fill="E7F0F7"/>
          </w:tcPr>
          <w:p>
            <w:pPr>
              <w:spacing w:after="100"/>
            </w:pPr>
            <w:r>
              <w:rPr>
                <w:b/>
                <w:color w:val="2E75B5"/>
                <w:sz w:val="24"/>
              </w:rPr>
              <w:t>法令</w:t>
            </w:r>
          </w:p>
          <w:p>
            <w:pPr>
              <w:spacing w:after="0"/>
            </w:pPr>
            <w:r>
              <w:rPr>
                <w:sz w:val="22"/>
              </w:rPr>
              <w:t>車両制限令により過積載は厳しく制限されている</w:t>
            </w:r>
          </w:p>
        </w:tc>
      </w:tr>
    </w:tbl>
    <w:p>
      <w:pPr>
        <w:pStyle w:val="ListBullet"/>
        <w:spacing w:after="60"/>
      </w:pPr>
      <w:r>
        <w:rPr>
          <w:sz w:val="22"/>
        </w:rPr>
        <w:t>総重量制限：大型トラック25t以下</w:t>
      </w:r>
    </w:p>
    <w:p>
      <w:pPr>
        <w:pStyle w:val="ListBullet"/>
        <w:spacing w:after="60"/>
      </w:pPr>
      <w:r>
        <w:rPr>
          <w:sz w:val="22"/>
        </w:rPr>
        <w:t>軸重制限：前軸10t、後軸9t（二軸）</w:t>
      </w:r>
    </w:p>
    <w:p>
      <w:pPr>
        <w:pStyle w:val="ListBullet"/>
        <w:spacing w:after="60"/>
      </w:pPr>
      <w:r>
        <w:rPr>
          <w:sz w:val="22"/>
        </w:rPr>
        <w:t>罰則：50万円以下の罰金、点数2点</w:t>
      </w:r>
    </w:p>
    <w:p>
      <w:pPr>
        <w:pStyle w:val="ListBullet"/>
        <w:spacing w:after="60"/>
      </w:pPr>
      <w:r>
        <w:rPr>
          <w:sz w:val="22"/>
        </w:rPr>
        <w:t>法人罰：100万円以下の罰金</w:t>
      </w:r>
    </w:p>
    <w:p>
      <w:pPr>
        <w:spacing w:after="80"/>
      </w:pPr>
    </w:p>
    <w:p>
      <w:pPr>
        <w:pStyle w:val="Heading2"/>
        <w:spacing w:before="200" w:after="100"/>
      </w:pPr>
      <w:r>
        <w:rPr>
          <w:b/>
          <w:sz w:val="26"/>
        </w:rPr>
        <w:t>過積載が車両に与える影響</w:t>
      </w:r>
    </w:p>
    <w:p>
      <w:pPr>
        <w:pStyle w:val="ListBullet"/>
        <w:spacing w:after="60"/>
      </w:pPr>
      <w:r>
        <w:rPr>
          <w:sz w:val="22"/>
        </w:rPr>
        <w:t>ブレーキ性能低下：制動距離が大幅増加</w:t>
      </w:r>
    </w:p>
    <w:p>
      <w:pPr>
        <w:pStyle w:val="ListBullet"/>
        <w:spacing w:after="60"/>
      </w:pPr>
      <w:r>
        <w:rPr>
          <w:sz w:val="22"/>
        </w:rPr>
        <w:t>タイヤ：過熱、バースト、異常磨耗</w:t>
      </w:r>
    </w:p>
    <w:p>
      <w:pPr>
        <w:pStyle w:val="ListBullet"/>
        <w:spacing w:after="60"/>
      </w:pPr>
      <w:r>
        <w:rPr>
          <w:sz w:val="22"/>
        </w:rPr>
        <w:t>サスペンション：破損、落下リスク</w:t>
      </w:r>
    </w:p>
    <w:p>
      <w:pPr>
        <w:pStyle w:val="ListBullet"/>
        <w:spacing w:after="60"/>
      </w:pPr>
      <w:r>
        <w:rPr>
          <w:sz w:val="22"/>
        </w:rPr>
        <w:t>エンジン：過負荷により走行不能</w:t>
      </w:r>
    </w:p>
    <w:p>
      <w:pPr>
        <w:spacing w:after="80"/>
      </w:pPr>
    </w:p>
    <w:p>
      <w:pPr>
        <w:pStyle w:val="Heading2"/>
        <w:spacing w:before="200" w:after="100"/>
      </w:pPr>
      <w:r>
        <w:rPr>
          <w:b/>
          <w:sz w:val="26"/>
        </w:rPr>
        <w:t>過積載による事故事例と分析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029"/>
      </w:tblGrid>
      <w:tr>
        <w:tc>
          <w:tcPr>
            <w:tcW w:type="dxa" w:w="9029"/>
            <w:shd w:fill="E7F0F7"/>
          </w:tcPr>
          <w:p>
            <w:pPr>
              <w:spacing w:after="100"/>
            </w:pPr>
            <w:r>
              <w:rPr>
                <w:b/>
                <w:color w:val="2E75B5"/>
                <w:sz w:val="24"/>
              </w:rPr>
              <w:t>実例</w:t>
            </w:r>
          </w:p>
          <w:p>
            <w:pPr>
              <w:spacing w:after="0"/>
            </w:pPr>
            <w:r>
              <w:rPr>
                <w:sz w:val="22"/>
              </w:rPr>
              <w:t>過積載トラックの事故は重大化しやすい</w:t>
            </w:r>
          </w:p>
        </w:tc>
      </w:tr>
    </w:tbl>
    <w:p>
      <w:pPr>
        <w:pStyle w:val="ListBullet"/>
        <w:spacing w:after="60"/>
      </w:pPr>
      <w:r>
        <w:rPr>
          <w:sz w:val="22"/>
        </w:rPr>
        <w:t>制動距離延長による追突事故</w:t>
      </w:r>
    </w:p>
    <w:p>
      <w:pPr>
        <w:pStyle w:val="ListBullet"/>
        <w:spacing w:after="60"/>
      </w:pPr>
      <w:r>
        <w:rPr>
          <w:sz w:val="22"/>
        </w:rPr>
        <w:t>カーブでの横転：死傷事故に直結</w:t>
      </w:r>
    </w:p>
    <w:p>
      <w:pPr>
        <w:pStyle w:val="ListBullet"/>
        <w:spacing w:after="60"/>
      </w:pPr>
      <w:r>
        <w:rPr>
          <w:sz w:val="22"/>
        </w:rPr>
        <w:t>他車への巻き込み：被害者の生涯を変える</w:t>
      </w:r>
    </w:p>
    <w:p>
      <w:pPr>
        <w:spacing w:after="80"/>
      </w:pPr>
    </w:p>
    <w:p>
      <w:pPr>
        <w:pStyle w:val="Heading2"/>
        <w:spacing w:before="200" w:after="100"/>
      </w:pPr>
      <w:r>
        <w:rPr>
          <w:b/>
          <w:sz w:val="26"/>
        </w:rPr>
        <w:t>新年の安全運転決意と目標設定</w:t>
      </w:r>
    </w:p>
    <w:p>
      <w:pPr>
        <w:pStyle w:val="ListBullet"/>
        <w:spacing w:after="60"/>
      </w:pPr>
      <w:r>
        <w:rPr>
          <w:sz w:val="22"/>
        </w:rPr>
        <w:t>個人目標：無事故・無違反の達成</w:t>
      </w:r>
    </w:p>
    <w:p>
      <w:pPr>
        <w:pStyle w:val="ListBullet"/>
        <w:spacing w:after="60"/>
      </w:pPr>
      <w:r>
        <w:rPr>
          <w:sz w:val="22"/>
        </w:rPr>
        <w:t>チーム目標：運輸安全マネジメント方針への参画</w:t>
      </w:r>
    </w:p>
    <w:p>
      <w:pPr>
        <w:pStyle w:val="ListBullet"/>
        <w:spacing w:after="60"/>
      </w:pPr>
      <w:r>
        <w:rPr>
          <w:sz w:val="22"/>
        </w:rPr>
        <w:t>会社の安全文化構築への貢献</w:t>
      </w:r>
    </w:p>
    <w:p>
      <w:pPr>
        <w:pStyle w:val="ListBullet"/>
        <w:spacing w:after="60"/>
      </w:pPr>
      <w:r>
        <w:rPr>
          <w:sz w:val="22"/>
        </w:rPr>
        <w:t>年度ごとの評価、表彰制度の活用</w:t>
      </w:r>
    </w:p>
    <w:p>
      <w:pPr>
        <w:spacing w:after="80"/>
      </w:pPr>
    </w:p>
    <w:p>
      <w:pPr>
        <w:pStyle w:val="Heading2"/>
        <w:spacing w:before="200" w:after="100"/>
      </w:pPr>
      <w:r>
        <w:rPr>
          <w:b/>
          <w:sz w:val="26"/>
        </w:rPr>
        <w:t>軸重規制と橋梁等のインフラ保護</w:t>
      </w:r>
    </w:p>
    <w:p>
      <w:pPr>
        <w:pStyle w:val="ListBullet"/>
        <w:spacing w:after="60"/>
      </w:pPr>
      <w:r>
        <w:rPr>
          <w:sz w:val="22"/>
        </w:rPr>
        <w:t>橋梁：軸重超過により劣化が加速</w:t>
      </w:r>
    </w:p>
    <w:p>
      <w:pPr>
        <w:pStyle w:val="ListBullet"/>
        <w:spacing w:after="60"/>
      </w:pPr>
      <w:r>
        <w:rPr>
          <w:sz w:val="22"/>
        </w:rPr>
        <w:t>舗装路面：過積載による亀裂、陥没</w:t>
      </w:r>
    </w:p>
    <w:p>
      <w:pPr>
        <w:pStyle w:val="ListBullet"/>
        <w:spacing w:after="60"/>
      </w:pPr>
      <w:r>
        <w:rPr>
          <w:sz w:val="22"/>
        </w:rPr>
        <w:t>インフラ破損費用は運送事業者の負担に</w:t>
      </w:r>
    </w:p>
    <w:p>
      <w:pPr>
        <w:spacing w:after="80"/>
      </w:pPr>
    </w:p>
    <w:p>
      <w:pPr>
        <w:pStyle w:val="Heading2"/>
        <w:spacing w:before="200" w:after="100"/>
      </w:pPr>
      <w:r>
        <w:rPr>
          <w:b/>
          <w:sz w:val="26"/>
        </w:rPr>
        <w:t>荷主との適正な関係構築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029"/>
      </w:tblGrid>
      <w:tr>
        <w:tc>
          <w:tcPr>
            <w:tcW w:type="dxa" w:w="9029"/>
            <w:shd w:fill="E7F0F7"/>
          </w:tcPr>
          <w:p>
            <w:pPr>
              <w:spacing w:after="100"/>
            </w:pPr>
            <w:r>
              <w:rPr>
                <w:b/>
                <w:color w:val="2E75B5"/>
                <w:sz w:val="24"/>
              </w:rPr>
              <w:t>対応方法</w:t>
            </w:r>
          </w:p>
          <w:p>
            <w:pPr>
              <w:spacing w:after="0"/>
            </w:pPr>
            <w:r>
              <w:rPr>
                <w:sz w:val="22"/>
              </w:rPr>
              <w:t>過積載要求に毅然として対応する</w:t>
            </w:r>
          </w:p>
        </w:tc>
      </w:tr>
    </w:tbl>
    <w:p>
      <w:pPr>
        <w:pStyle w:val="ListBullet"/>
        <w:spacing w:after="60"/>
      </w:pPr>
      <w:r>
        <w:rPr>
          <w:sz w:val="22"/>
        </w:rPr>
        <w:t>法令遵守の重要性を丁寧に説明</w:t>
      </w:r>
    </w:p>
    <w:p>
      <w:pPr>
        <w:pStyle w:val="ListBullet"/>
        <w:spacing w:after="60"/>
      </w:pPr>
      <w:r>
        <w:rPr>
          <w:sz w:val="22"/>
        </w:rPr>
        <w:t>複数便への分割提案</w:t>
      </w:r>
    </w:p>
    <w:p>
      <w:pPr>
        <w:pStyle w:val="ListBullet"/>
        <w:spacing w:after="60"/>
      </w:pPr>
      <w:r>
        <w:rPr>
          <w:sz w:val="22"/>
        </w:rPr>
        <w:t>配車部門への報告、会社としての対応</w:t>
      </w:r>
    </w:p>
    <w:p>
      <w:pPr>
        <w:pStyle w:val="ListBullet"/>
        <w:spacing w:after="60"/>
      </w:pPr>
      <w:r>
        <w:rPr>
          <w:sz w:val="22"/>
        </w:rPr>
        <w:t>長期的信頼関係の構築重視</w:t>
      </w:r>
    </w:p>
    <w:p>
      <w:pPr>
        <w:spacing w:after="80"/>
      </w:pPr>
    </w:p>
    <w:p>
      <w:pPr>
        <w:pStyle w:val="Heading2"/>
        <w:spacing w:before="200" w:after="100"/>
      </w:pPr>
      <w:r>
        <w:rPr>
          <w:b/>
          <w:sz w:val="26"/>
        </w:rPr>
        <w:t>特殊車両通行許可制度の概要</w:t>
      </w:r>
    </w:p>
    <w:p>
      <w:pPr>
        <w:pStyle w:val="ListBullet"/>
        <w:spacing w:after="60"/>
      </w:pPr>
      <w:r>
        <w:rPr>
          <w:sz w:val="22"/>
        </w:rPr>
        <w:t>制限値超過の貨物は許可が必要</w:t>
      </w:r>
    </w:p>
    <w:p>
      <w:pPr>
        <w:pStyle w:val="ListBullet"/>
        <w:spacing w:after="60"/>
      </w:pPr>
      <w:r>
        <w:rPr>
          <w:sz w:val="22"/>
        </w:rPr>
        <w:t>事前申請：4週間程度の期間が必要</w:t>
      </w:r>
    </w:p>
    <w:p>
      <w:pPr>
        <w:pStyle w:val="ListBullet"/>
        <w:spacing w:after="60"/>
      </w:pPr>
      <w:r>
        <w:rPr>
          <w:sz w:val="22"/>
        </w:rPr>
        <w:t>許可経路に従った走行が義務</w:t>
      </w:r>
    </w:p>
    <w:p>
      <w:pPr>
        <w:pStyle w:val="ListBullet"/>
        <w:spacing w:after="60"/>
      </w:pPr>
      <w:r>
        <w:rPr>
          <w:sz w:val="22"/>
        </w:rPr>
        <w:t>無許可での違反は重大違反扱い</w:t>
      </w:r>
    </w:p>
    <w:p>
      <w:r>
        <w:br w:type="page"/>
      </w:r>
    </w:p>
    <w:p>
      <w:pPr>
        <w:pStyle w:val="Heading2"/>
        <w:spacing w:before="200" w:after="100"/>
      </w:pPr>
      <w:r>
        <w:rPr>
          <w:b/>
          <w:sz w:val="26"/>
        </w:rPr>
        <w:t>確認テスト</w:t>
      </w:r>
    </w:p>
    <w:p/>
    <w:p>
      <w:pPr>
        <w:spacing w:after="120"/>
      </w:pPr>
      <w:r>
        <w:rPr>
          <w:b/>
          <w:sz w:val="22"/>
        </w:rPr>
        <w:t>1. 大型トラックの法定総重量制限値は何トンですか？</w:t>
      </w:r>
    </w:p>
    <w:p/>
    <w:p/>
    <w:p>
      <w:pPr>
        <w:spacing w:after="120"/>
      </w:pPr>
      <w:r>
        <w:rPr>
          <w:b/>
          <w:sz w:val="22"/>
        </w:rPr>
        <w:t>2. 過積載によるタイヤへの具体的な悪影響を3つ以上述べてください。</w:t>
      </w:r>
    </w:p>
    <w:p/>
    <w:p/>
    <w:p>
      <w:pPr>
        <w:spacing w:after="120"/>
      </w:pPr>
      <w:r>
        <w:rPr>
          <w:b/>
          <w:sz w:val="22"/>
        </w:rPr>
        <w:t>3. 特殊車両通行許可申請に必要な標準的な期間は何週間ですか？</w:t>
      </w:r>
    </w:p>
    <w:p/>
    <w:p/>
    <w:sectPr w:rsidR="00FC693F" w:rsidRPr="0006063C" w:rsidSect="00034616">
      <w:headerReference w:type="default" r:id="rId9"/>
      <w:pgSz w:w="11909" w:h="1684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40"/>
    </w:pPr>
    <w:r>
      <w:rPr>
        <w:sz w:val="18"/>
      </w:rPr>
      <w:t>神奈川エアーメッセンジャー株式会社　運転者教育資料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