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神奈川エアーメッセンジャー株式会社　運転者教育資料</w:t>
      </w:r>
    </w:p>
    <w:p/>
    <w:p/>
    <w:p/>
    <w:p/>
    <w:p/>
    <w:p/>
    <w:p/>
    <w:p/>
    <w:p/>
    <w:p/>
    <w:p>
      <w:pPr>
        <w:jc w:val="center"/>
      </w:pPr>
      <w:r>
        <w:rPr>
          <w:b/>
          <w:sz w:val="40"/>
        </w:rPr>
        <w:t>危険物運搬の安全知識</w:t>
      </w:r>
    </w:p>
    <w:p/>
    <w:p>
      <w:pPr>
        <w:jc w:val="center"/>
      </w:pPr>
      <w:r>
        <w:rPr>
          <w:sz w:val="24"/>
        </w:rPr>
        <w:t>教育テーマ：危険物を運搬する場合に留意すべき事項</w:t>
      </w:r>
    </w:p>
    <w:p>
      <w:pPr>
        <w:jc w:val="center"/>
      </w:pPr>
      <w:r>
        <w:rPr>
          <w:sz w:val="24"/>
        </w:rPr>
        <w:t>講師：渡邊昇二</w:t>
      </w:r>
    </w:p>
    <w:p>
      <w:r>
        <w:br w:type="page"/>
      </w:r>
    </w:p>
    <w:p>
      <w:pPr>
        <w:pStyle w:val="Heading2"/>
        <w:spacing w:before="200" w:after="100"/>
      </w:pPr>
      <w:r>
        <w:rPr>
          <w:b/>
          <w:sz w:val="26"/>
        </w:rPr>
        <w:t>危険物の分類と表示</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分類</w:t>
            </w:r>
          </w:p>
          <w:p>
            <w:pPr>
              <w:spacing w:after="0"/>
            </w:pPr>
            <w:r>
              <w:rPr>
                <w:sz w:val="22"/>
              </w:rPr>
              <w:t>危険物は9つの等級に分類される</w:t>
            </w:r>
          </w:p>
        </w:tc>
      </w:tr>
    </w:tbl>
    <w:p>
      <w:pPr>
        <w:pStyle w:val="ListBullet"/>
        <w:spacing w:after="60"/>
      </w:pPr>
      <w:r>
        <w:rPr>
          <w:sz w:val="22"/>
        </w:rPr>
        <w:t>第1類：爆発性物質</w:t>
      </w:r>
    </w:p>
    <w:p>
      <w:pPr>
        <w:pStyle w:val="ListBullet"/>
        <w:spacing w:after="60"/>
      </w:pPr>
      <w:r>
        <w:rPr>
          <w:sz w:val="22"/>
        </w:rPr>
        <w:t>第2類：圧縮ガス、液化ガス</w:t>
      </w:r>
    </w:p>
    <w:p>
      <w:pPr>
        <w:pStyle w:val="ListBullet"/>
        <w:spacing w:after="60"/>
      </w:pPr>
      <w:r>
        <w:rPr>
          <w:sz w:val="22"/>
        </w:rPr>
        <w:t>第3類：引火性液体</w:t>
      </w:r>
    </w:p>
    <w:p>
      <w:pPr>
        <w:pStyle w:val="ListBullet"/>
        <w:spacing w:after="60"/>
      </w:pPr>
      <w:r>
        <w:rPr>
          <w:sz w:val="22"/>
        </w:rPr>
        <w:t>第4類：可燃性固体</w:t>
      </w:r>
    </w:p>
    <w:p>
      <w:pPr>
        <w:pStyle w:val="ListBullet"/>
        <w:spacing w:after="60"/>
      </w:pPr>
      <w:r>
        <w:rPr>
          <w:sz w:val="22"/>
        </w:rPr>
        <w:t>第5～9類：その他の危険物</w:t>
      </w:r>
    </w:p>
    <w:p>
      <w:pPr>
        <w:spacing w:after="80"/>
      </w:pPr>
    </w:p>
    <w:p>
      <w:pPr>
        <w:pStyle w:val="Heading2"/>
        <w:spacing w:before="200" w:after="100"/>
      </w:pPr>
      <w:r>
        <w:rPr>
          <w:b/>
          <w:sz w:val="26"/>
        </w:rPr>
        <w:t>国連番号とGHSラベル</w:t>
      </w:r>
    </w:p>
    <w:p>
      <w:pPr>
        <w:pStyle w:val="ListBullet"/>
        <w:spacing w:after="60"/>
      </w:pPr>
      <w:r>
        <w:rPr>
          <w:sz w:val="22"/>
        </w:rPr>
        <w:t>国連番号：危険物を国際的に識別する4桁番号</w:t>
      </w:r>
    </w:p>
    <w:p>
      <w:pPr>
        <w:pStyle w:val="ListBullet"/>
        <w:spacing w:after="60"/>
      </w:pPr>
      <w:r>
        <w:rPr>
          <w:sz w:val="22"/>
        </w:rPr>
        <w:t>GHSラベル：危険有害性を国際統一図記号で表示</w:t>
      </w:r>
    </w:p>
    <w:p>
      <w:pPr>
        <w:pStyle w:val="ListBullet"/>
        <w:spacing w:after="60"/>
      </w:pPr>
      <w:r>
        <w:rPr>
          <w:sz w:val="22"/>
        </w:rPr>
        <w:t>記号、信号語、注意喚起語で視覚的に警告</w:t>
      </w:r>
    </w:p>
    <w:p>
      <w:pPr>
        <w:spacing w:after="80"/>
      </w:pPr>
    </w:p>
    <w:p>
      <w:pPr>
        <w:pStyle w:val="Heading2"/>
        <w:spacing w:before="200" w:after="100"/>
      </w:pPr>
      <w:r>
        <w:rPr>
          <w:b/>
          <w:sz w:val="26"/>
        </w:rPr>
        <w:t>危険物輸送に関する法規制</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主要法規制</w:t>
            </w:r>
          </w:p>
          <w:p>
            <w:pPr>
              <w:spacing w:after="0"/>
            </w:pPr>
            <w:r>
              <w:rPr>
                <w:sz w:val="22"/>
              </w:rPr>
              <w:t>下記法令を遵守することは法定義務</w:t>
            </w:r>
          </w:p>
        </w:tc>
      </w:tr>
    </w:tbl>
    <w:p>
      <w:pPr>
        <w:pStyle w:val="ListBullet"/>
        <w:spacing w:after="60"/>
      </w:pPr>
      <w:r>
        <w:rPr>
          <w:sz w:val="22"/>
        </w:rPr>
        <w:t>爆発物取締法：爆発物の厳格管理</w:t>
      </w:r>
    </w:p>
    <w:p>
      <w:pPr>
        <w:pStyle w:val="ListBullet"/>
        <w:spacing w:after="60"/>
      </w:pPr>
      <w:r>
        <w:rPr>
          <w:sz w:val="22"/>
        </w:rPr>
        <w:t>火薬類取締法：火薬類の許可、貯蔵</w:t>
      </w:r>
    </w:p>
    <w:p>
      <w:pPr>
        <w:pStyle w:val="ListBullet"/>
        <w:spacing w:after="60"/>
      </w:pPr>
      <w:r>
        <w:rPr>
          <w:sz w:val="22"/>
        </w:rPr>
        <w:t>毒劇物取締法：有毒物の管理</w:t>
      </w:r>
    </w:p>
    <w:p>
      <w:pPr>
        <w:pStyle w:val="ListBullet"/>
        <w:spacing w:after="60"/>
      </w:pPr>
      <w:r>
        <w:rPr>
          <w:sz w:val="22"/>
        </w:rPr>
        <w:t>化学兵器禁止法：禁止物質の輸送禁止</w:t>
      </w:r>
    </w:p>
    <w:p>
      <w:pPr>
        <w:spacing w:after="80"/>
      </w:pPr>
    </w:p>
    <w:p>
      <w:pPr>
        <w:pStyle w:val="Heading2"/>
        <w:spacing w:before="200" w:after="100"/>
      </w:pPr>
      <w:r>
        <w:rPr>
          <w:b/>
          <w:sz w:val="26"/>
        </w:rPr>
        <w:t>イエローカード（緊急連絡カード）の活用</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携行義務</w:t>
            </w:r>
          </w:p>
          <w:p>
            <w:pPr>
              <w:spacing w:after="0"/>
            </w:pPr>
            <w:r>
              <w:rPr>
                <w:sz w:val="22"/>
              </w:rPr>
              <w:t>すべての危険物運搬車に携行が法令で義務付けられている</w:t>
            </w:r>
          </w:p>
        </w:tc>
      </w:tr>
    </w:tbl>
    <w:p>
      <w:pPr>
        <w:pStyle w:val="ListBullet"/>
        <w:spacing w:after="60"/>
      </w:pPr>
      <w:r>
        <w:rPr>
          <w:sz w:val="22"/>
        </w:rPr>
        <w:t>品名、内容量、荷送人、荷受人の記載</w:t>
      </w:r>
    </w:p>
    <w:p>
      <w:pPr>
        <w:pStyle w:val="ListBullet"/>
        <w:spacing w:after="60"/>
      </w:pPr>
      <w:r>
        <w:rPr>
          <w:sz w:val="22"/>
        </w:rPr>
        <w:t>緊急時の対応方法、連絡先を記載</w:t>
      </w:r>
    </w:p>
    <w:p>
      <w:pPr>
        <w:pStyle w:val="ListBullet"/>
        <w:spacing w:after="60"/>
      </w:pPr>
      <w:r>
        <w:rPr>
          <w:sz w:val="22"/>
        </w:rPr>
        <w:t>事故時は迅速に関係機関へ情報提供</w:t>
      </w:r>
    </w:p>
    <w:p>
      <w:pPr>
        <w:spacing w:after="80"/>
      </w:pPr>
    </w:p>
    <w:p>
      <w:pPr>
        <w:pStyle w:val="Heading2"/>
        <w:spacing w:before="200" w:after="100"/>
      </w:pPr>
      <w:r>
        <w:rPr>
          <w:b/>
          <w:sz w:val="26"/>
        </w:rPr>
        <w:t>冬季の危険物運搬における注意事項</w:t>
      </w:r>
    </w:p>
    <w:p>
      <w:pPr>
        <w:pStyle w:val="ListBullet"/>
        <w:spacing w:after="60"/>
      </w:pPr>
      <w:r>
        <w:rPr>
          <w:sz w:val="22"/>
        </w:rPr>
        <w:t>低温：液体の粘度上昇、結晶化</w:t>
      </w:r>
    </w:p>
    <w:p>
      <w:pPr>
        <w:pStyle w:val="ListBullet"/>
        <w:spacing w:after="60"/>
      </w:pPr>
      <w:r>
        <w:rPr>
          <w:sz w:val="22"/>
        </w:rPr>
        <w:t>路面凍結：スリップによる転倒リスク</w:t>
      </w:r>
    </w:p>
    <w:p>
      <w:pPr>
        <w:pStyle w:val="ListBullet"/>
        <w:spacing w:after="60"/>
      </w:pPr>
      <w:r>
        <w:rPr>
          <w:sz w:val="22"/>
        </w:rPr>
        <w:t>積載固定：冬季の揺動に対する厳密な固縛</w:t>
      </w:r>
    </w:p>
    <w:p>
      <w:pPr>
        <w:spacing w:after="80"/>
      </w:pPr>
    </w:p>
    <w:p>
      <w:pPr>
        <w:pStyle w:val="Heading2"/>
        <w:spacing w:before="200" w:after="100"/>
      </w:pPr>
      <w:r>
        <w:rPr>
          <w:b/>
          <w:sz w:val="26"/>
        </w:rPr>
        <w:t>混載禁止の組み合わせ</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危険</w:t>
            </w:r>
          </w:p>
          <w:p>
            <w:pPr>
              <w:spacing w:after="0"/>
            </w:pPr>
            <w:r>
              <w:rPr>
                <w:sz w:val="22"/>
              </w:rPr>
              <w:t>相互作用により爆発、火災のリスク</w:t>
            </w:r>
          </w:p>
        </w:tc>
      </w:tr>
    </w:tbl>
    <w:p>
      <w:pPr>
        <w:pStyle w:val="ListBullet"/>
        <w:spacing w:after="60"/>
      </w:pPr>
      <w:r>
        <w:rPr>
          <w:sz w:val="22"/>
        </w:rPr>
        <w:t>酸化剤と可燃物の同一積載禁止</w:t>
      </w:r>
    </w:p>
    <w:p>
      <w:pPr>
        <w:pStyle w:val="ListBullet"/>
        <w:spacing w:after="60"/>
      </w:pPr>
      <w:r>
        <w:rPr>
          <w:sz w:val="22"/>
        </w:rPr>
        <w:t>有機過酸化物の加熱による分解危険</w:t>
      </w:r>
    </w:p>
    <w:p>
      <w:pPr>
        <w:pStyle w:val="ListBullet"/>
        <w:spacing w:after="60"/>
      </w:pPr>
      <w:r>
        <w:rPr>
          <w:sz w:val="22"/>
        </w:rPr>
        <w:t>禁止組み合わせは運送契約時に確認</w:t>
      </w:r>
    </w:p>
    <w:p>
      <w:pPr>
        <w:spacing w:after="80"/>
      </w:pPr>
    </w:p>
    <w:p>
      <w:pPr>
        <w:pStyle w:val="Heading2"/>
        <w:spacing w:before="200" w:after="100"/>
      </w:pPr>
      <w:r>
        <w:rPr>
          <w:b/>
          <w:sz w:val="26"/>
        </w:rPr>
        <w:t>危険物漏洩時の対応手順</w:t>
      </w:r>
    </w:p>
    <w:p>
      <w:pPr>
        <w:pStyle w:val="ListBullet"/>
        <w:spacing w:after="60"/>
      </w:pPr>
      <w:r>
        <w:rPr>
          <w:sz w:val="22"/>
        </w:rPr>
        <w:t>①第一発見者：警察（110）、消防（119）へ報告</w:t>
      </w:r>
    </w:p>
    <w:p>
      <w:pPr>
        <w:pStyle w:val="ListBullet"/>
        <w:spacing w:after="60"/>
      </w:pPr>
      <w:r>
        <w:rPr>
          <w:sz w:val="22"/>
        </w:rPr>
        <w:t>②現場責任者：他車・歩行者を遠ざける</w:t>
      </w:r>
    </w:p>
    <w:p>
      <w:pPr>
        <w:pStyle w:val="ListBullet"/>
        <w:spacing w:after="60"/>
      </w:pPr>
      <w:r>
        <w:rPr>
          <w:sz w:val="22"/>
        </w:rPr>
        <w:t>③荷主・運送会社へ報告</w:t>
      </w:r>
    </w:p>
    <w:p>
      <w:pPr>
        <w:pStyle w:val="ListBullet"/>
        <w:spacing w:after="60"/>
      </w:pPr>
      <w:r>
        <w:rPr>
          <w:sz w:val="22"/>
        </w:rPr>
        <w:t>④消防指示に従い、専門家による対応</w:t>
      </w:r>
    </w:p>
    <w:p>
      <w:r>
        <w:br w:type="page"/>
      </w:r>
    </w:p>
    <w:p>
      <w:pPr>
        <w:pStyle w:val="Heading2"/>
        <w:spacing w:before="200" w:after="100"/>
      </w:pPr>
      <w:r>
        <w:rPr>
          <w:b/>
          <w:sz w:val="26"/>
        </w:rPr>
        <w:t>確認テスト</w:t>
      </w:r>
    </w:p>
    <w:p/>
    <w:p>
      <w:pPr>
        <w:spacing w:after="120"/>
      </w:pPr>
      <w:r>
        <w:rPr>
          <w:b/>
          <w:sz w:val="22"/>
        </w:rPr>
        <w:t>1. 危険物の分類における最初の4つの等級を述べてください。</w:t>
      </w:r>
    </w:p>
    <w:p/>
    <w:p/>
    <w:p>
      <w:pPr>
        <w:spacing w:after="120"/>
      </w:pPr>
      <w:r>
        <w:rPr>
          <w:b/>
          <w:sz w:val="22"/>
        </w:rPr>
        <w:t>2. イエローカードに必ず記載されるべき3つの項目を列挙してください。</w:t>
      </w:r>
    </w:p>
    <w:p/>
    <w:p/>
    <w:p>
      <w:pPr>
        <w:spacing w:after="120"/>
      </w:pPr>
      <w:r>
        <w:rPr>
          <w:b/>
          <w:sz w:val="22"/>
        </w:rPr>
        <w:t>3. 危険物輸送時に混載が禁止される主な組み合わせの例を述べてください。</w:t>
      </w:r>
    </w:p>
    <w:p/>
    <w:p/>
    <w:sectPr w:rsidR="00FC693F" w:rsidRPr="0006063C" w:rsidSect="00034616">
      <w:headerReference w:type="default" r:id="rId9"/>
      <w:pgSz w:w="11909"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神奈川エアーメッセンジャー株式会社　運転者教育資料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