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神奈川エアーメッセンジャー株式会社　運転者教育資料</w:t>
      </w:r>
    </w:p>
    <w:p/>
    <w:p/>
    <w:p/>
    <w:p/>
    <w:p/>
    <w:p/>
    <w:p/>
    <w:p/>
    <w:p/>
    <w:p/>
    <w:p>
      <w:pPr>
        <w:jc w:val="center"/>
      </w:pPr>
      <w:r>
        <w:rPr>
          <w:b/>
          <w:sz w:val="40"/>
        </w:rPr>
        <w:t>先進安全装置の正しい理解と活用</w:t>
      </w:r>
    </w:p>
    <w:p/>
    <w:p>
      <w:pPr>
        <w:jc w:val="center"/>
      </w:pPr>
      <w:r>
        <w:rPr>
          <w:sz w:val="24"/>
        </w:rPr>
        <w:t>教育テーマ：安全性の向上を図るための装置を備える事業用自動車の適切な運転方法</w:t>
      </w:r>
    </w:p>
    <w:p>
      <w:pPr>
        <w:jc w:val="center"/>
      </w:pPr>
      <w:r>
        <w:rPr>
          <w:sz w:val="24"/>
        </w:rPr>
        <w:t>講師：渡邊昇二</w:t>
      </w:r>
    </w:p>
    <w:p>
      <w:r>
        <w:br w:type="page"/>
      </w:r>
    </w:p>
    <w:p>
      <w:pPr>
        <w:pStyle w:val="Heading2"/>
        <w:spacing w:before="200" w:after="100"/>
      </w:pPr>
      <w:r>
        <w:rPr>
          <w:b/>
          <w:sz w:val="26"/>
        </w:rPr>
        <w:t>衝突被害軽減ブレーキ（AEBS）の仕組みと限界</w:t>
      </w:r>
    </w:p>
    <w:tbl>
      <w:tblPr>
        <w:tblW w:type="auto" w:w="0"/>
        <w:tblLook w:firstColumn="1" w:firstRow="1" w:lastColumn="0" w:lastRow="0" w:noHBand="0" w:noVBand="1" w:val="04A0"/>
      </w:tblPr>
      <w:tblGrid>
        <w:gridCol w:w="9029"/>
      </w:tblGrid>
      <w:tr>
        <w:tc>
          <w:tcPr>
            <w:tcW w:type="dxa" w:w="9029"/>
            <w:shd w:fill="E7F0F7"/>
          </w:tcPr>
          <w:p>
            <w:pPr>
              <w:spacing w:after="100"/>
            </w:pPr>
            <w:r>
              <w:rPr>
                <w:b/>
                <w:color w:val="2E75B5"/>
                <w:sz w:val="24"/>
              </w:rPr>
              <w:t>AEBS</w:t>
            </w:r>
          </w:p>
          <w:p>
            <w:pPr>
              <w:spacing w:after="0"/>
            </w:pPr>
            <w:r>
              <w:rPr>
                <w:sz w:val="22"/>
              </w:rPr>
              <w:t>レーダー・カメラで前方の障害物を検知し自動制動</w:t>
            </w:r>
          </w:p>
        </w:tc>
      </w:tr>
    </w:tbl>
    <w:p>
      <w:pPr>
        <w:pStyle w:val="ListBullet"/>
        <w:spacing w:after="60"/>
      </w:pPr>
      <w:r>
        <w:rPr>
          <w:sz w:val="22"/>
        </w:rPr>
        <w:t>検知距離：通常50～100m（速度により変化）</w:t>
      </w:r>
    </w:p>
    <w:p>
      <w:pPr>
        <w:pStyle w:val="ListBullet"/>
        <w:spacing w:after="60"/>
      </w:pPr>
      <w:r>
        <w:rPr>
          <w:sz w:val="22"/>
        </w:rPr>
        <w:t>悪天候（濃霧、豪雪）では機能低下</w:t>
      </w:r>
    </w:p>
    <w:p>
      <w:pPr>
        <w:pStyle w:val="ListBullet"/>
        <w:spacing w:after="60"/>
      </w:pPr>
      <w:r>
        <w:rPr>
          <w:sz w:val="22"/>
        </w:rPr>
        <w:t>走行条件によっては動作しない可能性</w:t>
      </w:r>
    </w:p>
    <w:p>
      <w:pPr>
        <w:pStyle w:val="ListBullet"/>
        <w:spacing w:after="60"/>
      </w:pPr>
      <w:r>
        <w:rPr>
          <w:sz w:val="22"/>
        </w:rPr>
        <w:t>過信は禁物、ドライバーの操作が最優先</w:t>
      </w:r>
    </w:p>
    <w:p>
      <w:pPr>
        <w:spacing w:after="80"/>
      </w:pPr>
    </w:p>
    <w:p>
      <w:pPr>
        <w:pStyle w:val="Heading2"/>
        <w:spacing w:before="200" w:after="100"/>
      </w:pPr>
      <w:r>
        <w:rPr>
          <w:b/>
          <w:sz w:val="26"/>
        </w:rPr>
        <w:t>車線逸脱警報装置の正しい理解</w:t>
      </w:r>
    </w:p>
    <w:p>
      <w:pPr>
        <w:pStyle w:val="ListBullet"/>
        <w:spacing w:after="60"/>
      </w:pPr>
      <w:r>
        <w:rPr>
          <w:sz w:val="22"/>
        </w:rPr>
        <w:t>白線認識によるアラート発生</w:t>
      </w:r>
    </w:p>
    <w:p>
      <w:pPr>
        <w:pStyle w:val="ListBullet"/>
        <w:spacing w:after="60"/>
      </w:pPr>
      <w:r>
        <w:rPr>
          <w:sz w:val="22"/>
        </w:rPr>
        <w:t>夜間、雨天では認識精度が低下</w:t>
      </w:r>
    </w:p>
    <w:p>
      <w:pPr>
        <w:pStyle w:val="ListBullet"/>
        <w:spacing w:after="60"/>
      </w:pPr>
      <w:r>
        <w:rPr>
          <w:sz w:val="22"/>
        </w:rPr>
        <w:t>カーブの勾配により誤検知の可能性</w:t>
      </w:r>
    </w:p>
    <w:p>
      <w:pPr>
        <w:pStyle w:val="ListBullet"/>
        <w:spacing w:after="60"/>
      </w:pPr>
      <w:r>
        <w:rPr>
          <w:sz w:val="22"/>
        </w:rPr>
        <w:t>装置に頼らず、意識的な走行を継続</w:t>
      </w:r>
    </w:p>
    <w:p>
      <w:pPr>
        <w:spacing w:after="80"/>
      </w:pPr>
    </w:p>
    <w:p>
      <w:pPr>
        <w:pStyle w:val="Heading2"/>
        <w:spacing w:before="200" w:after="100"/>
      </w:pPr>
      <w:r>
        <w:rPr>
          <w:b/>
          <w:sz w:val="26"/>
        </w:rPr>
        <w:t>バックモニター・ソナーの活用と過信禁止</w:t>
      </w:r>
    </w:p>
    <w:tbl>
      <w:tblPr>
        <w:tblW w:type="auto" w:w="0"/>
        <w:tblLook w:firstColumn="1" w:firstRow="1" w:lastColumn="0" w:lastRow="0" w:noHBand="0" w:noVBand="1" w:val="04A0"/>
      </w:tblPr>
      <w:tblGrid>
        <w:gridCol w:w="9029"/>
      </w:tblGrid>
      <w:tr>
        <w:tc>
          <w:tcPr>
            <w:tcW w:type="dxa" w:w="9029"/>
            <w:shd w:fill="E7F0F7"/>
          </w:tcPr>
          <w:p>
            <w:pPr>
              <w:spacing w:after="100"/>
            </w:pPr>
            <w:r>
              <w:rPr>
                <w:b/>
                <w:color w:val="2E75B5"/>
                <w:sz w:val="24"/>
              </w:rPr>
              <w:t>限界</w:t>
            </w:r>
          </w:p>
          <w:p>
            <w:pPr>
              <w:spacing w:after="0"/>
            </w:pPr>
            <w:r>
              <w:rPr>
                <w:sz w:val="22"/>
              </w:rPr>
              <w:t>画面に映らない死角が必ず存在する</w:t>
            </w:r>
          </w:p>
        </w:tc>
      </w:tr>
    </w:tbl>
    <w:p>
      <w:pPr>
        <w:pStyle w:val="ListBullet"/>
        <w:spacing w:after="60"/>
      </w:pPr>
      <w:r>
        <w:rPr>
          <w:sz w:val="22"/>
        </w:rPr>
        <w:t>バックモニター：広角カメラのため歪み</w:t>
      </w:r>
    </w:p>
    <w:p>
      <w:pPr>
        <w:pStyle w:val="ListBullet"/>
        <w:spacing w:after="60"/>
      </w:pPr>
      <w:r>
        <w:rPr>
          <w:sz w:val="22"/>
        </w:rPr>
        <w:t>ソナー：障害物検知に時間遅延</w:t>
      </w:r>
    </w:p>
    <w:p>
      <w:pPr>
        <w:pStyle w:val="ListBullet"/>
        <w:spacing w:after="60"/>
      </w:pPr>
      <w:r>
        <w:rPr>
          <w:sz w:val="22"/>
        </w:rPr>
        <w:t>必ず下車確認する習慣を維持</w:t>
      </w:r>
    </w:p>
    <w:p>
      <w:pPr>
        <w:pStyle w:val="ListBullet"/>
        <w:spacing w:after="60"/>
      </w:pPr>
      <w:r>
        <w:rPr>
          <w:sz w:val="22"/>
        </w:rPr>
        <w:t>子ども、低い障害物は認識しにくい</w:t>
      </w:r>
    </w:p>
    <w:p>
      <w:pPr>
        <w:spacing w:after="80"/>
      </w:pPr>
    </w:p>
    <w:p>
      <w:pPr>
        <w:pStyle w:val="Heading2"/>
        <w:spacing w:before="200" w:after="100"/>
      </w:pPr>
      <w:r>
        <w:rPr>
          <w:b/>
          <w:sz w:val="26"/>
        </w:rPr>
        <w:t>ドライブレコーダーの教育的活用</w:t>
      </w:r>
    </w:p>
    <w:p>
      <w:pPr>
        <w:pStyle w:val="ListBullet"/>
        <w:spacing w:after="60"/>
      </w:pPr>
      <w:r>
        <w:rPr>
          <w:sz w:val="22"/>
        </w:rPr>
        <w:t>記録された映像をヒヤリハット分析に活用</w:t>
      </w:r>
    </w:p>
    <w:p>
      <w:pPr>
        <w:pStyle w:val="ListBullet"/>
        <w:spacing w:after="60"/>
      </w:pPr>
      <w:r>
        <w:rPr>
          <w:sz w:val="22"/>
        </w:rPr>
        <w:t>危険運転の可視化→改善動機の形成</w:t>
      </w:r>
    </w:p>
    <w:p>
      <w:pPr>
        <w:pStyle w:val="ListBullet"/>
        <w:spacing w:after="60"/>
      </w:pPr>
      <w:r>
        <w:rPr>
          <w:sz w:val="22"/>
        </w:rPr>
        <w:t>事故時の客観的証拠として機能</w:t>
      </w:r>
    </w:p>
    <w:p>
      <w:pPr>
        <w:pStyle w:val="ListBullet"/>
        <w:spacing w:after="60"/>
      </w:pPr>
      <w:r>
        <w:rPr>
          <w:sz w:val="22"/>
        </w:rPr>
        <w:t>チーム全体での情報共有による学習効果</w:t>
      </w:r>
    </w:p>
    <w:p>
      <w:pPr>
        <w:spacing w:after="80"/>
      </w:pPr>
    </w:p>
    <w:p>
      <w:pPr>
        <w:pStyle w:val="Heading2"/>
        <w:spacing w:before="200" w:after="100"/>
      </w:pPr>
      <w:r>
        <w:rPr>
          <w:b/>
          <w:sz w:val="26"/>
        </w:rPr>
        <w:t>EBS（電子制御ブレーキ）の特性</w:t>
      </w:r>
    </w:p>
    <w:p>
      <w:pPr>
        <w:pStyle w:val="ListBullet"/>
        <w:spacing w:after="60"/>
      </w:pPr>
      <w:r>
        <w:rPr>
          <w:sz w:val="22"/>
        </w:rPr>
        <w:t>従来の空気圧ブレーキより反応時間短い</w:t>
      </w:r>
    </w:p>
    <w:p>
      <w:pPr>
        <w:pStyle w:val="ListBullet"/>
        <w:spacing w:after="60"/>
      </w:pPr>
      <w:r>
        <w:rPr>
          <w:sz w:val="22"/>
        </w:rPr>
        <w:t>制動力が自動的に最適配分される</w:t>
      </w:r>
    </w:p>
    <w:p>
      <w:pPr>
        <w:pStyle w:val="ListBullet"/>
        <w:spacing w:after="60"/>
      </w:pPr>
      <w:r>
        <w:rPr>
          <w:sz w:val="22"/>
        </w:rPr>
        <w:t>故障時は手動切替が可能</w:t>
      </w:r>
    </w:p>
    <w:p>
      <w:pPr>
        <w:pStyle w:val="ListBullet"/>
        <w:spacing w:after="60"/>
      </w:pPr>
      <w:r>
        <w:rPr>
          <w:sz w:val="22"/>
        </w:rPr>
        <w:t>定期点検における電子系統の確認が重要</w:t>
      </w:r>
    </w:p>
    <w:p>
      <w:pPr>
        <w:spacing w:after="80"/>
      </w:pPr>
    </w:p>
    <w:p>
      <w:pPr>
        <w:pStyle w:val="Heading2"/>
        <w:spacing w:before="200" w:after="100"/>
      </w:pPr>
      <w:r>
        <w:rPr>
          <w:b/>
          <w:sz w:val="26"/>
        </w:rPr>
        <w:t>デジタルタコグラフのデータ活用</w:t>
      </w:r>
    </w:p>
    <w:tbl>
      <w:tblPr>
        <w:tblW w:type="auto" w:w="0"/>
        <w:tblLook w:firstColumn="1" w:firstRow="1" w:lastColumn="0" w:lastRow="0" w:noHBand="0" w:noVBand="1" w:val="04A0"/>
      </w:tblPr>
      <w:tblGrid>
        <w:gridCol w:w="9029"/>
      </w:tblGrid>
      <w:tr>
        <w:tc>
          <w:tcPr>
            <w:tcW w:type="dxa" w:w="9029"/>
            <w:shd w:fill="E7F0F7"/>
          </w:tcPr>
          <w:p>
            <w:pPr>
              <w:spacing w:after="100"/>
            </w:pPr>
            <w:r>
              <w:rPr>
                <w:b/>
                <w:color w:val="2E75B5"/>
                <w:sz w:val="24"/>
              </w:rPr>
              <w:t>データ分析</w:t>
            </w:r>
          </w:p>
          <w:p>
            <w:pPr>
              <w:spacing w:after="0"/>
            </w:pPr>
            <w:r>
              <w:rPr>
                <w:sz w:val="22"/>
              </w:rPr>
              <w:t>記録データは運転改善の宝物</w:t>
            </w:r>
          </w:p>
        </w:tc>
      </w:tr>
    </w:tbl>
    <w:p>
      <w:pPr>
        <w:pStyle w:val="ListBullet"/>
        <w:spacing w:after="60"/>
      </w:pPr>
      <w:r>
        <w:rPr>
          <w:sz w:val="22"/>
        </w:rPr>
        <w:t>速度パターン：急加速、急ハンドルの検出</w:t>
      </w:r>
    </w:p>
    <w:p>
      <w:pPr>
        <w:pStyle w:val="ListBullet"/>
        <w:spacing w:after="60"/>
      </w:pPr>
      <w:r>
        <w:rPr>
          <w:sz w:val="22"/>
        </w:rPr>
        <w:t>燃費効率：エコドライブの実践度を可視化</w:t>
      </w:r>
    </w:p>
    <w:p>
      <w:pPr>
        <w:pStyle w:val="ListBullet"/>
        <w:spacing w:after="60"/>
      </w:pPr>
      <w:r>
        <w:rPr>
          <w:sz w:val="22"/>
        </w:rPr>
        <w:t>拘束時間：労務管理、過労防止に活用</w:t>
      </w:r>
    </w:p>
    <w:p>
      <w:pPr>
        <w:pStyle w:val="ListBullet"/>
        <w:spacing w:after="60"/>
      </w:pPr>
      <w:r>
        <w:rPr>
          <w:sz w:val="22"/>
        </w:rPr>
        <w:t>事故・ヒヤリハット時の原因分析</w:t>
      </w:r>
    </w:p>
    <w:p>
      <w:pPr>
        <w:spacing w:after="80"/>
      </w:pPr>
    </w:p>
    <w:p>
      <w:pPr>
        <w:pStyle w:val="Heading2"/>
        <w:spacing w:before="200" w:after="100"/>
      </w:pPr>
      <w:r>
        <w:rPr>
          <w:b/>
          <w:sz w:val="26"/>
        </w:rPr>
        <w:t>年度の振り返りと次年度の安全目標設定</w:t>
      </w:r>
    </w:p>
    <w:p>
      <w:pPr>
        <w:pStyle w:val="ListBullet"/>
        <w:spacing w:after="60"/>
      </w:pPr>
      <w:r>
        <w:rPr>
          <w:sz w:val="22"/>
        </w:rPr>
        <w:t>実績評価：無事故・無違反の達成状況</w:t>
      </w:r>
    </w:p>
    <w:p>
      <w:pPr>
        <w:pStyle w:val="ListBullet"/>
        <w:spacing w:after="60"/>
      </w:pPr>
      <w:r>
        <w:rPr>
          <w:sz w:val="22"/>
        </w:rPr>
        <w:t>課題分析：改善が必要な領域の抽出</w:t>
      </w:r>
    </w:p>
    <w:p>
      <w:pPr>
        <w:pStyle w:val="ListBullet"/>
        <w:spacing w:after="60"/>
      </w:pPr>
      <w:r>
        <w:rPr>
          <w:sz w:val="22"/>
        </w:rPr>
        <w:t>目標設定：SMART基準による具体的目標</w:t>
      </w:r>
    </w:p>
    <w:p>
      <w:pPr>
        <w:pStyle w:val="ListBullet"/>
        <w:spacing w:after="60"/>
      </w:pPr>
      <w:r>
        <w:rPr>
          <w:sz w:val="22"/>
        </w:rPr>
        <w:t>組織全体での安全文化の醸成</w:t>
      </w:r>
    </w:p>
    <w:p>
      <w:r>
        <w:br w:type="page"/>
      </w:r>
    </w:p>
    <w:p>
      <w:pPr>
        <w:pStyle w:val="Heading2"/>
        <w:spacing w:before="200" w:after="100"/>
      </w:pPr>
      <w:r>
        <w:rPr>
          <w:b/>
          <w:sz w:val="26"/>
        </w:rPr>
        <w:t>確認テスト</w:t>
      </w:r>
    </w:p>
    <w:p/>
    <w:p>
      <w:pPr>
        <w:spacing w:after="120"/>
      </w:pPr>
      <w:r>
        <w:rPr>
          <w:b/>
          <w:sz w:val="22"/>
        </w:rPr>
        <w:t>1. 衝突被害軽減ブレーキ（AEBS）が動作しない可能性のある走行条件を2つ以上述べてください。</w:t>
      </w:r>
    </w:p>
    <w:p/>
    <w:p/>
    <w:p>
      <w:pPr>
        <w:spacing w:after="120"/>
      </w:pPr>
      <w:r>
        <w:rPr>
          <w:b/>
          <w:sz w:val="22"/>
        </w:rPr>
        <w:t>2. バックモニター・ソナー使用時に注意すべき点と、それでも必要な確認方法を説明してください。</w:t>
      </w:r>
    </w:p>
    <w:p/>
    <w:p/>
    <w:p>
      <w:pPr>
        <w:spacing w:after="120"/>
      </w:pPr>
      <w:r>
        <w:rPr>
          <w:b/>
          <w:sz w:val="22"/>
        </w:rPr>
        <w:t>3. デジタルタコグラフの記録データを運転改善にどのように活用することができますか？</w:t>
      </w:r>
    </w:p>
    <w:p/>
    <w:p/>
    <w:sectPr w:rsidR="00FC693F" w:rsidRPr="0006063C" w:rsidSect="00034616">
      <w:headerReference w:type="default" r:id="rId9"/>
      <w:pgSz w:w="11909" w:h="1684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sz w:val="18"/>
      </w:rPr>
      <w:t>神奈川エアーメッセンジャー株式会社　運転者教育資料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