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0"/>
        <w:gridCol w:w="4060"/>
      </w:tblGrid>
      <w:tr>
        <w:tc>
          <w:tcPr>
            <w:tcW w:type="dxa" w:w="5000"/>
            <w:tcBorders>
              <w:top w:val="none" w:color="FFFFFF" w:sz="0"/>
              <w:left w:val="none" w:color="FFFFFF" w:sz="0"/>
              <w:bottom w:val="none" w:color="FFFFFF" w:sz="0"/>
              <w:right w:val="none" w:color="FFFFFF" w:sz="0"/>
            </w:tcBorders>
            <w:shd w:fill="1E3A5F" w:val="clear"/>
            <w:tcMar>
              <w:top w:type="dxa" w:w="200"/>
              <w:left w:type="dxa" w:w="220"/>
              <w:bottom w:type="dxa" w:w="200"/>
              <w:right w:type="dxa" w:w="150"/>
            </w:tcMar>
          </w:tcPr>
          <w:p>
            <w:r>
              <w:rPr>
                <w:rFonts w:ascii="Arial" w:cs="Arial" w:eastAsia="Arial" w:hAnsi="Arial"/>
                <w:b/>
                <w:bCs/>
                <w:color w:val="FFFFFF"/>
                <w:sz w:val="40"/>
                <w:szCs w:val="40"/>
              </w:rPr>
              <w:t xml:space="preserve">OptiCRM</w:t>
            </w:r>
          </w:p>
          <w:p>
            <w:r>
              <w:rPr>
                <w:rFonts w:ascii="Arial" w:cs="Arial" w:eastAsia="Arial" w:hAnsi="Arial"/>
                <w:color w:val="A9CCE3"/>
                <w:sz w:val="20"/>
                <w:szCs w:val="20"/>
              </w:rPr>
              <w:t xml:space="preserve">Votre partenaire CRM</w:t>
            </w:r>
          </w:p>
          <w:p>
            <w:pPr>
              <w:spacing w:after="0" w:before="80"/>
            </w:pPr>
          </w:p>
          <w:p>
            <w:r>
              <w:rPr>
                <w:rFonts w:ascii="Arial" w:cs="Arial" w:eastAsia="Arial" w:hAnsi="Arial"/>
                <w:color w:val="C8D6E5"/>
                <w:sz w:val="18"/>
                <w:szCs w:val="18"/>
              </w:rPr>
              <w:t xml:space="preserve">[Adresse - Maroc]</w:t>
            </w:r>
          </w:p>
          <w:p>
            <w:r>
              <w:rPr>
                <w:rFonts w:ascii="Arial" w:cs="Arial" w:eastAsia="Arial" w:hAnsi="Arial"/>
                <w:color w:val="C8D6E5"/>
                <w:sz w:val="18"/>
                <w:szCs w:val="18"/>
              </w:rPr>
              <w:t xml:space="preserve">contact@opticrm.ma</w:t>
            </w:r>
          </w:p>
          <w:p>
            <w:r>
              <w:rPr>
                <w:rFonts w:ascii="Arial" w:cs="Arial" w:eastAsia="Arial" w:hAnsi="Arial"/>
                <w:color w:val="C8D6E5"/>
                <w:sz w:val="18"/>
                <w:szCs w:val="18"/>
              </w:rPr>
              <w:t xml:space="preserve">www.opticrm.ma</w:t>
            </w:r>
          </w:p>
        </w:tc>
        <w:tc>
          <w:tcPr>
            <w:tcW w:type="dxa" w:w="4060"/>
            <w:tcBorders>
              <w:top w:val="none" w:color="FFFFFF" w:sz="0"/>
              <w:left w:val="none" w:color="FFFFFF" w:sz="0"/>
              <w:bottom w:val="none" w:color="FFFFFF" w:sz="0"/>
              <w:right w:val="none" w:color="FFFFFF" w:sz="0"/>
            </w:tcBorders>
            <w:shd w:fill="2E86AB" w:val="clear"/>
            <w:tcMar>
              <w:top w:type="dxa" w:w="200"/>
              <w:left w:type="dxa" w:w="150"/>
              <w:bottom w:type="dxa" w:w="200"/>
              <w:right w:type="dxa" w:w="220"/>
            </w:tcMar>
            <w:vAlign w:val="center"/>
          </w:tcPr>
          <w:p>
            <w:pPr>
              <w:jc w:val="right"/>
            </w:pPr>
            <w:r>
              <w:rPr>
                <w:rFonts w:ascii="Arial" w:cs="Arial" w:eastAsia="Arial" w:hAnsi="Arial"/>
                <w:b/>
                <w:bCs/>
                <w:color w:val="FFFFFF"/>
                <w:sz w:val="52"/>
                <w:szCs w:val="52"/>
              </w:rPr>
              <w:t xml:space="preserve">DEVIS</w:t>
            </w:r>
          </w:p>
          <w:p>
            <w:pPr>
              <w:jc w:val="right"/>
            </w:pPr>
            <w:r>
              <w:rPr>
                <w:rFonts w:ascii="Arial" w:cs="Arial" w:eastAsia="Arial" w:hAnsi="Arial"/>
                <w:color w:val="EBF5FB"/>
                <w:sz w:val="20"/>
                <w:szCs w:val="20"/>
              </w:rPr>
              <w:t xml:space="preserve">N DEV-HEB-SQL-[XXXX]</w:t>
            </w:r>
          </w:p>
          <w:p>
            <w:pPr>
              <w:spacing w:after="0" w:before="80"/>
            </w:pPr>
          </w:p>
          <w:p>
            <w:pPr>
              <w:jc w:val="right"/>
            </w:pPr>
            <w:r>
              <w:rPr>
                <w:rFonts w:ascii="Arial" w:cs="Arial" w:eastAsia="Arial" w:hAnsi="Arial"/>
                <w:color w:val="FFFFFF"/>
                <w:sz w:val="20"/>
                <w:szCs w:val="20"/>
              </w:rPr>
              <w:t xml:space="preserve">Date : 31 mars 2026</w:t>
            </w:r>
          </w:p>
          <w:p>
            <w:pPr>
              <w:jc w:val="right"/>
            </w:pPr>
            <w:r>
              <w:rPr>
                <w:rFonts w:ascii="Arial" w:cs="Arial" w:eastAsia="Arial" w:hAnsi="Arial"/>
                <w:color w:val="EBF5FB"/>
                <w:sz w:val="20"/>
                <w:szCs w:val="20"/>
              </w:rPr>
              <w:t xml:space="preserve">Validite : 30 jours</w:t>
            </w:r>
          </w:p>
        </w:tc>
      </w:tr>
    </w:tbl>
    <w:p>
      <w:pPr>
        <w:spacing w:after="0" w:before="1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1E3A5F" w:val="clear"/>
            <w:tcMar>
              <w:top w:type="dxa" w:w="110"/>
              <w:left w:type="dxa" w:w="220"/>
              <w:bottom w:type="dxa" w:w="110"/>
              <w:right w:type="dxa" w:w="220"/>
            </w:tcMar>
          </w:tcPr>
          <w:p>
            <w:pPr>
              <w:jc w:val="center"/>
            </w:pPr>
            <w:r>
              <w:rPr>
                <w:rFonts w:ascii="Arial" w:cs="Arial" w:eastAsia="Arial" w:hAnsi="Arial"/>
                <w:b/>
                <w:bCs/>
                <w:color w:val="FFFFFF"/>
                <w:sz w:val="22"/>
                <w:szCs w:val="22"/>
              </w:rPr>
              <w:t xml:space="preserve">OBJET : Devis – Hebergement SaaS OptiCRM – SQL Server 2022 (Cloud AWS)</w:t>
            </w:r>
          </w:p>
        </w:tc>
      </w:tr>
    </w:tbl>
    <w:p>
      <w:pPr>
        <w:spacing w:after="0" w:before="1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9060"/>
      </w:tblGrid>
      <w:tr>
        <w:tc>
          <w:tcPr>
            <w:tcW w:type="dxa" w:w="9060"/>
            <w:tcBorders>
              <w:top w:val="single" w:color="CCCCCC" w:sz="1"/>
              <w:left w:val="single" w:color="CCCCCC" w:sz="1"/>
              <w:bottom w:val="single" w:color="CCCCCC" w:sz="1"/>
              <w:right w:val="single" w:color="CCCCCC" w:sz="1"/>
            </w:tcBorders>
            <w:shd w:fill="EBF5FB" w:val="clear"/>
            <w:tcMar>
              <w:top w:type="dxa" w:w="120"/>
              <w:left w:type="dxa" w:w="220"/>
              <w:bottom w:type="dxa" w:w="120"/>
              <w:right w:type="dxa" w:w="220"/>
            </w:tcMar>
          </w:tcPr>
          <w:p>
            <w:r>
              <w:rPr>
                <w:rFonts w:ascii="Arial" w:cs="Arial" w:eastAsia="Arial" w:hAnsi="Arial"/>
                <w:b/>
                <w:bCs/>
                <w:color w:val="1E3A5F"/>
                <w:sz w:val="22"/>
                <w:szCs w:val="22"/>
              </w:rPr>
              <w:t xml:space="preserve">INFORMATIONS CLIENT</w:t>
            </w:r>
          </w:p>
          <w:p>
            <w:pPr>
              <w:spacing w:after="0" w:before="70"/>
            </w:pPr>
          </w:p>
          <w:p>
            <w:pPr>
              <w:spacing w:after="60" w:before="60"/>
            </w:pPr>
            <w:r>
              <w:rPr>
                <w:rFonts w:ascii="Arial" w:cs="Arial" w:eastAsia="Arial" w:hAnsi="Arial"/>
                <w:b/>
                <w:bCs/>
                <w:color w:val="1E3A5F"/>
                <w:sz w:val="20"/>
                <w:szCs w:val="20"/>
              </w:rPr>
              <w:t xml:space="preserve">Societe :    </w:t>
            </w:r>
            <w:r>
              <w:rPr>
                <w:rFonts w:ascii="Arial" w:cs="Arial" w:eastAsia="Arial" w:hAnsi="Arial"/>
                <w:color w:val="555555"/>
                <w:sz w:val="20"/>
                <w:szCs w:val="20"/>
              </w:rPr>
              <w:t xml:space="preserve"> ___________________________</w:t>
            </w:r>
          </w:p>
          <w:p>
            <w:pPr>
              <w:spacing w:after="60" w:before="60"/>
            </w:pPr>
            <w:r>
              <w:rPr>
                <w:rFonts w:ascii="Arial" w:cs="Arial" w:eastAsia="Arial" w:hAnsi="Arial"/>
                <w:b/>
                <w:bCs/>
                <w:color w:val="1E3A5F"/>
                <w:sz w:val="20"/>
                <w:szCs w:val="20"/>
              </w:rPr>
              <w:t xml:space="preserve">Contact :    </w:t>
            </w:r>
            <w:r>
              <w:rPr>
                <w:rFonts w:ascii="Arial" w:cs="Arial" w:eastAsia="Arial" w:hAnsi="Arial"/>
                <w:color w:val="555555"/>
                <w:sz w:val="20"/>
                <w:szCs w:val="20"/>
              </w:rPr>
              <w:t xml:space="preserve"> ___________________________</w:t>
            </w:r>
          </w:p>
          <w:p>
            <w:pPr>
              <w:spacing w:after="60" w:before="60"/>
            </w:pPr>
            <w:r>
              <w:rPr>
                <w:rFonts w:ascii="Arial" w:cs="Arial" w:eastAsia="Arial" w:hAnsi="Arial"/>
                <w:b/>
                <w:bCs/>
                <w:color w:val="1E3A5F"/>
                <w:sz w:val="20"/>
                <w:szCs w:val="20"/>
              </w:rPr>
              <w:t xml:space="preserve">Email :      </w:t>
            </w:r>
            <w:r>
              <w:rPr>
                <w:rFonts w:ascii="Arial" w:cs="Arial" w:eastAsia="Arial" w:hAnsi="Arial"/>
                <w:color w:val="555555"/>
                <w:sz w:val="20"/>
                <w:szCs w:val="20"/>
              </w:rPr>
              <w:t xml:space="preserve"> ___________________________</w:t>
            </w:r>
          </w:p>
          <w:p>
            <w:pPr>
              <w:spacing w:after="60" w:before="60"/>
            </w:pPr>
            <w:r>
              <w:rPr>
                <w:rFonts w:ascii="Arial" w:cs="Arial" w:eastAsia="Arial" w:hAnsi="Arial"/>
                <w:b/>
                <w:bCs/>
                <w:color w:val="1E3A5F"/>
                <w:sz w:val="20"/>
                <w:szCs w:val="20"/>
              </w:rPr>
              <w:t xml:space="preserve">Telephone :  </w:t>
            </w:r>
            <w:r>
              <w:rPr>
                <w:rFonts w:ascii="Arial" w:cs="Arial" w:eastAsia="Arial" w:hAnsi="Arial"/>
                <w:color w:val="555555"/>
                <w:sz w:val="20"/>
                <w:szCs w:val="20"/>
              </w:rPr>
              <w:t xml:space="preserve"> ___________________________</w:t>
            </w:r>
          </w:p>
          <w:p>
            <w:pPr>
              <w:spacing w:after="60" w:before="60"/>
            </w:pPr>
            <w:r>
              <w:rPr>
                <w:rFonts w:ascii="Arial" w:cs="Arial" w:eastAsia="Arial" w:hAnsi="Arial"/>
                <w:b/>
                <w:bCs/>
                <w:color w:val="1E3A5F"/>
                <w:sz w:val="20"/>
                <w:szCs w:val="20"/>
              </w:rPr>
              <w:t xml:space="preserve">Adresse :    </w:t>
            </w:r>
            <w:r>
              <w:rPr>
                <w:rFonts w:ascii="Arial" w:cs="Arial" w:eastAsia="Arial" w:hAnsi="Arial"/>
                <w:color w:val="555555"/>
                <w:sz w:val="20"/>
                <w:szCs w:val="20"/>
              </w:rPr>
              <w:t xml:space="preserve"> ___________________________</w:t>
            </w:r>
          </w:p>
        </w:tc>
      </w:tr>
    </w:tbl>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1. PRESENTATION</w:t>
      </w:r>
    </w:p>
    <w:p>
      <w:pPr>
        <w:spacing w:after="0" w:before="80"/>
      </w:pPr>
    </w:p>
    <w:p>
      <w:pPr>
        <w:spacing w:after="60" w:before="60"/>
      </w:pPr>
      <w:r>
        <w:rPr>
          <w:rFonts w:ascii="Arial" w:cs="Arial" w:eastAsia="Arial" w:hAnsi="Arial"/>
          <w:color w:val="444444"/>
          <w:sz w:val="20"/>
          <w:szCs w:val="20"/>
        </w:rPr>
        <w:t xml:space="preserve">Ce devis couvre l'hebergement SaaS de la solution OptiCRM sur infrastructure Cloud AWS avec Microsoft SQL Server 2022 comme moteur de base de donnees. Cette option est recommandee pour les entreprises souhaitant conserver une compatibilite avec leur ecosysteme Microsoft (Sage, ERP, SSMS, Active Directory).</w:t>
      </w:r>
    </w:p>
    <w:p>
      <w:pPr>
        <w:spacing w:after="0" w:before="60"/>
      </w:pPr>
    </w:p>
    <w:p>
      <w:pPr>
        <w:spacing w:after="60" w:before="60"/>
      </w:pPr>
      <w:r>
        <w:rPr>
          <w:rFonts w:ascii="Arial" w:cs="Arial" w:eastAsia="Arial" w:hAnsi="Arial"/>
          <w:color w:val="444444"/>
          <w:sz w:val="20"/>
          <w:szCs w:val="20"/>
        </w:rPr>
        <w:t xml:space="preserve">La licence SQL Server est incluse dans le tarif AWS (modele License Included). Aucun achat de licence separee n'est requis.</w:t>
      </w:r>
    </w:p>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2. COMPOSANTS ET SERVICES INCLUS</w:t>
      </w:r>
    </w:p>
    <w:p>
      <w:pPr>
        <w:spacing w:after="0" w:before="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50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Composant</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Infrastructure Cloud AWS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Serveurs EC2 haute performance (region EU/US)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SQL Server 2022 Standard (AWS)</w:t>
            </w:r>
          </w:p>
        </w:tc>
        <w:tc>
          <w:tcPr>
            <w:tcW w:type="dxa" w:w="4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Instance RDS dediee, licence Microsoft incluse</w:t>
            </w:r>
          </w:p>
        </w:tc>
        <w:tc>
          <w:tcPr>
            <w:tcW w:type="dxa" w:w="15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Cache Redis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Performance optimale, sessions securisees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Reverse Proxy Nginx + SSL</w:t>
            </w:r>
          </w:p>
        </w:tc>
        <w:tc>
          <w:tcPr>
            <w:tcW w:type="dxa" w:w="4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HTTPS TLS 1.3, renouvellement automatique</w:t>
            </w:r>
          </w:p>
        </w:tc>
        <w:tc>
          <w:tcPr>
            <w:tcW w:type="dxa" w:w="15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Sauvegardes automatiques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Quotidiennes – retention 30 jours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Monitoring 24/7</w:t>
            </w:r>
          </w:p>
        </w:tc>
        <w:tc>
          <w:tcPr>
            <w:tcW w:type="dxa" w:w="4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Surveillance continue + alertes temps reel</w:t>
            </w:r>
          </w:p>
        </w:tc>
        <w:tc>
          <w:tcPr>
            <w:tcW w:type="dxa" w:w="15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Mises a jour applicatives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Patches securite et nouvelles versions OptiCRM</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Bande passante</w:t>
            </w:r>
          </w:p>
        </w:tc>
        <w:tc>
          <w:tcPr>
            <w:tcW w:type="dxa" w:w="4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Transfert de donnees illimite</w:t>
            </w:r>
          </w:p>
        </w:tc>
        <w:tc>
          <w:tcPr>
            <w:tcW w:type="dxa" w:w="15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Stockage medias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Jusqu'a 100 Go inclus (extensible)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Support technique</w:t>
            </w:r>
          </w:p>
        </w:tc>
        <w:tc>
          <w:tcPr>
            <w:tcW w:type="dxa" w:w="4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Email &amp; telephone – jours ouvrables 8h-18h</w:t>
            </w:r>
          </w:p>
        </w:tc>
        <w:tc>
          <w:tcPr>
            <w:tcW w:type="dxa" w:w="15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Certificat SSL/TLS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Domaine securise et renouvele automatiquement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SLA disponibilite</w:t>
            </w:r>
          </w:p>
        </w:tc>
        <w:tc>
          <w:tcPr>
            <w:tcW w:type="dxa" w:w="4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Garantie 99.9% de disponibilite mensuelle</w:t>
            </w:r>
          </w:p>
        </w:tc>
        <w:tc>
          <w:tcPr>
            <w:tcW w:type="dxa" w:w="15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Compatibilite SSMS</w:t>
            </w:r>
          </w:p>
        </w:tc>
        <w:tc>
          <w:tcPr>
            <w:tcW w:type="dxa" w:w="45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Connexion Microsoft SQL Server Management Studio possible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Integration Windows Auth</w:t>
            </w:r>
          </w:p>
        </w:tc>
        <w:tc>
          <w:tcPr>
            <w:tcW w:type="dxa" w:w="45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Active Directory / Windows Authentication supportee</w:t>
            </w:r>
          </w:p>
        </w:tc>
        <w:tc>
          <w:tcPr>
            <w:tcW w:type="dxa" w:w="15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Inclus</w:t>
            </w:r>
          </w:p>
        </w:tc>
      </w:tr>
    </w:tbl>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3. EDITIONS SQL SERVER DISPONIBLES</w:t>
      </w:r>
    </w:p>
    <w:p>
      <w:pPr>
        <w:spacing w:after="0" w:before="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60"/>
        <w:gridCol w:w="1700"/>
        <w:gridCol w:w="1700"/>
        <w:gridCol w:w="1700"/>
        <w:gridCol w:w="1700"/>
      </w:tblGrid>
      <w:tr>
        <w:tc>
          <w:tcPr>
            <w:tcW w:type="dxa" w:w="22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Critere</w:t>
            </w:r>
          </w:p>
        </w:tc>
        <w:tc>
          <w:tcPr>
            <w:tcW w:type="dxa" w:w="1700"/>
            <w:tcBorders>
              <w:top w:val="single" w:color="CCCCCC" w:sz="1"/>
              <w:left w:val="single" w:color="CCCCCC" w:sz="1"/>
              <w:bottom w:val="single" w:color="CCCCCC" w:sz="1"/>
              <w:right w:val="single" w:color="CCCCCC" w:sz="1"/>
            </w:tcBorders>
            <w:shd w:fill="2E6DA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Express</w:t>
            </w:r>
          </w:p>
        </w:tc>
        <w:tc>
          <w:tcPr>
            <w:tcW w:type="dxa" w:w="1700"/>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Web</w:t>
            </w:r>
          </w:p>
        </w:tc>
        <w:tc>
          <w:tcPr>
            <w:tcW w:type="dxa" w:w="1700"/>
            <w:tcBorders>
              <w:top w:val="single" w:color="CCCCCC" w:sz="1"/>
              <w:left w:val="single" w:color="CCCCCC" w:sz="1"/>
              <w:bottom w:val="single" w:color="CCCCCC" w:sz="1"/>
              <w:right w:val="single" w:color="CCCCCC"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Standard</w:t>
            </w:r>
          </w:p>
        </w:tc>
        <w:tc>
          <w:tcPr>
            <w:tcW w:type="dxa" w:w="1700"/>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Enterprise</w:t>
            </w:r>
          </w:p>
        </w:tc>
      </w:tr>
      <w:tr>
        <w:tc>
          <w:tcPr>
            <w:tcW w:type="dxa" w:w="226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Taille max de la BDD</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10 Go</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Illimitee</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Illimitee</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Illimitee</w:t>
            </w:r>
          </w:p>
        </w:tc>
      </w:tr>
      <w:tr>
        <w:tc>
          <w:tcPr>
            <w:tcW w:type="dxa" w:w="2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Haute disponibilite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 (Multi-AZ)</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 (Multi-AZ)</w:t>
            </w:r>
          </w:p>
        </w:tc>
      </w:tr>
      <w:tr>
        <w:tc>
          <w:tcPr>
            <w:tcW w:type="dxa" w:w="226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Always On AG</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w:t>
            </w:r>
          </w:p>
        </w:tc>
      </w:tr>
      <w:tr>
        <w:tc>
          <w:tcPr>
            <w:tcW w:type="dxa" w:w="22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Compression avancee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w:t>
            </w:r>
          </w:p>
        </w:tc>
        <w:tc>
          <w:tcPr>
            <w:tcW w:type="dxa" w:w="17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w:t>
            </w:r>
          </w:p>
        </w:tc>
      </w:tr>
      <w:tr>
        <w:tc>
          <w:tcPr>
            <w:tcW w:type="dxa" w:w="226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Usage commercial</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w:t>
            </w:r>
          </w:p>
        </w:tc>
        <w:tc>
          <w:tcPr>
            <w:tcW w:type="dxa" w:w="17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Oui</w:t>
            </w:r>
          </w:p>
        </w:tc>
      </w:tr>
      <w:tr>
        <w:tc>
          <w:tcPr>
            <w:tcW w:type="dxa" w:w="2260"/>
            <w:tcBorders>
              <w:top w:val="single" w:color="CCCCCC" w:sz="1"/>
              <w:left w:val="single" w:color="CCCCCC" w:sz="1"/>
              <w:bottom w:val="single" w:color="CCCCCC" w:sz="1"/>
              <w:right w:val="single" w:color="CCCCCC" w:sz="1"/>
            </w:tcBorders>
            <w:shd w:fill="E8EAF6" w:val="clear"/>
            <w:tcMar>
              <w:top w:type="dxa" w:w="90"/>
              <w:left w:type="dxa" w:w="150"/>
              <w:bottom w:type="dxa" w:w="90"/>
              <w:right w:type="dxa" w:w="150"/>
            </w:tcMar>
          </w:tcPr>
          <w:p>
            <w:r>
              <w:rPr>
                <w:rFonts w:ascii="Arial" w:cs="Arial" w:eastAsia="Arial" w:hAnsi="Arial"/>
                <w:b/>
                <w:bCs/>
                <w:i/>
                <w:iCs/>
                <w:color w:val="555555"/>
                <w:sz w:val="18"/>
                <w:szCs w:val="18"/>
              </w:rPr>
              <w:t xml:space="preserve">Cout AWS ref. (us-east)</w:t>
            </w:r>
          </w:p>
        </w:tc>
        <w:tc>
          <w:tcPr>
            <w:tcW w:type="dxa" w:w="1700"/>
            <w:tcBorders>
              <w:top w:val="single" w:color="CCCCCC" w:sz="1"/>
              <w:left w:val="single" w:color="CCCCCC" w:sz="1"/>
              <w:bottom w:val="single" w:color="CCCCCC" w:sz="1"/>
              <w:right w:val="single" w:color="CCCCCC" w:sz="1"/>
            </w:tcBorders>
            <w:shd w:fill="E8EAF6" w:val="clear"/>
            <w:tcMar>
              <w:top w:type="dxa" w:w="90"/>
              <w:left w:type="dxa" w:w="150"/>
              <w:bottom w:type="dxa" w:w="90"/>
              <w:right w:type="dxa" w:w="150"/>
            </w:tcMar>
            <w:vAlign w:val="center"/>
          </w:tcPr>
          <w:p>
            <w:pPr>
              <w:jc w:val="center"/>
            </w:pPr>
            <w:r>
              <w:rPr>
                <w:rFonts w:ascii="Arial" w:cs="Arial" w:eastAsia="Arial" w:hAnsi="Arial"/>
                <w:i/>
                <w:iCs/>
                <w:color w:val="888888"/>
                <w:sz w:val="17"/>
                <w:szCs w:val="17"/>
              </w:rPr>
              <w:t xml:space="preserve">~$49/mois
(db.t3.micro)</w:t>
            </w:r>
          </w:p>
        </w:tc>
        <w:tc>
          <w:tcPr>
            <w:tcW w:type="dxa" w:w="1700"/>
            <w:tcBorders>
              <w:top w:val="single" w:color="CCCCCC" w:sz="1"/>
              <w:left w:val="single" w:color="CCCCCC" w:sz="1"/>
              <w:bottom w:val="single" w:color="CCCCCC" w:sz="1"/>
              <w:right w:val="single" w:color="CCCCCC" w:sz="1"/>
            </w:tcBorders>
            <w:shd w:fill="E8EAF6" w:val="clear"/>
            <w:tcMar>
              <w:top w:type="dxa" w:w="90"/>
              <w:left w:type="dxa" w:w="150"/>
              <w:bottom w:type="dxa" w:w="90"/>
              <w:right w:type="dxa" w:w="150"/>
            </w:tcMar>
            <w:vAlign w:val="center"/>
          </w:tcPr>
          <w:p>
            <w:pPr>
              <w:jc w:val="center"/>
            </w:pPr>
            <w:r>
              <w:rPr>
                <w:rFonts w:ascii="Arial" w:cs="Arial" w:eastAsia="Arial" w:hAnsi="Arial"/>
                <w:i/>
                <w:iCs/>
                <w:color w:val="888888"/>
                <w:sz w:val="17"/>
                <w:szCs w:val="17"/>
              </w:rPr>
              <w:t xml:space="preserve">~$194/mois
(db.t3.medium)</w:t>
            </w:r>
          </w:p>
        </w:tc>
        <w:tc>
          <w:tcPr>
            <w:tcW w:type="dxa" w:w="1700"/>
            <w:tcBorders>
              <w:top w:val="single" w:color="CCCCCC" w:sz="1"/>
              <w:left w:val="single" w:color="CCCCCC" w:sz="1"/>
              <w:bottom w:val="single" w:color="CCCCCC" w:sz="1"/>
              <w:right w:val="single" w:color="CCCCCC" w:sz="1"/>
            </w:tcBorders>
            <w:shd w:fill="E8EAF6" w:val="clear"/>
            <w:tcMar>
              <w:top w:type="dxa" w:w="90"/>
              <w:left w:type="dxa" w:w="150"/>
              <w:bottom w:type="dxa" w:w="90"/>
              <w:right w:type="dxa" w:w="150"/>
            </w:tcMar>
            <w:vAlign w:val="center"/>
          </w:tcPr>
          <w:p>
            <w:pPr>
              <w:jc w:val="center"/>
            </w:pPr>
            <w:r>
              <w:rPr>
                <w:rFonts w:ascii="Arial" w:cs="Arial" w:eastAsia="Arial" w:hAnsi="Arial"/>
                <w:i/>
                <w:iCs/>
                <w:color w:val="888888"/>
                <w:sz w:val="17"/>
                <w:szCs w:val="17"/>
              </w:rPr>
              <w:t xml:space="preserve">~$382/mois
(db.t3.medium)</w:t>
            </w:r>
          </w:p>
        </w:tc>
        <w:tc>
          <w:tcPr>
            <w:tcW w:type="dxa" w:w="1700"/>
            <w:tcBorders>
              <w:top w:val="single" w:color="CCCCCC" w:sz="1"/>
              <w:left w:val="single" w:color="CCCCCC" w:sz="1"/>
              <w:bottom w:val="single" w:color="CCCCCC" w:sz="1"/>
              <w:right w:val="single" w:color="CCCCCC" w:sz="1"/>
            </w:tcBorders>
            <w:shd w:fill="E8EAF6" w:val="clear"/>
            <w:tcMar>
              <w:top w:type="dxa" w:w="90"/>
              <w:left w:type="dxa" w:w="150"/>
              <w:bottom w:type="dxa" w:w="90"/>
              <w:right w:type="dxa" w:w="150"/>
            </w:tcMar>
            <w:vAlign w:val="center"/>
          </w:tcPr>
          <w:p>
            <w:pPr>
              <w:jc w:val="center"/>
            </w:pPr>
            <w:r>
              <w:rPr>
                <w:rFonts w:ascii="Arial" w:cs="Arial" w:eastAsia="Arial" w:hAnsi="Arial"/>
                <w:i/>
                <w:iCs/>
                <w:color w:val="888888"/>
                <w:sz w:val="17"/>
                <w:szCs w:val="17"/>
              </w:rPr>
              <w:t xml:space="preserve">~$680/mois
(db.m5.large)</w:t>
            </w:r>
          </w:p>
        </w:tc>
      </w:tr>
      <w:tr>
        <w:tc>
          <w:tcPr>
            <w:tcW w:type="dxa" w:w="2260"/>
            <w:tcBorders>
              <w:top w:val="single" w:color="CCCCCC" w:sz="1"/>
              <w:left w:val="single" w:color="CCCCCC" w:sz="1"/>
              <w:bottom w:val="single" w:color="CCCCCC" w:sz="1"/>
              <w:right w:val="single" w:color="CCCCCC" w:sz="1"/>
            </w:tcBorders>
            <w:shd w:fill="1E3A5F" w:val="clear"/>
            <w:tcMar>
              <w:top w:type="dxa" w:w="120"/>
              <w:left w:type="dxa" w:w="150"/>
              <w:bottom w:type="dxa" w:w="120"/>
              <w:right w:type="dxa" w:w="150"/>
            </w:tcMar>
          </w:tcPr>
          <w:p>
            <w:r>
              <w:rPr>
                <w:rFonts w:ascii="Arial" w:cs="Arial" w:eastAsia="Arial" w:hAnsi="Arial"/>
                <w:b/>
                <w:bCs/>
                <w:color w:val="FFFFFF"/>
                <w:sz w:val="21"/>
                <w:szCs w:val="21"/>
              </w:rPr>
              <w:t xml:space="preserve">Prix OptiCRM HT/mois</w:t>
            </w:r>
          </w:p>
        </w:tc>
        <w:tc>
          <w:tcPr>
            <w:tcW w:type="dxa" w:w="1700"/>
            <w:tcBorders>
              <w:top w:val="single" w:color="CCCCCC" w:sz="1"/>
              <w:left w:val="single" w:color="CCCCCC" w:sz="1"/>
              <w:bottom w:val="single" w:color="CCCCCC" w:sz="1"/>
              <w:right w:val="single" w:color="CCCCCC" w:sz="1"/>
            </w:tcBorders>
            <w:shd w:fill="2E6DA4" w:val="clear"/>
            <w:tcMar>
              <w:top w:type="dxa" w:w="120"/>
              <w:left w:type="dxa" w:w="150"/>
              <w:bottom w:type="dxa" w:w="120"/>
              <w:right w:type="dxa" w:w="150"/>
            </w:tcMar>
            <w:vAlign w:val="center"/>
          </w:tcPr>
          <w:p>
            <w:pPr>
              <w:jc w:val="center"/>
            </w:pPr>
            <w:r>
              <w:rPr>
                <w:rFonts w:ascii="Arial" w:cs="Arial" w:eastAsia="Arial" w:hAnsi="Arial"/>
                <w:i/>
                <w:iCs/>
                <w:color w:val="FFFFFF"/>
                <w:sz w:val="18"/>
                <w:szCs w:val="18"/>
              </w:rPr>
              <w:t xml:space="preserve">Non propose</w:t>
            </w:r>
          </w:p>
          <w:p>
            <w:pPr>
              <w:jc w:val="center"/>
            </w:pPr>
            <w:r>
              <w:rPr>
                <w:rFonts w:ascii="Arial" w:cs="Arial" w:eastAsia="Arial" w:hAnsi="Arial"/>
                <w:color w:val="BDC3C7"/>
                <w:sz w:val="14"/>
                <w:szCs w:val="14"/>
              </w:rPr>
              <w:t xml:space="preserve">(usage interne dev)</w:t>
            </w:r>
          </w:p>
        </w:tc>
        <w:tc>
          <w:tcPr>
            <w:tcW w:type="dxa" w:w="1700"/>
            <w:tcBorders>
              <w:top w:val="single" w:color="CCCCCC" w:sz="1"/>
              <w:left w:val="single" w:color="CCCCCC" w:sz="1"/>
              <w:bottom w:val="single" w:color="CCCCCC" w:sz="1"/>
              <w:right w:val="single" w:color="CCCCCC" w:sz="1"/>
            </w:tcBorders>
            <w:shd w:fill="1A7A3E"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4 500 MAD</w:t>
            </w:r>
          </w:p>
          <w:p>
            <w:pPr>
              <w:jc w:val="center"/>
            </w:pPr>
            <w:r>
              <w:rPr>
                <w:rFonts w:ascii="Arial" w:cs="Arial" w:eastAsia="Arial" w:hAnsi="Arial"/>
                <w:color w:val="D5F5E3"/>
                <w:sz w:val="15"/>
                <w:szCs w:val="15"/>
              </w:rPr>
              <w:t xml:space="preserve">~450 USD</w:t>
            </w:r>
          </w:p>
        </w:tc>
        <w:tc>
          <w:tcPr>
            <w:tcW w:type="dxa" w:w="1700"/>
            <w:tcBorders>
              <w:top w:val="single" w:color="CCCCCC" w:sz="1"/>
              <w:left w:val="single" w:color="CCCCCC" w:sz="1"/>
              <w:bottom w:val="single" w:color="CCCCCC" w:sz="1"/>
              <w:right w:val="single" w:color="CCCCCC" w:sz="1"/>
            </w:tcBorders>
            <w:shd w:fill="E67E22" w:val="clear"/>
            <w:tcMar>
              <w:top w:type="dxa" w:w="120"/>
              <w:left w:type="dxa" w:w="150"/>
              <w:bottom w:type="dxa" w:w="120"/>
              <w:right w:type="dxa" w:w="150"/>
            </w:tcMar>
            <w:vAlign w:val="center"/>
          </w:tcPr>
          <w:p>
            <w:pPr>
              <w:jc w:val="center"/>
            </w:pPr>
            <w:r>
              <w:rPr>
                <w:rFonts w:ascii="Arial" w:cs="Arial" w:eastAsia="Arial" w:hAnsi="Arial"/>
                <w:b/>
                <w:bCs/>
                <w:color w:val="FFFFFF"/>
                <w:sz w:val="24"/>
                <w:szCs w:val="24"/>
              </w:rPr>
              <w:t xml:space="preserve">12 000 MAD</w:t>
            </w:r>
          </w:p>
          <w:p>
            <w:pPr>
              <w:jc w:val="center"/>
            </w:pPr>
            <w:r>
              <w:rPr>
                <w:rFonts w:ascii="Arial" w:cs="Arial" w:eastAsia="Arial" w:hAnsi="Arial"/>
                <w:color w:val="FDEBD0"/>
                <w:sz w:val="15"/>
                <w:szCs w:val="15"/>
              </w:rPr>
              <w:t xml:space="preserve">~1 200 USD</w:t>
            </w:r>
          </w:p>
        </w:tc>
        <w:tc>
          <w:tcPr>
            <w:tcW w:type="dxa" w:w="1700"/>
            <w:tcBorders>
              <w:top w:val="single" w:color="CCCCCC" w:sz="1"/>
              <w:left w:val="single" w:color="CCCCCC" w:sz="1"/>
              <w:bottom w:val="single" w:color="CCCCCC" w:sz="1"/>
              <w:right w:val="single" w:color="CCCCCC" w:sz="1"/>
            </w:tcBorders>
            <w:shd w:fill="C0392B"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Sur devis</w:t>
            </w:r>
          </w:p>
        </w:tc>
      </w:tr>
    </w:tbl>
    <w:p>
      <w:pPr>
        <w:spacing w:after="0" w:before="80"/>
      </w:pPr>
    </w:p>
    <w:p>
      <w:pPr>
        <w:spacing w:after="60" w:before="60"/>
      </w:pPr>
      <w:r>
        <w:rPr>
          <w:rFonts w:ascii="Arial" w:cs="Arial" w:eastAsia="Arial" w:hAnsi="Arial"/>
          <w:i/>
          <w:iCs/>
          <w:color w:val="888888"/>
          <w:sz w:val="18"/>
          <w:szCs w:val="18"/>
        </w:rPr>
        <w:t xml:space="preserve">* Cout AWS ref. indicatif (us-east-1, on-demand, db.t3.medium Single-AZ). Source : aws.amazon.com/rds/sqlserver/pricing</w:t>
      </w:r>
    </w:p>
    <w:p>
      <w:pPr>
        <w:spacing w:after="60" w:before="60"/>
      </w:pPr>
      <w:r>
        <w:rPr>
          <w:rFonts w:ascii="Arial" w:cs="Arial" w:eastAsia="Arial" w:hAnsi="Arial"/>
          <w:i/>
          <w:iCs/>
          <w:color w:val="888888"/>
          <w:sz w:val="18"/>
          <w:szCs w:val="18"/>
        </w:rPr>
        <w:t xml:space="preserve">* Pour usage commercial, OptiCRM recommande l'edition Standard ou Enterprise.</w:t>
      </w:r>
    </w:p>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4. TARIFICATION DETAILLEE – SQL Server Standard Edition (Recommande)</w:t>
      </w:r>
    </w:p>
    <w:p>
      <w:pPr>
        <w:spacing w:after="0" w:before="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400"/>
        <w:gridCol w:w="3360"/>
        <w:gridCol w:w="1300"/>
        <w:gridCol w:w="1000"/>
      </w:tblGrid>
      <w:tr>
        <w:tc>
          <w:tcPr>
            <w:tcW w:type="dxa" w:w="3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Prestation</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c>
          <w:tcPr>
            <w:tcW w:type="dxa" w:w="13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Unite</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Hebergement SaaS – SQL Server Standard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Infra AWS complete – utilisateurs &amp; comptes illimites</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12 000 MAD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MAD/mois</w:t>
            </w:r>
          </w:p>
        </w:tc>
      </w:tr>
      <w:tr>
        <w:tc>
          <w:tcPr>
            <w:tcW w:type="dxa" w:w="34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Licence SQL Server 2022 Standard</w:t>
            </w:r>
          </w:p>
        </w:tc>
        <w:tc>
          <w:tcPr>
            <w:tcW w:type="dxa" w:w="33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Licence Microsoft incluse (AWS License Included)</w:t>
            </w:r>
          </w:p>
        </w:tc>
        <w:tc>
          <w:tcPr>
            <w:tcW w:type="dxa" w:w="13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right"/>
            </w:pPr>
            <w:r>
              <w:rPr>
                <w:rFonts w:ascii="Arial" w:cs="Arial" w:eastAsia="Arial" w:hAnsi="Arial"/>
                <w:b/>
                <w:bCs/>
                <w:color w:val="1A7A3E"/>
                <w:sz w:val="20"/>
                <w:szCs w:val="20"/>
              </w:rPr>
              <w:t xml:space="preserve">Inclus</w:t>
            </w:r>
          </w:p>
        </w:tc>
        <w:tc>
          <w:tcPr>
            <w:tcW w:type="dxa" w:w="1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Frais de setup &amp; migration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Configuration initiale, import donnees, tests (one-time)</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6 000 MAD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MAD</w:t>
            </w:r>
          </w:p>
        </w:tc>
      </w:tr>
      <w:tr>
        <w:tc>
          <w:tcPr>
            <w:tcW w:type="dxa" w:w="34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Domaine personnalise (option)</w:t>
            </w:r>
          </w:p>
        </w:tc>
        <w:tc>
          <w:tcPr>
            <w:tcW w:type="dxa" w:w="33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votre-domaine.ma – configuration DNS incluse</w:t>
            </w:r>
          </w:p>
        </w:tc>
        <w:tc>
          <w:tcPr>
            <w:tcW w:type="dxa" w:w="13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500 MAD</w:t>
            </w:r>
          </w:p>
        </w:tc>
        <w:tc>
          <w:tcPr>
            <w:tcW w:type="dxa" w:w="1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MAD/an</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Stockage additionnel (option)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Par tranche de 100 Go supplementaires</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300 MAD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MAD/mois</w:t>
            </w:r>
          </w:p>
        </w:tc>
      </w:tr>
      <w:tr>
        <w:tc>
          <w:tcPr>
            <w:tcW w:type="dxa" w:w="34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Multi-AZ / Haute dispo (option)</w:t>
            </w:r>
          </w:p>
        </w:tc>
        <w:tc>
          <w:tcPr>
            <w:tcW w:type="dxa" w:w="33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Bascule automatique en cas de panne – RTO &lt; 60s</w:t>
            </w:r>
          </w:p>
        </w:tc>
        <w:tc>
          <w:tcPr>
            <w:tcW w:type="dxa" w:w="13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+3 000 MAD</w:t>
            </w:r>
          </w:p>
        </w:tc>
        <w:tc>
          <w:tcPr>
            <w:tcW w:type="dxa" w:w="1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MAD/mois</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Env. de recette dedie (option)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Environnement de pre-production isole SQL Server Web</w:t>
            </w:r>
          </w:p>
        </w:tc>
        <w:tc>
          <w:tcPr>
            <w:tcW w:type="dxa" w:w="13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2 000 MAD</w:t>
            </w:r>
          </w:p>
        </w:tc>
        <w:tc>
          <w:tcPr>
            <w:tcW w:type="dxa" w:w="1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MAD/mois</w:t>
            </w:r>
          </w:p>
        </w:tc>
      </w:tr>
      <w:tr>
        <w:tc>
          <w:tcPr>
            <w:tcW w:type="dxa" w:w="34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Support etendu (option)</w:t>
            </w:r>
          </w:p>
        </w:tc>
        <w:tc>
          <w:tcPr>
            <w:tcW w:type="dxa" w:w="33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Astreinte weekend + delai de reponse &lt; 2h</w:t>
            </w:r>
          </w:p>
        </w:tc>
        <w:tc>
          <w:tcPr>
            <w:tcW w:type="dxa" w:w="13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2 500 MAD</w:t>
            </w:r>
          </w:p>
        </w:tc>
        <w:tc>
          <w:tcPr>
            <w:tcW w:type="dxa" w:w="10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MAD/mois</w:t>
            </w:r>
          </w:p>
        </w:tc>
      </w:tr>
    </w:tbl>
    <w:p>
      <w:pPr>
        <w:spacing w:after="0" w:before="160"/>
      </w:pPr>
    </w:p>
    <w:p>
      <w:pPr>
        <w:spacing w:after="80" w:before="180"/>
      </w:pPr>
      <w:r>
        <w:rPr>
          <w:rFonts w:ascii="Arial" w:cs="Arial" w:eastAsia="Arial" w:hAnsi="Arial"/>
          <w:b/>
          <w:bCs/>
          <w:color w:val="2E86AB"/>
          <w:sz w:val="22"/>
          <w:szCs w:val="22"/>
        </w:rPr>
        <w:t xml:space="preserve">Recapitulatif financier – SQL Server Standard</w:t>
      </w:r>
    </w:p>
    <w:p>
      <w:pPr>
        <w:spacing w:after="0" w:before="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60"/>
        <w:gridCol w:w="4000"/>
      </w:tblGrid>
      <w:tr>
        <w:tc>
          <w:tcPr>
            <w:tcW w:type="dxa" w:w="5060"/>
            <w:tcBorders>
              <w:top w:val="single" w:color="CCCCCC" w:sz="1"/>
              <w:left w:val="single" w:color="CCCCCC" w:sz="1"/>
              <w:bottom w:val="single" w:color="CCCCCC" w:sz="1"/>
              <w:right w:val="single" w:color="CCCCCC" w:sz="1"/>
            </w:tcBorders>
            <w:shd w:fill="F2F3F4"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Abonnement mensuel HT (Standard Edition)</w:t>
            </w:r>
          </w:p>
        </w:tc>
        <w:tc>
          <w:tcPr>
            <w:tcW w:type="dxa" w:w="4000"/>
            <w:tcBorders>
              <w:top w:val="single" w:color="CCCCCC" w:sz="1"/>
              <w:left w:val="single" w:color="CCCCCC" w:sz="1"/>
              <w:bottom w:val="single" w:color="CCCCCC" w:sz="1"/>
              <w:right w:val="single" w:color="CCCCCC" w:sz="1"/>
            </w:tcBorders>
            <w:shd w:fill="F2F3F4" w:val="clear"/>
            <w:tcMar>
              <w:top w:type="dxa" w:w="90"/>
              <w:left w:type="dxa" w:w="150"/>
              <w:bottom w:type="dxa" w:w="90"/>
              <w:right w:type="dxa" w:w="150"/>
            </w:tcMar>
            <w:vAlign w:val="center"/>
          </w:tcPr>
          <w:p>
            <w:pPr>
              <w:jc w:val="right"/>
            </w:pPr>
            <w:r>
              <w:rPr>
                <w:rFonts w:ascii="Arial" w:cs="Arial" w:eastAsia="Arial" w:hAnsi="Arial"/>
                <w:b/>
                <w:bCs/>
                <w:color w:val="1E3A5F"/>
                <w:sz w:val="20"/>
                <w:szCs w:val="20"/>
              </w:rPr>
              <w:t xml:space="preserve">12 000,00 MAD</w:t>
            </w:r>
          </w:p>
        </w:tc>
      </w:tr>
      <w:tr>
        <w:tc>
          <w:tcPr>
            <w:tcW w:type="dxa" w:w="50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555555"/>
                <w:sz w:val="20"/>
                <w:szCs w:val="20"/>
              </w:rPr>
              <w:t xml:space="preserve">TVA 20%</w:t>
            </w:r>
          </w:p>
        </w:tc>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right"/>
            </w:pPr>
            <w:r>
              <w:rPr>
                <w:rFonts w:ascii="Arial" w:cs="Arial" w:eastAsia="Arial" w:hAnsi="Arial"/>
                <w:b w:val="false"/>
                <w:bCs w:val="false"/>
                <w:color w:val="555555"/>
                <w:sz w:val="20"/>
                <w:szCs w:val="20"/>
              </w:rPr>
              <w:t xml:space="preserve">2 400,00 MAD</w:t>
            </w:r>
          </w:p>
        </w:tc>
      </w:tr>
      <w:tr>
        <w:tc>
          <w:tcPr>
            <w:tcW w:type="dxa" w:w="5060"/>
            <w:tcBorders>
              <w:top w:val="single" w:color="2E86AB" w:sz="4"/>
              <w:left w:val="single" w:color="2E86AB" w:sz="4"/>
              <w:bottom w:val="single" w:color="2E86AB" w:sz="4"/>
              <w:right w:val="single" w:color="2E86AB" w:sz="4"/>
            </w:tcBorders>
            <w:shd w:fill="1E3A5F"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TOTAL MENSUEL TTC</w:t>
            </w:r>
          </w:p>
        </w:tc>
        <w:tc>
          <w:tcPr>
            <w:tcW w:type="dxa" w:w="4000"/>
            <w:tcBorders>
              <w:top w:val="single" w:color="2E86AB" w:sz="4"/>
              <w:left w:val="single" w:color="2E86AB" w:sz="4"/>
              <w:bottom w:val="single" w:color="2E86AB" w:sz="4"/>
              <w:right w:val="single" w:color="2E86AB" w:sz="4"/>
            </w:tcBorders>
            <w:shd w:fill="2E86AB"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14 400,00 MAD</w:t>
            </w:r>
          </w:p>
        </w:tc>
      </w:tr>
      <w:tr>
        <w:tc>
          <w:tcPr>
            <w:tcW w:type="dxa" w:w="5060"/>
            <w:tcBorders>
              <w:top w:val="single" w:color="CCCCCC" w:sz="1"/>
              <w:left w:val="single" w:color="CCCCCC" w:sz="1"/>
              <w:bottom w:val="single" w:color="CCCCCC" w:sz="1"/>
              <w:right w:val="single" w:color="CCCCCC" w:sz="1"/>
            </w:tcBorders>
            <w:shd w:fill="F2F3F4" w:val="clear"/>
            <w:tcMar>
              <w:top w:type="dxa" w:w="90"/>
              <w:left w:type="dxa" w:w="150"/>
              <w:bottom w:type="dxa" w:w="90"/>
              <w:right w:type="dxa" w:w="150"/>
            </w:tcMar>
            <w:vAlign w:val="center"/>
          </w:tcPr>
          <w:p>
            <w:pPr>
              <w:jc w:val="left"/>
            </w:pPr>
            <w:r>
              <w:rPr>
                <w:rFonts w:ascii="Arial" w:cs="Arial" w:eastAsia="Arial" w:hAnsi="Arial"/>
                <w:b w:val="false"/>
                <w:bCs w:val="false"/>
                <w:color w:val="555555"/>
                <w:sz w:val="20"/>
                <w:szCs w:val="20"/>
              </w:rPr>
              <w:t xml:space="preserve">Setup initial HT (one-time)</w:t>
            </w:r>
          </w:p>
        </w:tc>
        <w:tc>
          <w:tcPr>
            <w:tcW w:type="dxa" w:w="4000"/>
            <w:tcBorders>
              <w:top w:val="single" w:color="CCCCCC" w:sz="1"/>
              <w:left w:val="single" w:color="CCCCCC" w:sz="1"/>
              <w:bottom w:val="single" w:color="CCCCCC" w:sz="1"/>
              <w:right w:val="single" w:color="CCCCCC" w:sz="1"/>
            </w:tcBorders>
            <w:shd w:fill="F2F3F4" w:val="clear"/>
            <w:tcMar>
              <w:top w:type="dxa" w:w="90"/>
              <w:left w:type="dxa" w:w="150"/>
              <w:bottom w:type="dxa" w:w="90"/>
              <w:right w:type="dxa" w:w="150"/>
            </w:tcMar>
            <w:vAlign w:val="center"/>
          </w:tcPr>
          <w:p>
            <w:pPr>
              <w:jc w:val="right"/>
            </w:pPr>
            <w:r>
              <w:rPr>
                <w:rFonts w:ascii="Arial" w:cs="Arial" w:eastAsia="Arial" w:hAnsi="Arial"/>
                <w:b w:val="false"/>
                <w:bCs w:val="false"/>
                <w:color w:val="555555"/>
                <w:sz w:val="20"/>
                <w:szCs w:val="20"/>
              </w:rPr>
              <w:t xml:space="preserve">6 000,00 MAD</w:t>
            </w:r>
          </w:p>
        </w:tc>
      </w:tr>
      <w:tr>
        <w:tc>
          <w:tcPr>
            <w:tcW w:type="dxa" w:w="50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555555"/>
                <w:sz w:val="20"/>
                <w:szCs w:val="20"/>
              </w:rPr>
              <w:t xml:space="preserve">TVA 20% sur setup</w:t>
            </w:r>
          </w:p>
        </w:tc>
        <w:tc>
          <w:tcPr>
            <w:tcW w:type="dxa" w:w="4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right"/>
            </w:pPr>
            <w:r>
              <w:rPr>
                <w:rFonts w:ascii="Arial" w:cs="Arial" w:eastAsia="Arial" w:hAnsi="Arial"/>
                <w:b w:val="false"/>
                <w:bCs w:val="false"/>
                <w:color w:val="555555"/>
                <w:sz w:val="20"/>
                <w:szCs w:val="20"/>
              </w:rPr>
              <w:t xml:space="preserve">1 200,00 MAD</w:t>
            </w:r>
          </w:p>
        </w:tc>
      </w:tr>
      <w:tr>
        <w:tc>
          <w:tcPr>
            <w:tcW w:type="dxa" w:w="5060"/>
            <w:tcBorders>
              <w:top w:val="single" w:color="2E86AB" w:sz="4"/>
              <w:left w:val="single" w:color="2E86AB" w:sz="4"/>
              <w:bottom w:val="single" w:color="2E86AB" w:sz="4"/>
              <w:right w:val="single" w:color="2E86AB" w:sz="4"/>
            </w:tcBorders>
            <w:shd w:fill="1A5276"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TOTAL SETUP TTC (one-time)</w:t>
            </w:r>
          </w:p>
        </w:tc>
        <w:tc>
          <w:tcPr>
            <w:tcW w:type="dxa" w:w="4000"/>
            <w:tcBorders>
              <w:top w:val="single" w:color="2E86AB" w:sz="4"/>
              <w:left w:val="single" w:color="2E86AB" w:sz="4"/>
              <w:bottom w:val="single" w:color="2E86AB" w:sz="4"/>
              <w:right w:val="single" w:color="2E86AB" w:sz="4"/>
            </w:tcBorders>
            <w:shd w:fill="1F618D" w:val="clear"/>
            <w:tcMar>
              <w:top w:type="dxa" w:w="120"/>
              <w:left w:type="dxa" w:w="150"/>
              <w:bottom w:type="dxa" w:w="120"/>
              <w:right w:type="dxa" w:w="150"/>
            </w:tcMar>
            <w:vAlign w:val="center"/>
          </w:tcPr>
          <w:p>
            <w:pPr>
              <w:jc w:val="center"/>
            </w:pPr>
            <w:r>
              <w:rPr>
                <w:rFonts w:ascii="Arial" w:cs="Arial" w:eastAsia="Arial" w:hAnsi="Arial"/>
                <w:b/>
                <w:bCs/>
                <w:color w:val="FFFFFF"/>
                <w:sz w:val="22"/>
                <w:szCs w:val="22"/>
              </w:rPr>
              <w:t xml:space="preserve">7 200,00 MAD</w:t>
            </w:r>
          </w:p>
        </w:tc>
      </w:tr>
    </w:tbl>
    <w:p>
      <w:pPr>
        <w:spacing w:after="0" w:before="80"/>
      </w:pPr>
    </w:p>
    <w:p>
      <w:pPr>
        <w:spacing w:after="60" w:before="60"/>
      </w:pPr>
      <w:r>
        <w:rPr>
          <w:rFonts w:ascii="Arial" w:cs="Arial" w:eastAsia="Arial" w:hAnsi="Arial"/>
          <w:i/>
          <w:iCs/>
          <w:color w:val="888888"/>
          <w:sz w:val="18"/>
          <w:szCs w:val="18"/>
        </w:rPr>
        <w:t xml:space="preserve">Taux de reference : 1 USD = 10 MAD (taux indicatif – peut varier selon le marche des changes).</w:t>
      </w:r>
    </w:p>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5. OPTIONS DE PAIEMENT ET REMISES</w:t>
      </w:r>
    </w:p>
    <w:p>
      <w:pPr>
        <w:spacing w:after="0" w:before="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030"/>
        <w:gridCol w:w="2510"/>
        <w:gridCol w:w="2520"/>
      </w:tblGrid>
      <w:tr>
        <w:tc>
          <w:tcPr>
            <w:tcW w:type="dxa" w:w="403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Option de paiement</w:t>
            </w:r>
          </w:p>
        </w:tc>
        <w:tc>
          <w:tcPr>
            <w:tcW w:type="dxa" w:w="251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Prix HT/mois</w:t>
            </w:r>
          </w:p>
        </w:tc>
        <w:tc>
          <w:tcPr>
            <w:tcW w:type="dxa" w:w="252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Economie annuelle</w:t>
            </w:r>
          </w:p>
        </w:tc>
      </w:tr>
      <w:tr>
        <w:tc>
          <w:tcPr>
            <w:tcW w:type="dxa" w:w="403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Mensuel (sans engagement)</w:t>
            </w:r>
          </w:p>
        </w:tc>
        <w:tc>
          <w:tcPr>
            <w:tcW w:type="dxa" w:w="251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12 000 MAD / mois</w:t>
            </w:r>
          </w:p>
        </w:tc>
        <w:tc>
          <w:tcPr>
            <w:tcW w:type="dxa" w:w="252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555555"/>
                <w:sz w:val="20"/>
                <w:szCs w:val="20"/>
              </w:rPr>
              <w:t xml:space="preserve">—</w:t>
            </w:r>
          </w:p>
        </w:tc>
      </w:tr>
      <w:tr>
        <w:tc>
          <w:tcPr>
            <w:tcW w:type="dxa" w:w="403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Annuel – paiement mensuel (-5%)</w:t>
            </w:r>
          </w:p>
        </w:tc>
        <w:tc>
          <w:tcPr>
            <w:tcW w:type="dxa" w:w="251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11 400 MAD / mois</w:t>
            </w:r>
          </w:p>
        </w:tc>
        <w:tc>
          <w:tcPr>
            <w:tcW w:type="dxa" w:w="252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7 200 MAD / an</w:t>
            </w:r>
          </w:p>
        </w:tc>
      </w:tr>
      <w:tr>
        <w:tc>
          <w:tcPr>
            <w:tcW w:type="dxa" w:w="403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Annuel – paiement comptant (-10%)</w:t>
            </w:r>
          </w:p>
        </w:tc>
        <w:tc>
          <w:tcPr>
            <w:tcW w:type="dxa" w:w="251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10 800 MAD / mois</w:t>
            </w:r>
          </w:p>
        </w:tc>
        <w:tc>
          <w:tcPr>
            <w:tcW w:type="dxa" w:w="252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14 400 MAD / an</w:t>
            </w:r>
          </w:p>
        </w:tc>
      </w:tr>
    </w:tbl>
    <w:p>
      <w:pPr>
        <w:spacing w:after="0" w:before="80"/>
      </w:pPr>
    </w:p>
    <w:p>
      <w:pPr>
        <w:spacing w:after="60" w:before="60"/>
      </w:pPr>
      <w:r>
        <w:rPr>
          <w:rFonts w:ascii="Arial" w:cs="Arial" w:eastAsia="Arial" w:hAnsi="Arial"/>
          <w:i/>
          <w:iCs/>
          <w:color w:val="888888"/>
          <w:sz w:val="18"/>
          <w:szCs w:val="18"/>
        </w:rPr>
        <w:t xml:space="preserve">Remise applicable sur l'abonnement mensuel uniquement. Les frais de setup restent inchanges.</w:t>
      </w:r>
    </w:p>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6. COMPARATIF SQL SERVER vs POSTGRESQL</w:t>
      </w:r>
    </w:p>
    <w:p>
      <w:pPr>
        <w:spacing w:after="0" w:before="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60"/>
        <w:gridCol w:w="3000"/>
        <w:gridCol w:w="3000"/>
      </w:tblGrid>
      <w:tr>
        <w:tc>
          <w:tcPr>
            <w:tcW w:type="dxa" w:w="30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Critere</w:t>
            </w:r>
          </w:p>
        </w:tc>
        <w:tc>
          <w:tcPr>
            <w:tcW w:type="dxa" w:w="3000"/>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PostgreSQL (ref.)</w:t>
            </w:r>
          </w:p>
        </w:tc>
        <w:tc>
          <w:tcPr>
            <w:tcW w:type="dxa" w:w="3000"/>
            <w:tcBorders>
              <w:top w:val="single" w:color="CCCCCC" w:sz="1"/>
              <w:left w:val="single" w:color="CCCCCC" w:sz="1"/>
              <w:bottom w:val="single" w:color="CCCCCC" w:sz="1"/>
              <w:right w:val="single" w:color="CCCCCC"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SQL Server Standard</w:t>
            </w:r>
          </w:p>
        </w:tc>
      </w:tr>
      <w:tr>
        <w:tc>
          <w:tcPr>
            <w:tcW w:type="dxa" w:w="306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Compatibilite</w:t>
            </w:r>
          </w:p>
        </w:tc>
        <w:tc>
          <w:tcPr>
            <w:tcW w:type="dxa" w:w="30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Standard ouvert</w:t>
            </w:r>
          </w:p>
        </w:tc>
        <w:tc>
          <w:tcPr>
            <w:tcW w:type="dxa" w:w="30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Microsoft / legacy ERP</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Licence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Open Source (gratuite)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Commerciale (incluse AWS)</w:t>
            </w:r>
          </w:p>
        </w:tc>
      </w:tr>
      <w:tr>
        <w:tc>
          <w:tcPr>
            <w:tcW w:type="dxa" w:w="306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Integ. Sage / ERP MS</w:t>
            </w:r>
          </w:p>
        </w:tc>
        <w:tc>
          <w:tcPr>
            <w:tcW w:type="dxa" w:w="30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Via connecteurs</w:t>
            </w:r>
          </w:p>
        </w:tc>
        <w:tc>
          <w:tcPr>
            <w:tcW w:type="dxa" w:w="3000"/>
            <w:tcBorders>
              <w:top w:val="single" w:color="CCCCCC" w:sz="1"/>
              <w:left w:val="single" w:color="CCCCCC" w:sz="1"/>
              <w:bottom w:val="single" w:color="CCCCCC" w:sz="1"/>
              <w:right w:val="single" w:color="CCCCCC" w:sz="1"/>
            </w:tcBorders>
            <w:shd w:fill="D6EAF8"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Natif (SSMS, ODBC)</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SSMS / Windows Auth</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C0392B"/>
                <w:sz w:val="20"/>
                <w:szCs w:val="20"/>
              </w:rPr>
              <w:t xml:space="preserve">Non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1A7A3E"/>
                <w:sz w:val="20"/>
                <w:szCs w:val="20"/>
              </w:rPr>
              <w:t xml:space="preserve">Oui</w:t>
            </w:r>
          </w:p>
        </w:tc>
      </w:tr>
      <w:tr>
        <w:tc>
          <w:tcPr>
            <w:tcW w:type="dxa" w:w="3060"/>
            <w:tcBorders>
              <w:top w:val="single" w:color="CCCCCC" w:sz="1"/>
              <w:left w:val="single" w:color="CCCCCC" w:sz="1"/>
              <w:bottom w:val="single" w:color="CCCCCC" w:sz="1"/>
              <w:right w:val="single" w:color="CCCCCC" w:sz="1"/>
            </w:tcBorders>
            <w:shd w:fill="F2F3F4"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Cout mensuel SaaS HT</w:t>
            </w:r>
          </w:p>
        </w:tc>
        <w:tc>
          <w:tcPr>
            <w:tcW w:type="dxa" w:w="3000"/>
            <w:tcBorders>
              <w:top w:val="single" w:color="CCCCCC" w:sz="1"/>
              <w:left w:val="single" w:color="CCCCCC" w:sz="1"/>
              <w:bottom w:val="single" w:color="CCCCCC" w:sz="1"/>
              <w:right w:val="single" w:color="CCCCCC" w:sz="1"/>
            </w:tcBorders>
            <w:shd w:fill="F2F3F4" w:val="clear"/>
            <w:tcMar>
              <w:top w:type="dxa" w:w="90"/>
              <w:left w:type="dxa" w:w="150"/>
              <w:bottom w:type="dxa" w:w="90"/>
              <w:right w:type="dxa" w:w="150"/>
            </w:tcMar>
            <w:vAlign w:val="center"/>
          </w:tcPr>
          <w:p>
            <w:pPr>
              <w:jc w:val="center"/>
            </w:pPr>
            <w:r>
              <w:rPr>
                <w:rFonts w:ascii="Arial" w:cs="Arial" w:eastAsia="Arial" w:hAnsi="Arial"/>
                <w:b w:val="false"/>
                <w:bCs w:val="false"/>
                <w:color w:val="1A7A3E"/>
                <w:sz w:val="20"/>
                <w:szCs w:val="20"/>
              </w:rPr>
              <w:t xml:space="preserve">8 500 MAD</w:t>
            </w:r>
          </w:p>
        </w:tc>
        <w:tc>
          <w:tcPr>
            <w:tcW w:type="dxa" w:w="3000"/>
            <w:tcBorders>
              <w:top w:val="single" w:color="CCCCCC" w:sz="1"/>
              <w:left w:val="single" w:color="CCCCCC" w:sz="1"/>
              <w:bottom w:val="single" w:color="CCCCCC" w:sz="1"/>
              <w:right w:val="single" w:color="CCCCCC" w:sz="1"/>
            </w:tcBorders>
            <w:shd w:fill="F2F3F4" w:val="clear"/>
            <w:tcMar>
              <w:top w:type="dxa" w:w="90"/>
              <w:left w:type="dxa" w:w="150"/>
              <w:bottom w:type="dxa" w:w="90"/>
              <w:right w:type="dxa" w:w="150"/>
            </w:tcMar>
            <w:vAlign w:val="center"/>
          </w:tcPr>
          <w:p>
            <w:pPr>
              <w:jc w:val="center"/>
            </w:pPr>
            <w:r>
              <w:rPr>
                <w:rFonts w:ascii="Arial" w:cs="Arial" w:eastAsia="Arial" w:hAnsi="Arial"/>
                <w:b/>
                <w:bCs/>
                <w:color w:val="E67E22"/>
                <w:sz w:val="20"/>
                <w:szCs w:val="20"/>
              </w:rPr>
              <w:t xml:space="preserve">12 000 MAD</w:t>
            </w:r>
          </w:p>
        </w:tc>
      </w:tr>
      <w:tr>
        <w:tc>
          <w:tcPr>
            <w:tcW w:type="dxa" w:w="30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Supplement licence SQL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333333"/>
                <w:sz w:val="20"/>
                <w:szCs w:val="20"/>
              </w:rPr>
              <w:t xml:space="preserve">0 MAD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center"/>
            </w:pPr>
            <w:r>
              <w:rPr>
                <w:rFonts w:ascii="Arial" w:cs="Arial" w:eastAsia="Arial" w:hAnsi="Arial"/>
                <w:b/>
                <w:bCs/>
                <w:color w:val="C0392B"/>
                <w:sz w:val="20"/>
                <w:szCs w:val="20"/>
              </w:rPr>
              <w:t xml:space="preserve">+3 500 MAD/mois</w:t>
            </w:r>
          </w:p>
        </w:tc>
      </w:tr>
    </w:tbl>
    <w:p>
      <w:pPr>
        <w:spacing w:after="0" w:before="80"/>
      </w:pPr>
    </w:p>
    <w:p>
      <w:pPr>
        <w:spacing w:after="60" w:before="60"/>
      </w:pPr>
      <w:r>
        <w:rPr>
          <w:rFonts w:ascii="Arial" w:cs="Arial" w:eastAsia="Arial" w:hAnsi="Arial"/>
          <w:i/>
          <w:iCs/>
          <w:color w:val="888888"/>
          <w:sz w:val="18"/>
          <w:szCs w:val="18"/>
        </w:rPr>
        <w:t xml:space="preserve">PostgreSQL est open-source et offre des performances equivalentes pour la plupart des usages CRM.</w:t>
      </w:r>
    </w:p>
    <w:p>
      <w:pPr>
        <w:spacing w:after="60" w:before="60"/>
      </w:pPr>
      <w:r>
        <w:rPr>
          <w:rFonts w:ascii="Arial" w:cs="Arial" w:eastAsia="Arial" w:hAnsi="Arial"/>
          <w:i/>
          <w:iCs/>
          <w:color w:val="888888"/>
          <w:sz w:val="18"/>
          <w:szCs w:val="18"/>
        </w:rPr>
        <w:t xml:space="preserve">SQL Server est recommande si le client utilise deja des outils Microsoft (SSMS, SSIS, Reporting Services, ERP Sage).</w:t>
      </w:r>
    </w:p>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7. NIVEAUX DE SERVICE (SLA)</w:t>
      </w:r>
    </w:p>
    <w:p>
      <w:pPr>
        <w:spacing w:after="0" w:before="8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200"/>
        <w:gridCol w:w="5860"/>
      </w:tblGrid>
      <w:t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Indicateur</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Engagement OptiCRM</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Disponibilite</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99.9% par mois (hors maintenance programmee)</w:t>
            </w:r>
          </w:p>
        </w:tc>
      </w:tr>
      <w:tr>
        <w:tc>
          <w:tcPr>
            <w:tcW w:type="dxa" w:w="32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Temps de reponse app</w:t>
            </w:r>
          </w:p>
        </w:tc>
        <w:tc>
          <w:tcPr>
            <w:tcW w:type="dxa" w:w="58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Moins de 2 secondes pour les pages standards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Maintenance planifiee</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Samedis 22h-06h – notification 48h a l'avance</w:t>
            </w:r>
          </w:p>
        </w:tc>
      </w:tr>
      <w:tr>
        <w:tc>
          <w:tcPr>
            <w:tcW w:type="dxa" w:w="32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Sauvegarde SQL Server</w:t>
            </w:r>
          </w:p>
        </w:tc>
        <w:tc>
          <w:tcPr>
            <w:tcW w:type="dxa" w:w="58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Native SQL Server Backup – retention 30 jours – restauration &lt; 4h</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Support standard</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Lundi-Vendredi 8h-18h – reponse sous 4h ouvrables</w:t>
            </w:r>
          </w:p>
        </w:tc>
      </w:tr>
      <w:tr>
        <w:tc>
          <w:tcPr>
            <w:tcW w:type="dxa" w:w="320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Chiffrement</w:t>
            </w:r>
          </w:p>
        </w:tc>
        <w:tc>
          <w:tcPr>
            <w:tcW w:type="dxa" w:w="5860"/>
            <w:tcBorders>
              <w:top w:val="single" w:color="CCCCCC" w:sz="1"/>
              <w:left w:val="single" w:color="CCCCCC" w:sz="1"/>
              <w:bottom w:val="single" w:color="CCCCCC" w:sz="1"/>
              <w:right w:val="single" w:color="CCCCCC" w:sz="1"/>
            </w:tcBorders>
            <w:shd w:fill="EBF5FB"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TDE (Transparent Data Encryption) + TLS 1.3 en transit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bCs/>
                <w:color w:val="333333"/>
                <w:sz w:val="20"/>
                <w:szCs w:val="20"/>
              </w:rPr>
              <w:t xml:space="preserve">Option Multi-AZ</w:t>
            </w:r>
          </w:p>
        </w:tc>
        <w:tc>
          <w:tcPr>
            <w:tcW w:type="dxa" w:w="5860"/>
            <w:tcBorders>
              <w:top w:val="single" w:color="CCCCCC" w:sz="1"/>
              <w:left w:val="single" w:color="CCCCCC" w:sz="1"/>
              <w:bottom w:val="single" w:color="CCCCCC" w:sz="1"/>
              <w:right w:val="single" w:color="CCCCCC"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333333"/>
                <w:sz w:val="20"/>
                <w:szCs w:val="20"/>
              </w:rPr>
              <w:t xml:space="preserve">RTO &lt; 60 secondes – bascule automatique (option +3 000 MAD/mois)</w:t>
            </w:r>
          </w:p>
        </w:tc>
      </w:tr>
    </w:tbl>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8. CONDITIONS GENERALES</w:t>
      </w:r>
    </w:p>
    <w:p>
      <w:pPr>
        <w:spacing w:after="0" w:before="80"/>
      </w:pPr>
    </w:p>
    <w:p>
      <w:pPr>
        <w:pStyle w:val="ListParagraph"/>
        <w:numPr>
          <w:ilvl w:val="0"/>
          <w:numId w:val="2"/>
        </w:numPr>
      </w:pPr>
      <w:r>
        <w:rPr>
          <w:rFonts w:ascii="Arial" w:cs="Arial" w:eastAsia="Arial" w:hAnsi="Arial"/>
          <w:sz w:val="19"/>
          <w:szCs w:val="19"/>
        </w:rPr>
        <w:t xml:space="preserve">Abonnement mensuel : facturation le 1er de chaque mois – paiement a 30 jours</w:t>
      </w:r>
    </w:p>
    <w:p>
      <w:pPr>
        <w:pStyle w:val="ListParagraph"/>
        <w:numPr>
          <w:ilvl w:val="0"/>
          <w:numId w:val="2"/>
        </w:numPr>
      </w:pPr>
      <w:r>
        <w:rPr>
          <w:rFonts w:ascii="Arial" w:cs="Arial" w:eastAsia="Arial" w:hAnsi="Arial"/>
          <w:sz w:val="19"/>
          <w:szCs w:val="19"/>
        </w:rPr>
        <w:t xml:space="preserve">Paiement annuel : regle en une fois en debut de periode – remise appliquee</w:t>
      </w:r>
    </w:p>
    <w:p>
      <w:pPr>
        <w:pStyle w:val="ListParagraph"/>
        <w:numPr>
          <w:ilvl w:val="0"/>
          <w:numId w:val="2"/>
        </w:numPr>
      </w:pPr>
      <w:r>
        <w:rPr>
          <w:rFonts w:ascii="Arial" w:cs="Arial" w:eastAsia="Arial" w:hAnsi="Arial"/>
          <w:sz w:val="19"/>
          <w:szCs w:val="19"/>
        </w:rPr>
        <w:t xml:space="preserve">Resiliation : preavis de 30 jours par email – export .bak SQL Server fourni gratuitement</w:t>
      </w:r>
    </w:p>
    <w:p>
      <w:pPr>
        <w:pStyle w:val="ListParagraph"/>
        <w:numPr>
          <w:ilvl w:val="0"/>
          <w:numId w:val="2"/>
        </w:numPr>
      </w:pPr>
      <w:r>
        <w:rPr>
          <w:rFonts w:ascii="Arial" w:cs="Arial" w:eastAsia="Arial" w:hAnsi="Arial"/>
          <w:sz w:val="19"/>
          <w:szCs w:val="19"/>
        </w:rPr>
        <w:t xml:space="preserve">Les donnees restent la propriete exclusive du client en tout temps</w:t>
      </w:r>
    </w:p>
    <w:p>
      <w:pPr>
        <w:pStyle w:val="ListParagraph"/>
        <w:numPr>
          <w:ilvl w:val="0"/>
          <w:numId w:val="2"/>
        </w:numPr>
      </w:pPr>
      <w:r>
        <w:rPr>
          <w:rFonts w:ascii="Arial" w:cs="Arial" w:eastAsia="Arial" w:hAnsi="Arial"/>
          <w:sz w:val="19"/>
          <w:szCs w:val="19"/>
        </w:rPr>
        <w:t xml:space="preserve">TVA applicable : 20% sur tous les montants hors taxes</w:t>
      </w:r>
    </w:p>
    <w:p>
      <w:pPr>
        <w:pStyle w:val="ListParagraph"/>
        <w:numPr>
          <w:ilvl w:val="0"/>
          <w:numId w:val="2"/>
        </w:numPr>
      </w:pPr>
      <w:r>
        <w:rPr>
          <w:rFonts w:ascii="Arial" w:cs="Arial" w:eastAsia="Arial" w:hAnsi="Arial"/>
          <w:sz w:val="19"/>
          <w:szCs w:val="19"/>
        </w:rPr>
        <w:t xml:space="preserve">Ce devis est valable 30 jours a compter de sa date d'emission</w:t>
      </w:r>
    </w:p>
    <w:p>
      <w:pPr>
        <w:pStyle w:val="ListParagraph"/>
        <w:numPr>
          <w:ilvl w:val="0"/>
          <w:numId w:val="2"/>
        </w:numPr>
      </w:pPr>
      <w:r>
        <w:rPr>
          <w:rFonts w:ascii="Arial" w:cs="Arial" w:eastAsia="Arial" w:hAnsi="Arial"/>
          <w:sz w:val="19"/>
          <w:szCs w:val="19"/>
        </w:rPr>
        <w:t xml:space="preserve">Toute modification du perimetre fera l'objet d'un avenant contractuel</w:t>
      </w:r>
    </w:p>
    <w:p>
      <w:pPr>
        <w:pStyle w:val="ListParagraph"/>
        <w:numPr>
          <w:ilvl w:val="0"/>
          <w:numId w:val="2"/>
        </w:numPr>
      </w:pPr>
      <w:r>
        <w:rPr>
          <w:rFonts w:ascii="Arial" w:cs="Arial" w:eastAsia="Arial" w:hAnsi="Arial"/>
          <w:sz w:val="19"/>
          <w:szCs w:val="19"/>
        </w:rPr>
        <w:t xml:space="preserve">La licence SQL Server est geree par AWS – aucune gestion de licence a la charge du client</w:t>
      </w:r>
    </w:p>
    <w:p>
      <w:pPr>
        <w:spacing w:after="0" w:before="220"/>
      </w:pPr>
    </w:p>
    <w:p>
      <w:pPr>
        <w:pBdr>
          <w:bottom w:val="single" w:color="2E86AB" w:sz="8" w:space="4"/>
        </w:pBdr>
        <w:spacing w:after="140" w:before="280"/>
      </w:pPr>
      <w:r>
        <w:rPr>
          <w:rFonts w:ascii="Arial" w:cs="Arial" w:eastAsia="Arial" w:hAnsi="Arial"/>
          <w:b/>
          <w:bCs/>
          <w:color w:val="1E3A5F"/>
          <w:sz w:val="26"/>
          <w:szCs w:val="26"/>
        </w:rPr>
        <w:t xml:space="preserve">9. ACCEPTATION DU DEVIS</w:t>
      </w:r>
    </w:p>
    <w:p>
      <w:pPr>
        <w:spacing w:after="0" w:before="80"/>
      </w:pPr>
    </w:p>
    <w:p>
      <w:pPr>
        <w:spacing w:after="60" w:before="60"/>
      </w:pPr>
      <w:r>
        <w:rPr>
          <w:rFonts w:ascii="Arial" w:cs="Arial" w:eastAsia="Arial" w:hAnsi="Arial"/>
          <w:color w:val="444444"/>
          <w:sz w:val="20"/>
          <w:szCs w:val="20"/>
        </w:rPr>
        <w:t xml:space="preserve">Pour accepter ce devis, veuillez le signer et le retourner avec la mention "Bon pour accord".</w:t>
      </w:r>
    </w:p>
    <w:p>
      <w:pPr>
        <w:spacing w:after="0" w:before="100"/>
      </w:pPr>
    </w:p>
    <w:p>
      <w:pPr>
        <w:spacing w:after="80" w:before="80"/>
      </w:pPr>
      <w:r>
        <w:rPr>
          <w:rFonts w:ascii="Arial" w:cs="Arial" w:eastAsia="Arial" w:hAnsi="Arial"/>
          <w:sz w:val="20"/>
          <w:szCs w:val="20"/>
        </w:rPr>
        <w:t xml:space="preserve">Fait a _________________________, le _________________________</w:t>
      </w:r>
    </w:p>
    <w:p>
      <w:pPr>
        <w:spacing w:after="0" w:before="100"/>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30"/>
        <w:gridCol w:w="4530"/>
      </w:tblGrid>
      <w:tr>
        <w:tc>
          <w:tcPr>
            <w:tcW w:type="dxa" w:w="4530"/>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b/>
                <w:bCs/>
                <w:color w:val="1E3A5F"/>
                <w:sz w:val="20"/>
                <w:szCs w:val="20"/>
              </w:rPr>
              <w:t xml:space="preserve">Signature Client :</w:t>
            </w:r>
          </w:p>
          <w:p>
            <w:pPr>
              <w:spacing w:after="60" w:before="60"/>
            </w:pPr>
            <w:r>
              <w:rPr>
                <w:rFonts w:ascii="Arial" w:cs="Arial" w:eastAsia="Arial" w:hAnsi="Arial"/>
                <w:sz w:val="19"/>
                <w:szCs w:val="19"/>
              </w:rPr>
              <w:t xml:space="preserve">Nom :      ___________________________</w:t>
            </w:r>
          </w:p>
          <w:p>
            <w:pPr>
              <w:spacing w:after="60" w:before="60"/>
            </w:pPr>
            <w:r>
              <w:rPr>
                <w:rFonts w:ascii="Arial" w:cs="Arial" w:eastAsia="Arial" w:hAnsi="Arial"/>
                <w:sz w:val="19"/>
                <w:szCs w:val="19"/>
              </w:rPr>
              <w:t xml:space="preserve">Fonction : ______________________</w:t>
            </w:r>
          </w:p>
          <w:p>
            <w:pPr>
              <w:spacing w:after="60" w:before="60"/>
            </w:pPr>
            <w:r>
              <w:rPr>
                <w:rFonts w:ascii="Arial" w:cs="Arial" w:eastAsia="Arial" w:hAnsi="Arial"/>
                <w:sz w:val="19"/>
                <w:szCs w:val="19"/>
              </w:rPr>
              <w:t xml:space="preserve">Date :     __________________________</w:t>
            </w:r>
          </w:p>
          <w:p>
            <w:pPr>
              <w:spacing w:after="60" w:before="120"/>
            </w:pPr>
            <w:r>
              <w:rPr>
                <w:rFonts w:ascii="Arial" w:cs="Arial" w:eastAsia="Arial" w:hAnsi="Arial"/>
                <w:sz w:val="19"/>
                <w:szCs w:val="19"/>
              </w:rPr>
              <w:t xml:space="preserve">Cachet &amp; Signature :</w:t>
            </w:r>
          </w:p>
          <w:p>
            <w:pPr>
              <w:spacing w:after="60" w:before="200"/>
            </w:pPr>
          </w:p>
        </w:tc>
        <w:tc>
          <w:tcPr>
            <w:tcW w:type="dxa" w:w="4530"/>
            <w:tcBorders>
              <w:top w:val="none" w:color="FFFFFF" w:sz="0"/>
              <w:left w:val="none" w:color="FFFFFF" w:sz="0"/>
              <w:bottom w:val="none" w:color="FFFFFF" w:sz="0"/>
              <w:right w:val="none" w:color="FFFFFF" w:sz="0"/>
            </w:tcBorders>
            <w:tcMar>
              <w:top w:type="dxa" w:w="80"/>
              <w:left w:type="dxa" w:w="150"/>
              <w:bottom w:type="dxa" w:w="80"/>
              <w:right w:type="dxa" w:w="150"/>
            </w:tcMar>
          </w:tcPr>
          <w:p>
            <w:r>
              <w:rPr>
                <w:rFonts w:ascii="Arial" w:cs="Arial" w:eastAsia="Arial" w:hAnsi="Arial"/>
                <w:b/>
                <w:bCs/>
                <w:color w:val="1E3A5F"/>
                <w:sz w:val="20"/>
                <w:szCs w:val="20"/>
              </w:rPr>
              <w:t xml:space="preserve">Signature OptiCRM :</w:t>
            </w:r>
          </w:p>
          <w:p>
            <w:pPr>
              <w:spacing w:after="60" w:before="60"/>
            </w:pPr>
            <w:r>
              <w:rPr>
                <w:rFonts w:ascii="Arial" w:cs="Arial" w:eastAsia="Arial" w:hAnsi="Arial"/>
                <w:sz w:val="19"/>
                <w:szCs w:val="19"/>
              </w:rPr>
              <w:t xml:space="preserve">Nom :      ___________________________</w:t>
            </w:r>
          </w:p>
          <w:p>
            <w:pPr>
              <w:spacing w:after="60" w:before="60"/>
            </w:pPr>
            <w:r>
              <w:rPr>
                <w:rFonts w:ascii="Arial" w:cs="Arial" w:eastAsia="Arial" w:hAnsi="Arial"/>
                <w:sz w:val="19"/>
                <w:szCs w:val="19"/>
              </w:rPr>
              <w:t xml:space="preserve">Fonction : ______________________</w:t>
            </w:r>
          </w:p>
          <w:p>
            <w:pPr>
              <w:spacing w:after="60" w:before="60"/>
            </w:pPr>
            <w:r>
              <w:rPr>
                <w:rFonts w:ascii="Arial" w:cs="Arial" w:eastAsia="Arial" w:hAnsi="Arial"/>
                <w:sz w:val="19"/>
                <w:szCs w:val="19"/>
              </w:rPr>
              <w:t xml:space="preserve">Date :     __________________________</w:t>
            </w:r>
          </w:p>
          <w:p>
            <w:pPr>
              <w:spacing w:after="60" w:before="120"/>
            </w:pPr>
            <w:r>
              <w:rPr>
                <w:rFonts w:ascii="Arial" w:cs="Arial" w:eastAsia="Arial" w:hAnsi="Arial"/>
                <w:sz w:val="19"/>
                <w:szCs w:val="19"/>
              </w:rPr>
              <w:t xml:space="preserve">Cachet &amp; Signature :</w:t>
            </w:r>
          </w:p>
          <w:p>
            <w:pPr>
              <w:spacing w:after="60" w:before="200"/>
            </w:pPr>
          </w:p>
        </w:tc>
      </w:tr>
    </w:tbl>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jc w:val="center"/>
    </w:pPr>
    <w:r>
      <w:rPr>
        <w:rFonts w:ascii="Arial" w:cs="Arial" w:eastAsia="Arial" w:hAnsi="Arial"/>
        <w:color w:val="888888"/>
        <w:sz w:val="16"/>
        <w:szCs w:val="16"/>
      </w:rPr>
      <w:t xml:space="preserve">OptiCRM – Votre partenaire CRM  |  contact@opticrm.ma  |  www.opticrm.ma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jc w:val="right"/>
    </w:pPr>
    <w:r>
      <w:rPr>
        <w:rFonts w:ascii="Arial" w:cs="Arial" w:eastAsia="Arial" w:hAnsi="Arial"/>
        <w:color w:val="888888"/>
        <w:sz w:val="16"/>
        <w:szCs w:val="16"/>
      </w:rPr>
      <w:t xml:space="preserve">OptiCRM – Devis Hebergement SaaS SQL Server  |  www.opticrm.ma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2026-03-31T08:26:18.292Z</dcterms:created>
  <dcterms:modified xsi:type="dcterms:W3CDTF">2026-03-31T08:26:18.293Z</dcterms:modified>
</cp:coreProperties>
</file>

<file path=docProps/custom.xml><?xml version="1.0" encoding="utf-8"?>
<Properties xmlns="http://schemas.openxmlformats.org/officeDocument/2006/custom-properties" xmlns:vt="http://schemas.openxmlformats.org/officeDocument/2006/docPropsVTypes"/>
</file>