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val="clear"/>
        <w:spacing w:after="0" w:before="2000"/>
        <w:jc w:val="center"/>
      </w:pPr>
      <w:r>
        <w:rPr>
          <w:sz w:val="72"/>
          <w:szCs w:val="72"/>
        </w:rPr>
        <w:t xml:space="preserve"/>
      </w:r>
    </w:p>
    <w:p>
      <w:pPr>
        <w:shd w:fill="1E3A5F" w:val="clear"/>
        <w:spacing w:after="0" w:before="0"/>
        <w:jc w:val="center"/>
      </w:pPr>
      <w:r>
        <w:rPr>
          <w:rFonts w:ascii="Arial" w:cs="Arial" w:eastAsia="Arial" w:hAnsi="Arial"/>
          <w:b/>
          <w:bCs/>
          <w:color w:val="FFFFFF"/>
          <w:sz w:val="96"/>
          <w:szCs w:val="96"/>
        </w:rPr>
        <w:t xml:space="preserve">OptiCRM</w:t>
      </w:r>
    </w:p>
    <w:p>
      <w:pPr>
        <w:shd w:fill="1E3A5F" w:val="clear"/>
        <w:spacing w:after="0" w:before="120"/>
        <w:jc w:val="center"/>
      </w:pPr>
      <w:r>
        <w:rPr>
          <w:rFonts w:ascii="Arial" w:cs="Arial" w:eastAsia="Arial" w:hAnsi="Arial"/>
          <w:color w:val="4A90D9"/>
          <w:sz w:val="52"/>
          <w:szCs w:val="52"/>
        </w:rPr>
        <w:t xml:space="preserve">Module CRM</w:t>
      </w:r>
    </w:p>
    <w:p>
      <w:pPr>
        <w:pBdr>
          <w:bottom w:val="single" w:color="4A90D9" w:sz="4"/>
        </w:pBdr>
        <w:shd w:fill="1E3A5F" w:val="clear"/>
        <w:spacing w:after="0" w:before="240"/>
        <w:jc w:val="center"/>
      </w:pPr>
      <w:r>
        <w:rPr>
          <w:rFonts w:ascii="Arial" w:cs="Arial" w:eastAsia="Arial" w:hAnsi="Arial"/>
          <w:i/>
          <w:iCs/>
          <w:color w:val="FFFFFF"/>
          <w:sz w:val="36"/>
          <w:szCs w:val="36"/>
        </w:rPr>
        <w:t xml:space="preserve">Manuel d'Utilisation</w:t>
      </w:r>
    </w:p>
    <w:p>
      <w:pPr>
        <w:shd w:fill="1E3A5F" w:val="clear"/>
        <w:spacing w:after="0" w:before="400"/>
        <w:jc w:val="center"/>
      </w:pPr>
      <w:r>
        <w:rPr>
          <w:rFonts w:ascii="Arial" w:cs="Arial" w:eastAsia="Arial" w:hAnsi="Arial"/>
          <w:color w:val="AACCEE"/>
          <w:sz w:val="24"/>
          <w:szCs w:val="24"/>
        </w:rPr>
        <w:t xml:space="preserve">Version 1.0  |  Mars 2026</w:t>
      </w:r>
    </w:p>
    <w:p>
      <w:pPr>
        <w:shd w:fill="1E3A5F" w:val="clear"/>
        <w:spacing w:after="0" w:before="2400"/>
        <w:jc w:val="center"/>
      </w:pPr>
      <w:r>
        <w:rPr>
          <w:rFonts w:ascii="Arial" w:cs="Arial" w:eastAsia="Arial" w:hAnsi="Arial"/>
          <w:i/>
          <w:iCs/>
          <w:color w:val="8899BB"/>
          <w:sz w:val="20"/>
          <w:szCs w:val="20"/>
        </w:rPr>
        <w:t xml:space="preserve">Confidentiel - Usage Interne</w:t>
      </w:r>
    </w:p>
    <w:p>
      <w:r>
        <w:br w:type="page"/>
      </w:r>
    </w:p>
    <w:p>
      <w:pPr>
        <w:pStyle w:val="Heading1"/>
        <w:pBdr>
          <w:bottom w:val="single" w:color="4A90D9" w:sz="3"/>
        </w:pBdr>
        <w:shd w:fill="1E3A5F" w:val="clear"/>
        <w:spacing w:after="200" w:before="360"/>
      </w:pPr>
      <w:r>
        <w:rPr>
          <w:rFonts w:ascii="Arial" w:cs="Arial" w:eastAsia="Arial" w:hAnsi="Arial"/>
          <w:b/>
          <w:bCs/>
          <w:color w:val="FFFFFF"/>
          <w:sz w:val="36"/>
          <w:szCs w:val="36"/>
        </w:rPr>
        <w:t xml:space="preserve">Table des Matieres</w:t>
      </w:r>
    </w:p>
    <w:sdt>
      <w:sdtPr>
        <w:alias w:val="Table des Matie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4A90D9" w:sz="3"/>
        </w:pBdr>
        <w:shd w:fill="1E3A5F" w:val="clear"/>
        <w:spacing w:after="200" w:before="360"/>
      </w:pPr>
      <w:r>
        <w:rPr>
          <w:rFonts w:ascii="Arial" w:cs="Arial" w:eastAsia="Arial" w:hAnsi="Arial"/>
          <w:b/>
          <w:bCs/>
          <w:color w:val="FFFFFF"/>
          <w:sz w:val="36"/>
          <w:szCs w:val="36"/>
        </w:rPr>
        <w:t xml:space="preserve">Introduction</w:t>
      </w:r>
    </w:p>
    <w:p>
      <w:pPr>
        <w:spacing w:after="100" w:before="60"/>
      </w:pPr>
      <w:r>
        <w:rPr>
          <w:rFonts w:ascii="Arial" w:cs="Arial" w:eastAsia="Arial" w:hAnsi="Arial"/>
          <w:color w:val="1A1A2E"/>
          <w:sz w:val="22"/>
          <w:szCs w:val="22"/>
        </w:rPr>
        <w:t xml:space="preserve">OptiCRM est une solution de gestion de la relation client (CRM) conçue pour les équipes commerciales. Ce manuel décrit l'ensemble des fonctionnalités du module CRM, comprenant la gestion des Contacts, Comptes, Pistes, Opportunités, Devis et Concurrents.</w:t>
      </w:r>
    </w:p>
    <w:p>
      <w:pPr>
        <w:spacing w:after="80" w:before="0"/>
      </w:pPr>
      <w:r>
        <w:t xml:space="preserve"/>
      </w:r>
    </w:p>
    <w:p>
      <w:pPr>
        <w:spacing w:after="100" w:before="60"/>
      </w:pPr>
      <w:r>
        <w:rPr>
          <w:rFonts w:ascii="Arial" w:cs="Arial" w:eastAsia="Arial" w:hAnsi="Arial"/>
          <w:color w:val="1A1A2E"/>
          <w:sz w:val="22"/>
          <w:szCs w:val="22"/>
        </w:rPr>
        <w:t xml:space="preserve">Le module CRM est accessible depuis le menu de navigation principal en cliquant sur CRM. Il se déploie pour afficher les sous-modules disponibles selon vos droits d'accès.</w:t>
      </w:r>
    </w:p>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Rôles et Accès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2816"/>
        <w:gridCol w:w="2816"/>
        <w:gridCol w:w="2818"/>
      </w:tblGrid>
      <w:tr>
        <w:trPr>
          <w:tblHeader/>
        </w:trPr>
        <w:tc>
          <w:tcPr>
            <w:tcW w:type="dxa" w:w="2816"/>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Rôle</w:t>
            </w:r>
          </w:p>
        </w:tc>
        <w:tc>
          <w:tcPr>
            <w:tcW w:type="dxa" w:w="2816"/>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818"/>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Accès CRM</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SUPER_ADMIN</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Administrateur système</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Accès complet à tout le module CRM</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ADMIN</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Administrateur</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Gestion complète + paramétrage</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MANAGER</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Responsable commercial</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Lecture, création, modification, suppression</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COMMERCIAL</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Commercial terrain</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Lecture, création, modification de ses enregistrements</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READ_ONLY</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Lecture seule</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Consultation uniquement, aucune modification</w:t>
            </w:r>
          </w:p>
        </w:tc>
      </w:tr>
    </w:tbl>
    <w:p>
      <w:r>
        <w:br w:type="page"/>
      </w:r>
    </w:p>
    <w:p>
      <w:pPr>
        <w:spacing w:after="0" w:before="0"/>
      </w:pPr>
      <w:r>
        <w:br w:type="page"/>
      </w:r>
    </w:p>
    <w:p>
      <w:pPr>
        <w:pStyle w:val="Heading1"/>
        <w:pBdr>
          <w:bottom w:val="single" w:color="4A90D9" w:sz="3"/>
        </w:pBdr>
        <w:shd w:fill="1E3A5F" w:val="clear"/>
        <w:spacing w:after="200" w:before="360"/>
      </w:pPr>
      <w:r>
        <w:rPr>
          <w:rFonts w:ascii="Arial" w:cs="Arial" w:eastAsia="Arial" w:hAnsi="Arial"/>
          <w:b/>
          <w:bCs/>
          <w:color w:val="FFFFFF"/>
          <w:sz w:val="36"/>
          <w:szCs w:val="36"/>
        </w:rPr>
        <w:t xml:space="preserve">0. Diagrammes de Flux CRM</w:t>
      </w:r>
    </w:p>
    <w:p>
      <w:pPr>
        <w:spacing w:after="100" w:before="60"/>
      </w:pPr>
      <w:r>
        <w:rPr>
          <w:rFonts w:ascii="Arial" w:cs="Arial" w:eastAsia="Arial" w:hAnsi="Arial"/>
          <w:color w:val="1A1A2E"/>
          <w:sz w:val="22"/>
          <w:szCs w:val="22"/>
        </w:rPr>
        <w:t xml:space="preserve">Cette section presente les diagrammes de flux illustrant les processus cles du module CRM : parcours du lead, pipeline des opportunites, cycle du devis et processus de conversion. Ces schemas permettent de comprendre rapidement le fonctionnement et les interactions entre les differents modules.</w:t>
      </w:r>
    </w:p>
    <w:p>
      <w:pPr>
        <w:spacing w:after="12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0.1 Flux Principal CRM</w:t>
      </w:r>
    </w:p>
    <w:p>
      <w:pPr>
        <w:spacing w:after="100" w:before="60"/>
      </w:pPr>
      <w:r>
        <w:rPr>
          <w:rFonts w:ascii="Arial" w:cs="Arial" w:eastAsia="Arial" w:hAnsi="Arial"/>
          <w:color w:val="1A1A2E"/>
          <w:sz w:val="22"/>
          <w:szCs w:val="22"/>
        </w:rPr>
        <w:t xml:space="preserve">Le diagramme ci-dessous illustre le parcours complet depuis la creation d'une piste jusqu'a la commande finale. Il montre les branches alternatives (Nurturing, Non Qualifie) et les etapes du pipeline de vente.</w:t>
      </w:r>
    </w:p>
    <w:p>
      <w:pPr>
        <w:spacing w:after="120" w:before="0"/>
      </w:pPr>
      <w:r>
        <w:t xml:space="preserve"/>
      </w:r>
    </w:p>
    <w:p>
      <w:pPr>
        <w:jc w:val="center"/>
        <w:spacing w:after="100" w:before="100"/>
      </w:pPr>
      <w:r>
        <w:rPr>
          <w:noProof/>
        </w:rPr>
        <w:drawing>
          <wp:inline xmlns:wp="http://schemas.openxmlformats.org/drawingml/2006/wordprocessingDrawing" distT="0" distB="0" distL="0" distR="0">
            <wp:extent cx="5943600" cy="3388139"/>
            <wp:effectExtent l="0" t="0" r="0" b="0"/>
            <wp:docPr id="1" name="Flux Principal CRM - Du Lead a la Commande" descr="Flux Principal CRM - Du Lead a la Comma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lux Principal CRM - Du Lead a la Commande"/>
                    <pic:cNvPicPr>
                      <a:picLocks noChangeAspect="1" noChangeArrowheads="1"/>
                    </pic:cNvPicPr>
                  </pic:nvPicPr>
                  <pic:blipFill>
                    <a:blip xmlns:r="http://schemas.openxmlformats.org/officeDocument/2006/relationships" r:embed="rIdChart1"/>
                    <a:stretch>
                      <a:fillRect/>
                    </a:stretch>
                  </pic:blipFill>
                  <pic:spPr bwMode="auto">
                    <a:xfrm>
                      <a:off x="0" y="0"/>
                      <a:ext cx="5943600" cy="3388139"/>
                    </a:xfrm>
                    <a:prstGeom prst="rect">
                      <a:avLst/>
                    </a:prstGeom>
                    <a:noFill/>
                  </pic:spPr>
                </pic:pic>
              </a:graphicData>
            </a:graphic>
          </wp:inline>
        </w:drawing>
      </w:r>
    </w:p>
    <w:p>
      <w:pPr>
        <w:jc w:val="center"/>
        <w:spacing w:after="200" w:before="60"/>
      </w:pPr>
      <w:r>
        <w:rPr>
          <w:rFonts w:ascii="Arial" w:cs="Arial" w:eastAsia="Arial" w:hAnsi="Arial"/>
          <w:i/>
          <w:iCs/>
          <w:color w:val="2D5FA8"/>
          <w:sz w:val="18"/>
          <w:szCs w:val="18"/>
        </w:rPr>
        <w:t xml:space="preserve">Figure 1 : Flux Principal CRM - Du Lead a la Commande</w:t>
      </w:r>
    </w:p>
    <w:p>
      <w:pPr>
        <w:jc w:val="center"/>
        <w:spacing w:after="200" w:before="60"/>
      </w:pPr>
      <w:r>
        <w:rPr>
          <w:rFonts w:ascii="Arial" w:cs="Arial" w:eastAsia="Arial" w:hAnsi="Arial"/>
          <w:i/>
          <w:iCs/>
          <w:color w:val="2D5FA8"/>
          <w:sz w:val="18"/>
          <w:szCs w:val="18"/>
        </w:rPr>
        <w:t xml:space="preserve">Ce diagramme illustre le parcours complet d'un lead depuis sa creation jusqu'a la commande finale, avec les branches de nurturing, de non-qualification et les etapes du pipeline de vente.</w:t>
      </w:r>
    </w:p>
    <w:p>
      <w:pPr>
        <w:spacing w:after="0" w:before="0"/>
      </w:pPr>
      <w:r>
        <w:br w:type="page"/>
      </w:r>
    </w:p>
    <w:p>
      <w:pPr>
        <w:pStyle w:val="Heading2"/>
        <w:pBdr>
          <w:bottom w:val="single" w:color="4A90D9" w:sz="2" w:space="2"/>
        </w:pBdr>
        <w:spacing w:after="120" w:before="280"/>
      </w:pPr>
      <w:r>
        <w:rPr>
          <w:rFonts w:ascii="Arial" w:cs="Arial" w:eastAsia="Arial" w:hAnsi="Arial"/>
          <w:b/>
          <w:bCs/>
          <w:color w:val="1E3A5F"/>
          <w:sz w:val="28"/>
          <w:szCs w:val="28"/>
        </w:rPr>
        <w:t xml:space="preserve">0.2 Cycle de Vie d'une Piste</w:t>
      </w:r>
    </w:p>
    <w:p>
      <w:pPr>
        <w:spacing w:after="100" w:before="60"/>
      </w:pPr>
      <w:r>
        <w:rPr>
          <w:rFonts w:ascii="Arial" w:cs="Arial" w:eastAsia="Arial" w:hAnsi="Arial"/>
          <w:color w:val="1A1A2E"/>
          <w:sz w:val="22"/>
          <w:szCs w:val="22"/>
        </w:rPr>
        <w:t xml:space="preserve">Ce diagramme detaille tous les statuts possibles d'une piste, le mecanisme de scoring (0-100 pts) base sur le Profil, la Qualification et l'Engagement, ainsi que le rating Hot/Warm/Cold.</w:t>
      </w:r>
    </w:p>
    <w:p>
      <w:pPr>
        <w:spacing w:after="120" w:before="0"/>
      </w:pPr>
      <w:r>
        <w:t xml:space="preserve"/>
      </w:r>
    </w:p>
    <w:p>
      <w:pPr>
        <w:jc w:val="center"/>
        <w:spacing w:after="100" w:before="100"/>
      </w:pPr>
      <w:r>
        <w:rPr>
          <w:noProof/>
        </w:rPr>
        <w:drawing>
          <wp:inline xmlns:wp="http://schemas.openxmlformats.org/drawingml/2006/wordprocessingDrawing" distT="0" distB="0" distL="0" distR="0">
            <wp:extent cx="5943600" cy="3223935"/>
            <wp:effectExtent l="0" t="0" r="0" b="0"/>
            <wp:docPr id="1" name="Cycle de Vie d'une Piste (Lead)" descr="Cycle de Vie d'une Piste (L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ycle de Vie d'une Piste (Lead)"/>
                    <pic:cNvPicPr>
                      <a:picLocks noChangeAspect="1" noChangeArrowheads="1"/>
                    </pic:cNvPicPr>
                  </pic:nvPicPr>
                  <pic:blipFill>
                    <a:blip xmlns:r="http://schemas.openxmlformats.org/officeDocument/2006/relationships" r:embed="rIdChart2"/>
                    <a:stretch>
                      <a:fillRect/>
                    </a:stretch>
                  </pic:blipFill>
                  <pic:spPr bwMode="auto">
                    <a:xfrm>
                      <a:off x="0" y="0"/>
                      <a:ext cx="5943600" cy="3223935"/>
                    </a:xfrm>
                    <a:prstGeom prst="rect">
                      <a:avLst/>
                    </a:prstGeom>
                    <a:noFill/>
                  </pic:spPr>
                </pic:pic>
              </a:graphicData>
            </a:graphic>
          </wp:inline>
        </w:drawing>
      </w:r>
    </w:p>
    <w:p>
      <w:pPr>
        <w:jc w:val="center"/>
        <w:spacing w:after="200" w:before="60"/>
      </w:pPr>
      <w:r>
        <w:rPr>
          <w:rFonts w:ascii="Arial" w:cs="Arial" w:eastAsia="Arial" w:hAnsi="Arial"/>
          <w:i/>
          <w:iCs/>
          <w:color w:val="2D5FA8"/>
          <w:sz w:val="18"/>
          <w:szCs w:val="18"/>
        </w:rPr>
        <w:t xml:space="preserve">Figure 2 : Cycle de Vie d'une Piste (Lead)</w:t>
      </w:r>
    </w:p>
    <w:p>
      <w:pPr>
        <w:jc w:val="center"/>
        <w:spacing w:after="200" w:before="60"/>
      </w:pPr>
      <w:r>
        <w:rPr>
          <w:rFonts w:ascii="Arial" w:cs="Arial" w:eastAsia="Arial" w:hAnsi="Arial"/>
          <w:i/>
          <w:iCs/>
          <w:color w:val="2D5FA8"/>
          <w:sz w:val="18"/>
          <w:szCs w:val="18"/>
        </w:rPr>
        <w:t xml:space="preserve">Le cycle de vie d'une piste montre les differents statuts possibles, le systeme de scoring (Profil + Qualification + Engagement = 100 pts) et le rating Hot/Warm/Cold.</w:t>
      </w:r>
    </w:p>
    <w:p>
      <w:pPr>
        <w:spacing w:after="0" w:before="0"/>
      </w:pPr>
      <w:r>
        <w:br w:type="page"/>
      </w:r>
    </w:p>
    <w:p>
      <w:pPr>
        <w:pStyle w:val="Heading2"/>
        <w:pBdr>
          <w:bottom w:val="single" w:color="4A90D9" w:sz="2" w:space="2"/>
        </w:pBdr>
        <w:spacing w:after="120" w:before="280"/>
      </w:pPr>
      <w:r>
        <w:rPr>
          <w:rFonts w:ascii="Arial" w:cs="Arial" w:eastAsia="Arial" w:hAnsi="Arial"/>
          <w:b/>
          <w:bCs/>
          <w:color w:val="1E3A5F"/>
          <w:sz w:val="28"/>
          <w:szCs w:val="28"/>
        </w:rPr>
        <w:t xml:space="preserve">0.3 Pipeline des Opportunites</w:t>
      </w:r>
    </w:p>
    <w:p>
      <w:pPr>
        <w:spacing w:after="100" w:before="60"/>
      </w:pPr>
      <w:r>
        <w:rPr>
          <w:rFonts w:ascii="Arial" w:cs="Arial" w:eastAsia="Arial" w:hAnsi="Arial"/>
          <w:color w:val="1A1A2E"/>
          <w:sz w:val="22"/>
          <w:szCs w:val="22"/>
        </w:rPr>
        <w:t xml:space="preserve">L'entonnoir de vente visualise les 5 etapes du pipeline avec les probabilites de succes associees et les categories de prevision (COMMIT, BEST CASE, PIPELINE) utilisees dans le module Previsions.</w:t>
      </w:r>
    </w:p>
    <w:p>
      <w:pPr>
        <w:spacing w:after="120" w:before="0"/>
      </w:pPr>
      <w:r>
        <w:t xml:space="preserve"/>
      </w:r>
    </w:p>
    <w:p>
      <w:pPr>
        <w:jc w:val="center"/>
        <w:spacing w:after="100" w:before="100"/>
      </w:pPr>
      <w:r>
        <w:rPr>
          <w:noProof/>
        </w:rPr>
        <w:drawing>
          <wp:inline xmlns:wp="http://schemas.openxmlformats.org/drawingml/2006/wordprocessingDrawing" distT="0" distB="0" distL="0" distR="0">
            <wp:extent cx="5943600" cy="3220331"/>
            <wp:effectExtent l="0" t="0" r="0" b="0"/>
            <wp:docPr id="1" name="Pipeline des Opportunites - Etapes et Probabilites" descr="Pipeline des Opportunites - Etapes et Probabil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peline des Opportunites - Etapes et Probabilites"/>
                    <pic:cNvPicPr>
                      <a:picLocks noChangeAspect="1" noChangeArrowheads="1"/>
                    </pic:cNvPicPr>
                  </pic:nvPicPr>
                  <pic:blipFill>
                    <a:blip xmlns:r="http://schemas.openxmlformats.org/officeDocument/2006/relationships" r:embed="rIdChart3"/>
                    <a:stretch>
                      <a:fillRect/>
                    </a:stretch>
                  </pic:blipFill>
                  <pic:spPr bwMode="auto">
                    <a:xfrm>
                      <a:off x="0" y="0"/>
                      <a:ext cx="5943600" cy="3220331"/>
                    </a:xfrm>
                    <a:prstGeom prst="rect">
                      <a:avLst/>
                    </a:prstGeom>
                    <a:noFill/>
                  </pic:spPr>
                </pic:pic>
              </a:graphicData>
            </a:graphic>
          </wp:inline>
        </w:drawing>
      </w:r>
    </w:p>
    <w:p>
      <w:pPr>
        <w:jc w:val="center"/>
        <w:spacing w:after="200" w:before="60"/>
      </w:pPr>
      <w:r>
        <w:rPr>
          <w:rFonts w:ascii="Arial" w:cs="Arial" w:eastAsia="Arial" w:hAnsi="Arial"/>
          <w:i/>
          <w:iCs/>
          <w:color w:val="2D5FA8"/>
          <w:sz w:val="18"/>
          <w:szCs w:val="18"/>
        </w:rPr>
        <w:t xml:space="preserve">Figure 3 : Pipeline des Opportunites - Etapes et Probabilites</w:t>
      </w:r>
    </w:p>
    <w:p>
      <w:pPr>
        <w:jc w:val="center"/>
        <w:spacing w:after="200" w:before="60"/>
      </w:pPr>
      <w:r>
        <w:rPr>
          <w:rFonts w:ascii="Arial" w:cs="Arial" w:eastAsia="Arial" w:hAnsi="Arial"/>
          <w:i/>
          <w:iCs/>
          <w:color w:val="2D5FA8"/>
          <w:sz w:val="18"/>
          <w:szCs w:val="18"/>
        </w:rPr>
        <w:t xml:space="preserve">Le pipeline visualise les etapes de vente sous forme d'entonnoir avec les probabilites associees et les categories de prevision (COMMIT, BEST CASE, PIPELINE).</w:t>
      </w:r>
    </w:p>
    <w:p>
      <w:pPr>
        <w:spacing w:after="0" w:before="0"/>
      </w:pPr>
      <w:r>
        <w:br w:type="page"/>
      </w:r>
    </w:p>
    <w:p>
      <w:pPr>
        <w:pStyle w:val="Heading2"/>
        <w:pBdr>
          <w:bottom w:val="single" w:color="4A90D9" w:sz="2" w:space="2"/>
        </w:pBdr>
        <w:spacing w:after="120" w:before="280"/>
      </w:pPr>
      <w:r>
        <w:rPr>
          <w:rFonts w:ascii="Arial" w:cs="Arial" w:eastAsia="Arial" w:hAnsi="Arial"/>
          <w:b/>
          <w:bCs/>
          <w:color w:val="1E3A5F"/>
          <w:sz w:val="28"/>
          <w:szCs w:val="28"/>
        </w:rPr>
        <w:t xml:space="preserve">0.4 Cycle de Vie du Devis</w:t>
      </w:r>
    </w:p>
    <w:p>
      <w:pPr>
        <w:spacing w:after="100" w:before="60"/>
      </w:pPr>
      <w:r>
        <w:rPr>
          <w:rFonts w:ascii="Arial" w:cs="Arial" w:eastAsia="Arial" w:hAnsi="Arial"/>
          <w:color w:val="1A1A2E"/>
          <w:sz w:val="22"/>
          <w:szCs w:val="22"/>
        </w:rPr>
        <w:t xml:space="preserve">Ce flux montre les 7 statuts d'un devis (Brouillon, Envoye, Vu, Accepte, Refuse, Expire, Annule) et le calcul automatique du Total TTC (lignes + remise + TVA + port).</w:t>
      </w:r>
    </w:p>
    <w:p>
      <w:pPr>
        <w:spacing w:after="120" w:before="0"/>
      </w:pPr>
      <w:r>
        <w:t xml:space="preserve"/>
      </w:r>
    </w:p>
    <w:p>
      <w:pPr>
        <w:jc w:val="center"/>
        <w:spacing w:after="100" w:before="100"/>
      </w:pPr>
      <w:r>
        <w:rPr>
          <w:noProof/>
        </w:rPr>
        <w:drawing>
          <wp:inline xmlns:wp="http://schemas.openxmlformats.org/drawingml/2006/wordprocessingDrawing" distT="0" distB="0" distL="0" distR="0">
            <wp:extent cx="5943600" cy="2770658"/>
            <wp:effectExtent l="0" t="0" r="0" b="0"/>
            <wp:docPr id="1" name="Cycle de Vie du Devis" descr="Cycle de Vie du De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ycle de Vie du Devis"/>
                    <pic:cNvPicPr>
                      <a:picLocks noChangeAspect="1" noChangeArrowheads="1"/>
                    </pic:cNvPicPr>
                  </pic:nvPicPr>
                  <pic:blipFill>
                    <a:blip xmlns:r="http://schemas.openxmlformats.org/officeDocument/2006/relationships" r:embed="rIdChart4"/>
                    <a:stretch>
                      <a:fillRect/>
                    </a:stretch>
                  </pic:blipFill>
                  <pic:spPr bwMode="auto">
                    <a:xfrm>
                      <a:off x="0" y="0"/>
                      <a:ext cx="5943600" cy="2770658"/>
                    </a:xfrm>
                    <a:prstGeom prst="rect">
                      <a:avLst/>
                    </a:prstGeom>
                    <a:noFill/>
                  </pic:spPr>
                </pic:pic>
              </a:graphicData>
            </a:graphic>
          </wp:inline>
        </w:drawing>
      </w:r>
    </w:p>
    <w:p>
      <w:pPr>
        <w:jc w:val="center"/>
        <w:spacing w:after="200" w:before="60"/>
      </w:pPr>
      <w:r>
        <w:rPr>
          <w:rFonts w:ascii="Arial" w:cs="Arial" w:eastAsia="Arial" w:hAnsi="Arial"/>
          <w:i/>
          <w:iCs/>
          <w:color w:val="2D5FA8"/>
          <w:sz w:val="18"/>
          <w:szCs w:val="18"/>
        </w:rPr>
        <w:t xml:space="preserve">Figure 4 : Cycle de Vie du Devis</w:t>
      </w:r>
    </w:p>
    <w:p>
      <w:pPr>
        <w:jc w:val="center"/>
        <w:spacing w:after="200" w:before="60"/>
      </w:pPr>
      <w:r>
        <w:rPr>
          <w:rFonts w:ascii="Arial" w:cs="Arial" w:eastAsia="Arial" w:hAnsi="Arial"/>
          <w:i/>
          <w:iCs/>
          <w:color w:val="2D5FA8"/>
          <w:sz w:val="18"/>
          <w:szCs w:val="18"/>
        </w:rPr>
        <w:t xml:space="preserve">Le flux du devis illustre les differents statuts (Brouillon, Envoye, Vu, Accepte, Refuse, Expire) et le calcul automatique du total TTC.</w:t>
      </w:r>
    </w:p>
    <w:p>
      <w:pPr>
        <w:spacing w:after="0" w:before="0"/>
      </w:pPr>
      <w:r>
        <w:br w:type="page"/>
      </w:r>
    </w:p>
    <w:p>
      <w:pPr>
        <w:pStyle w:val="Heading2"/>
        <w:pBdr>
          <w:bottom w:val="single" w:color="4A90D9" w:sz="2" w:space="2"/>
        </w:pBdr>
        <w:spacing w:after="120" w:before="280"/>
      </w:pPr>
      <w:r>
        <w:rPr>
          <w:rFonts w:ascii="Arial" w:cs="Arial" w:eastAsia="Arial" w:hAnsi="Arial"/>
          <w:b/>
          <w:bCs/>
          <w:color w:val="1E3A5F"/>
          <w:sz w:val="28"/>
          <w:szCs w:val="28"/>
        </w:rPr>
        <w:t xml:space="preserve">0.5 Processus de Conversion d'une Piste</w:t>
      </w:r>
    </w:p>
    <w:p>
      <w:pPr>
        <w:spacing w:after="100" w:before="60"/>
      </w:pPr>
      <w:r>
        <w:rPr>
          <w:rFonts w:ascii="Arial" w:cs="Arial" w:eastAsia="Arial" w:hAnsi="Arial"/>
          <w:color w:val="1A1A2E"/>
          <w:sz w:val="22"/>
          <w:szCs w:val="22"/>
        </w:rPr>
        <w:t xml:space="preserve">Ce diagramme detaille le processus de conversion d'une piste qualifiee en enregistrements CRM actifs (Compte, Contact, Opportunite) avec les options de configuration disponibles lors de la conversion.</w:t>
      </w:r>
    </w:p>
    <w:p>
      <w:pPr>
        <w:spacing w:after="120" w:before="0"/>
      </w:pPr>
      <w:r>
        <w:t xml:space="preserve"/>
      </w:r>
    </w:p>
    <w:p>
      <w:pPr>
        <w:jc w:val="center"/>
        <w:spacing w:after="100" w:before="100"/>
      </w:pPr>
      <w:r>
        <w:rPr>
          <w:noProof/>
        </w:rPr>
        <w:drawing>
          <wp:inline xmlns:wp="http://schemas.openxmlformats.org/drawingml/2006/wordprocessingDrawing" distT="0" distB="0" distL="0" distR="0">
            <wp:extent cx="5943600" cy="3804171"/>
            <wp:effectExtent l="0" t="0" r="0" b="0"/>
            <wp:docPr id="1" name="Processus de Conversion d'une Piste" descr="Processus de Conversion d'une P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ocessus de Conversion d'une Piste"/>
                    <pic:cNvPicPr>
                      <a:picLocks noChangeAspect="1" noChangeArrowheads="1"/>
                    </pic:cNvPicPr>
                  </pic:nvPicPr>
                  <pic:blipFill>
                    <a:blip xmlns:r="http://schemas.openxmlformats.org/officeDocument/2006/relationships" r:embed="rIdChart5"/>
                    <a:stretch>
                      <a:fillRect/>
                    </a:stretch>
                  </pic:blipFill>
                  <pic:spPr bwMode="auto">
                    <a:xfrm>
                      <a:off x="0" y="0"/>
                      <a:ext cx="5943600" cy="3804171"/>
                    </a:xfrm>
                    <a:prstGeom prst="rect">
                      <a:avLst/>
                    </a:prstGeom>
                    <a:noFill/>
                  </pic:spPr>
                </pic:pic>
              </a:graphicData>
            </a:graphic>
          </wp:inline>
        </w:drawing>
      </w:r>
    </w:p>
    <w:p>
      <w:pPr>
        <w:jc w:val="center"/>
        <w:spacing w:after="200" w:before="60"/>
      </w:pPr>
      <w:r>
        <w:rPr>
          <w:rFonts w:ascii="Arial" w:cs="Arial" w:eastAsia="Arial" w:hAnsi="Arial"/>
          <w:i/>
          <w:iCs/>
          <w:color w:val="2D5FA8"/>
          <w:sz w:val="18"/>
          <w:szCs w:val="18"/>
        </w:rPr>
        <w:t xml:space="preserve">Figure 5 : Processus de Conversion d'une Piste</w:t>
      </w:r>
    </w:p>
    <w:p>
      <w:pPr>
        <w:jc w:val="center"/>
        <w:spacing w:after="200" w:before="60"/>
      </w:pPr>
      <w:r>
        <w:rPr>
          <w:rFonts w:ascii="Arial" w:cs="Arial" w:eastAsia="Arial" w:hAnsi="Arial"/>
          <w:i/>
          <w:iCs/>
          <w:color w:val="2D5FA8"/>
          <w:sz w:val="18"/>
          <w:szCs w:val="18"/>
        </w:rPr>
        <w:t xml:space="preserve">Le processus de conversion transforme une piste qualifiee en enregistrements CRM actifs : Compte, Contact et Opportunite. Cette action est irreversible.</w:t>
      </w:r>
    </w:p>
    <w:p>
      <w:pPr>
        <w:pStyle w:val="Heading1"/>
        <w:pBdr>
          <w:bottom w:val="single" w:color="4A90D9" w:sz="3"/>
        </w:pBdr>
        <w:shd w:fill="1E3A5F" w:val="clear"/>
        <w:spacing w:after="200" w:before="360"/>
      </w:pPr>
      <w:r>
        <w:rPr>
          <w:rFonts w:ascii="Arial" w:cs="Arial" w:eastAsia="Arial" w:hAnsi="Arial"/>
          <w:b/>
          <w:bCs/>
          <w:color w:val="FFFFFF"/>
          <w:sz w:val="36"/>
          <w:szCs w:val="36"/>
        </w:rPr>
        <w:t xml:space="preserve">1. Contacts</w:t>
      </w:r>
    </w:p>
    <w:p>
      <w:pPr>
        <w:spacing w:after="100" w:before="60"/>
      </w:pPr>
      <w:r>
        <w:rPr>
          <w:rFonts w:ascii="Arial" w:cs="Arial" w:eastAsia="Arial" w:hAnsi="Arial"/>
          <w:color w:val="1A1A2E"/>
          <w:sz w:val="22"/>
          <w:szCs w:val="22"/>
        </w:rPr>
        <w:t xml:space="preserve">Le module Contacts permet de gérer l'ensemble des personnes physiques avec lesquelles votre entreprise est en relation : clients, prospects, interlocuteurs chez vos partenaires, etc.</w:t>
      </w:r>
    </w:p>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1.1 Accéder aux Contacts</w:t>
      </w:r>
    </w:p>
    <w:p>
      <w:pPr>
        <w:spacing w:after="100" w:before="60"/>
      </w:pPr>
      <w:r>
        <w:rPr>
          <w:rFonts w:ascii="Arial" w:cs="Arial" w:eastAsia="Arial" w:hAnsi="Arial"/>
          <w:color w:val="1A1A2E"/>
          <w:sz w:val="22"/>
          <w:szCs w:val="22"/>
        </w:rPr>
        <w:t xml:space="preserve">Menu principal &gt; CRM &gt; Contacts</w:t>
      </w:r>
    </w:p>
    <w:p>
      <w:pPr>
        <w:spacing w:after="80" w:before="0"/>
      </w:pPr>
      <w:r>
        <w:t xml:space="preserve"/>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1800"/>
        <w:gridCol w:w="6650"/>
      </w:tblGrid>
      <w:tr>
        <w:tc>
          <w:tcPr>
            <w:tcW w:type="dxa" w:w="1800"/>
            <w:tcBorders>
              <w:top w:val="single" w:color="BDD5F0" w:sz="1"/>
              <w:left w:val="single" w:color="BDD5F0" w:sz="1"/>
              <w:bottom w:val="single" w:color="BDD5F0" w:sz="1"/>
              <w:right w:val="single" w:color="BDD5F0" w:sz="1"/>
            </w:tcBorders>
            <w:shd w:fill="2D5F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6650"/>
            <w:tcBorders>
              <w:top w:val="single" w:color="BDD5F0" w:sz="1"/>
              <w:left w:val="single" w:color="BDD5F0" w:sz="1"/>
              <w:bottom w:val="single" w:color="BDD5F0" w:sz="1"/>
              <w:right w:val="single" w:color="BDD5F0" w:sz="1"/>
            </w:tcBorders>
            <w:shd w:fill="EBF2FB" w:val="clear"/>
            <w:tcMar>
              <w:top w:type="dxa" w:w="80"/>
              <w:left w:type="dxa" w:w="160"/>
              <w:bottom w:type="dxa" w:w="80"/>
              <w:right w:type="dxa" w:w="120"/>
            </w:tcMar>
          </w:tcPr>
          <w:p>
            <w:r>
              <w:rPr>
                <w:rFonts w:ascii="Arial" w:cs="Arial" w:eastAsia="Arial" w:hAnsi="Arial"/>
                <w:color w:val="1A1A2E"/>
                <w:sz w:val="22"/>
                <w:szCs w:val="22"/>
              </w:rPr>
              <w:t xml:space="preserve">/contacts</w:t>
            </w:r>
          </w:p>
        </w:tc>
      </w:tr>
    </w:tbl>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1.2 Liste des Contacts</w:t>
      </w:r>
    </w:p>
    <w:p>
      <w:pPr>
        <w:spacing w:after="100" w:before="60"/>
      </w:pPr>
      <w:r>
        <w:rPr>
          <w:rFonts w:ascii="Arial" w:cs="Arial" w:eastAsia="Arial" w:hAnsi="Arial"/>
          <w:color w:val="1A1A2E"/>
          <w:sz w:val="22"/>
          <w:szCs w:val="22"/>
        </w:rPr>
        <w:t xml:space="preserve">La page d'accueil du module affiche la liste de tous les contacts accessibles selon votre rôle. Vous pouvez :</w:t>
      </w:r>
    </w:p>
    <w:p>
      <w:pPr>
        <w:pStyle w:val="ListParagraph"/>
        <w:numPr>
          <w:ilvl w:val="0"/>
          <w:numId w:val="2"/>
        </w:numPr>
        <w:spacing w:after="40" w:before="40"/>
      </w:pPr>
      <w:r>
        <w:rPr>
          <w:rFonts w:ascii="Arial" w:cs="Arial" w:eastAsia="Arial" w:hAnsi="Arial"/>
          <w:color w:val="1A1A2E"/>
          <w:sz w:val="22"/>
          <w:szCs w:val="22"/>
        </w:rPr>
        <w:t xml:space="preserve">Rechercher un contact par nom, email ou téléphone via la barre de recherche</w:t>
      </w:r>
    </w:p>
    <w:p>
      <w:pPr>
        <w:pStyle w:val="ListParagraph"/>
        <w:numPr>
          <w:ilvl w:val="0"/>
          <w:numId w:val="2"/>
        </w:numPr>
        <w:spacing w:after="40" w:before="40"/>
      </w:pPr>
      <w:r>
        <w:rPr>
          <w:rFonts w:ascii="Arial" w:cs="Arial" w:eastAsia="Arial" w:hAnsi="Arial"/>
          <w:color w:val="1A1A2E"/>
          <w:sz w:val="22"/>
          <w:szCs w:val="22"/>
        </w:rPr>
        <w:t xml:space="preserve">Filtrer par statut (Actif, Inactif, Archivé)</w:t>
      </w:r>
    </w:p>
    <w:p>
      <w:pPr>
        <w:pStyle w:val="ListParagraph"/>
        <w:numPr>
          <w:ilvl w:val="0"/>
          <w:numId w:val="2"/>
        </w:numPr>
        <w:spacing w:after="40" w:before="40"/>
      </w:pPr>
      <w:r>
        <w:rPr>
          <w:rFonts w:ascii="Arial" w:cs="Arial" w:eastAsia="Arial" w:hAnsi="Arial"/>
          <w:color w:val="1A1A2E"/>
          <w:sz w:val="22"/>
          <w:szCs w:val="22"/>
        </w:rPr>
        <w:t xml:space="preserve">Filtrer par compte, utilisateur assigné ou rôle du contact</w:t>
      </w:r>
    </w:p>
    <w:p>
      <w:pPr>
        <w:pStyle w:val="ListParagraph"/>
        <w:numPr>
          <w:ilvl w:val="0"/>
          <w:numId w:val="2"/>
        </w:numPr>
        <w:spacing w:after="40" w:before="40"/>
      </w:pPr>
      <w:r>
        <w:rPr>
          <w:rFonts w:ascii="Arial" w:cs="Arial" w:eastAsia="Arial" w:hAnsi="Arial"/>
          <w:color w:val="1A1A2E"/>
          <w:sz w:val="22"/>
          <w:szCs w:val="22"/>
        </w:rPr>
        <w:t xml:space="preserve">Trier les colonnes en cliquant sur les entêtes</w:t>
      </w:r>
    </w:p>
    <w:p>
      <w:pPr>
        <w:pStyle w:val="ListParagraph"/>
        <w:numPr>
          <w:ilvl w:val="0"/>
          <w:numId w:val="2"/>
        </w:numPr>
        <w:spacing w:after="40" w:before="40"/>
      </w:pPr>
      <w:r>
        <w:rPr>
          <w:rFonts w:ascii="Arial" w:cs="Arial" w:eastAsia="Arial" w:hAnsi="Arial"/>
          <w:color w:val="1A1A2E"/>
          <w:sz w:val="22"/>
          <w:szCs w:val="22"/>
        </w:rPr>
        <w:t xml:space="preserve">Exporter la liste au format CSV ou Excel</w:t>
      </w:r>
    </w:p>
    <w:p>
      <w:pPr>
        <w:pStyle w:val="ListParagraph"/>
        <w:numPr>
          <w:ilvl w:val="0"/>
          <w:numId w:val="2"/>
        </w:numPr>
        <w:spacing w:after="40" w:before="40"/>
      </w:pPr>
      <w:r>
        <w:rPr>
          <w:rFonts w:ascii="Arial" w:cs="Arial" w:eastAsia="Arial" w:hAnsi="Arial"/>
          <w:color w:val="1A1A2E"/>
          <w:sz w:val="22"/>
          <w:szCs w:val="22"/>
        </w:rPr>
        <w:t xml:space="preserve">Importer des contacts en masse via un fichier CSV</w:t>
      </w:r>
    </w:p>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1.3 Créer un Contact</w:t>
      </w:r>
    </w:p>
    <w:p>
      <w:pPr>
        <w:spacing w:after="100" w:before="60"/>
      </w:pPr>
      <w:r>
        <w:rPr>
          <w:rFonts w:ascii="Arial" w:cs="Arial" w:eastAsia="Arial" w:hAnsi="Arial"/>
          <w:color w:val="1A1A2E"/>
          <w:sz w:val="22"/>
          <w:szCs w:val="22"/>
        </w:rPr>
        <w:t xml:space="preserve">Cliquez sur le bouton Nouveau Contact (icône + en haut à droite). Le formulaire de création s'ouvre et vous permet de renseigner les informations suivantes :</w:t>
      </w:r>
    </w:p>
    <w:p>
      <w:pPr>
        <w:spacing w:after="80" w:before="0"/>
      </w:pPr>
      <w:r>
        <w:t xml:space="preserve"/>
      </w:r>
    </w:p>
    <w:p>
      <w:pPr>
        <w:pStyle w:val="Heading3"/>
        <w:spacing w:after="80" w:before="220"/>
      </w:pPr>
      <w:r>
        <w:rPr>
          <w:rFonts w:ascii="Arial" w:cs="Arial" w:eastAsia="Arial" w:hAnsi="Arial"/>
          <w:b/>
          <w:bCs/>
          <w:color w:val="2D5FA8"/>
          <w:sz w:val="24"/>
          <w:szCs w:val="24"/>
        </w:rPr>
        <w:t xml:space="preserve">Informations Personnelles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2816"/>
        <w:gridCol w:w="2816"/>
        <w:gridCol w:w="2818"/>
      </w:tblGrid>
      <w:tr>
        <w:trPr>
          <w:tblHeader/>
        </w:trPr>
        <w:tc>
          <w:tcPr>
            <w:tcW w:type="dxa" w:w="2816"/>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Champ</w:t>
            </w:r>
          </w:p>
        </w:tc>
        <w:tc>
          <w:tcPr>
            <w:tcW w:type="dxa" w:w="2816"/>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818"/>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Obligatoire</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Civilité</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 Mme, Dr., etc.</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Prénom</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Prénom du contact</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Oui</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Nom</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Nom de famille</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Oui</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Email</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Adresse email principale</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Non (recommandé)</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Téléphone Bureau</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Numéro de téléphone fixe</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Téléphone Mobile</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Numéro de téléphone mobile</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Non</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Date de Naissance</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Date de naissance du contact</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w:t>
            </w:r>
          </w:p>
        </w:tc>
      </w:tr>
    </w:tbl>
    <w:p>
      <w:pPr>
        <w:spacing w:after="80" w:before="0"/>
      </w:pPr>
      <w:r>
        <w:t xml:space="preserve"/>
      </w:r>
    </w:p>
    <w:p>
      <w:pPr>
        <w:pStyle w:val="Heading3"/>
        <w:spacing w:after="80" w:before="220"/>
      </w:pPr>
      <w:r>
        <w:rPr>
          <w:rFonts w:ascii="Arial" w:cs="Arial" w:eastAsia="Arial" w:hAnsi="Arial"/>
          <w:b/>
          <w:bCs/>
          <w:color w:val="2D5FA8"/>
          <w:sz w:val="24"/>
          <w:szCs w:val="24"/>
        </w:rPr>
        <w:t xml:space="preserve">Informations Professionnelles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2816"/>
        <w:gridCol w:w="2816"/>
        <w:gridCol w:w="2818"/>
      </w:tblGrid>
      <w:tr>
        <w:trPr>
          <w:tblHeader/>
        </w:trPr>
        <w:tc>
          <w:tcPr>
            <w:tcW w:type="dxa" w:w="2816"/>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Champ</w:t>
            </w:r>
          </w:p>
        </w:tc>
        <w:tc>
          <w:tcPr>
            <w:tcW w:type="dxa" w:w="2816"/>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818"/>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Obligatoire</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Poste</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Intitulé du poste (ex: Directeur Achats)</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Département</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Département ou service</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Non</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Compte</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Société à laquelle est rattaché le contact</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Rôle du Contact</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Rôle dans la relation commerciale</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Non</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Rapporte à</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Hiérarchie interne (contact supérieur)</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w:t>
            </w:r>
          </w:p>
        </w:tc>
      </w:tr>
    </w:tbl>
    <w:p>
      <w:pPr>
        <w:spacing w:after="80" w:before="0"/>
      </w:pPr>
      <w:r>
        <w:t xml:space="preserve"/>
      </w:r>
    </w:p>
    <w:p>
      <w:pPr>
        <w:pStyle w:val="Heading3"/>
        <w:spacing w:after="80" w:before="220"/>
      </w:pPr>
      <w:r>
        <w:rPr>
          <w:rFonts w:ascii="Arial" w:cs="Arial" w:eastAsia="Arial" w:hAnsi="Arial"/>
          <w:b/>
          <w:bCs/>
          <w:color w:val="2D5FA8"/>
          <w:sz w:val="24"/>
          <w:szCs w:val="24"/>
        </w:rPr>
        <w:t xml:space="preserve">Coordonnées &amp; Réseaux</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2816"/>
        <w:gridCol w:w="2816"/>
        <w:gridCol w:w="2818"/>
      </w:tblGrid>
      <w:tr>
        <w:trPr>
          <w:tblHeader/>
        </w:trPr>
        <w:tc>
          <w:tcPr>
            <w:tcW w:type="dxa" w:w="2816"/>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Champ</w:t>
            </w:r>
          </w:p>
        </w:tc>
        <w:tc>
          <w:tcPr>
            <w:tcW w:type="dxa" w:w="2816"/>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818"/>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Obligatoire</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Adresse</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Rue, Ville, Code Postal, Pays</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LinkedIn</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URL du profil LinkedIn</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Non</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Twitter</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Identifiant Twitter (@)</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Langue préférée</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Langue de communication</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Non</w:t>
            </w:r>
          </w:p>
        </w:tc>
      </w:tr>
    </w:tbl>
    <w:p>
      <w:pPr>
        <w:spacing w:after="80" w:before="0"/>
      </w:pPr>
      <w:r>
        <w:t xml:space="preserve"/>
      </w:r>
    </w:p>
    <w:p>
      <w:pPr>
        <w:pStyle w:val="Heading3"/>
        <w:spacing w:after="80" w:before="220"/>
      </w:pPr>
      <w:r>
        <w:rPr>
          <w:rFonts w:ascii="Arial" w:cs="Arial" w:eastAsia="Arial" w:hAnsi="Arial"/>
          <w:b/>
          <w:bCs/>
          <w:color w:val="2D5FA8"/>
          <w:sz w:val="24"/>
          <w:szCs w:val="24"/>
        </w:rPr>
        <w:t xml:space="preserve">Préférences &amp; Conformité</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4225"/>
        <w:gridCol w:w="4225"/>
      </w:tblGrid>
      <w:tr>
        <w:trPr>
          <w:tblHeader/>
        </w:trPr>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Champ</w:t>
            </w:r>
          </w:p>
        </w:tc>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Ne pas appeler</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Cocher pour exclure des campagnes téléphoniques</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Ne pas emailer</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Cocher pour exclure des campagnes email</w:t>
            </w:r>
          </w:p>
        </w:tc>
      </w:tr>
    </w:tbl>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1.4 Statuts des Contacts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2816"/>
        <w:gridCol w:w="2816"/>
        <w:gridCol w:w="2818"/>
      </w:tblGrid>
      <w:tr>
        <w:tc>
          <w:tcPr>
            <w:tcW w:type="dxa" w:w="2816"/>
            <w:tcBorders>
              <w:top w:val="none" w:color="FFFFFF" w:sz="0"/>
              <w:left w:val="none" w:color="FFFFFF" w:sz="0"/>
              <w:bottom w:val="none" w:color="FFFFFF" w:sz="0"/>
              <w:right w:val="none" w:color="FFFFFF" w:sz="0"/>
            </w:tcBorders>
            <w:shd w:fill="27AE60"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ACTIF</w:t>
            </w:r>
          </w:p>
        </w:tc>
        <w:tc>
          <w:tcPr>
            <w:tcW w:type="dxa" w:w="2816"/>
            <w:tcBorders>
              <w:top w:val="none" w:color="FFFFFF" w:sz="0"/>
              <w:left w:val="none" w:color="FFFFFF" w:sz="0"/>
              <w:bottom w:val="none" w:color="FFFFFF" w:sz="0"/>
              <w:right w:val="none" w:color="FFFFFF" w:sz="0"/>
            </w:tcBorders>
            <w:shd w:fill="F39C12"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INACTIF</w:t>
            </w:r>
          </w:p>
        </w:tc>
        <w:tc>
          <w:tcPr>
            <w:tcW w:type="dxa" w:w="2818"/>
            <w:tcBorders>
              <w:top w:val="none" w:color="FFFFFF" w:sz="0"/>
              <w:left w:val="none" w:color="FFFFFF" w:sz="0"/>
              <w:bottom w:val="none" w:color="FFFFFF" w:sz="0"/>
              <w:right w:val="none" w:color="FFFFFF" w:sz="0"/>
            </w:tcBorders>
            <w:shd w:fill="95A5A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ARCHIVE</w:t>
            </w:r>
          </w:p>
        </w:tc>
      </w:tr>
    </w:tbl>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1.5 Fiche Contact (Vue Détail)</w:t>
      </w:r>
    </w:p>
    <w:p>
      <w:pPr>
        <w:spacing w:after="100" w:before="60"/>
      </w:pPr>
      <w:r>
        <w:rPr>
          <w:rFonts w:ascii="Arial" w:cs="Arial" w:eastAsia="Arial" w:hAnsi="Arial"/>
          <w:color w:val="1A1A2E"/>
          <w:sz w:val="22"/>
          <w:szCs w:val="22"/>
        </w:rPr>
        <w:t xml:space="preserve">Cliquez sur un contact dans la liste pour ouvrir sa fiche détaillée. La fiche affiche :</w:t>
      </w:r>
    </w:p>
    <w:p>
      <w:pPr>
        <w:pStyle w:val="ListParagraph"/>
        <w:numPr>
          <w:ilvl w:val="0"/>
          <w:numId w:val="2"/>
        </w:numPr>
        <w:spacing w:after="40" w:before="40"/>
      </w:pPr>
      <w:r>
        <w:rPr>
          <w:rFonts w:ascii="Arial" w:cs="Arial" w:eastAsia="Arial" w:hAnsi="Arial"/>
          <w:color w:val="1A1A2E"/>
          <w:sz w:val="22"/>
          <w:szCs w:val="22"/>
        </w:rPr>
        <w:t xml:space="preserve">Toutes les informations du contact</w:t>
      </w:r>
    </w:p>
    <w:p>
      <w:pPr>
        <w:pStyle w:val="ListParagraph"/>
        <w:numPr>
          <w:ilvl w:val="0"/>
          <w:numId w:val="2"/>
        </w:numPr>
        <w:spacing w:after="40" w:before="40"/>
      </w:pPr>
      <w:r>
        <w:rPr>
          <w:rFonts w:ascii="Arial" w:cs="Arial" w:eastAsia="Arial" w:hAnsi="Arial"/>
          <w:color w:val="1A1A2E"/>
          <w:sz w:val="22"/>
          <w:szCs w:val="22"/>
        </w:rPr>
        <w:t xml:space="preserve">Le compte associé avec un lien direct</w:t>
      </w:r>
    </w:p>
    <w:p>
      <w:pPr>
        <w:pStyle w:val="ListParagraph"/>
        <w:numPr>
          <w:ilvl w:val="0"/>
          <w:numId w:val="2"/>
        </w:numPr>
        <w:spacing w:after="40" w:before="40"/>
      </w:pPr>
      <w:r>
        <w:rPr>
          <w:rFonts w:ascii="Arial" w:cs="Arial" w:eastAsia="Arial" w:hAnsi="Arial"/>
          <w:color w:val="1A1A2E"/>
          <w:sz w:val="22"/>
          <w:szCs w:val="22"/>
        </w:rPr>
        <w:t xml:space="preserve">L'historique des activités liées au contact</w:t>
      </w:r>
    </w:p>
    <w:p>
      <w:pPr>
        <w:pStyle w:val="ListParagraph"/>
        <w:numPr>
          <w:ilvl w:val="0"/>
          <w:numId w:val="2"/>
        </w:numPr>
        <w:spacing w:after="40" w:before="40"/>
      </w:pPr>
      <w:r>
        <w:rPr>
          <w:rFonts w:ascii="Arial" w:cs="Arial" w:eastAsia="Arial" w:hAnsi="Arial"/>
          <w:color w:val="1A1A2E"/>
          <w:sz w:val="22"/>
          <w:szCs w:val="22"/>
        </w:rPr>
        <w:t xml:space="preserve">Les opportunités et devis associés</w:t>
      </w:r>
    </w:p>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1.6 Modifier ou Supprimer un Contact</w:t>
      </w:r>
    </w:p>
    <w:p>
      <w:pPr>
        <w:spacing w:after="100" w:before="60"/>
      </w:pPr>
      <w:r>
        <w:rPr>
          <w:rFonts w:ascii="Arial" w:cs="Arial" w:eastAsia="Arial" w:hAnsi="Arial"/>
          <w:color w:val="1A1A2E"/>
          <w:sz w:val="22"/>
          <w:szCs w:val="22"/>
        </w:rPr>
        <w:t xml:space="preserve">Depuis la liste ou la fiche détail, les actions disponibles sont :</w:t>
      </w:r>
    </w:p>
    <w:p>
      <w:pPr>
        <w:pStyle w:val="ListParagraph"/>
        <w:numPr>
          <w:ilvl w:val="0"/>
          <w:numId w:val="2"/>
        </w:numPr>
        <w:spacing w:after="40" w:before="40"/>
      </w:pPr>
      <w:r>
        <w:rPr>
          <w:rFonts w:ascii="Arial" w:cs="Arial" w:eastAsia="Arial" w:hAnsi="Arial"/>
          <w:color w:val="1A1A2E"/>
          <w:sz w:val="22"/>
          <w:szCs w:val="22"/>
        </w:rPr>
        <w:t xml:space="preserve">Modifier : Cliquer sur l'icône crayon ou le bouton Modifier</w:t>
      </w:r>
    </w:p>
    <w:p>
      <w:pPr>
        <w:pStyle w:val="ListParagraph"/>
        <w:numPr>
          <w:ilvl w:val="0"/>
          <w:numId w:val="2"/>
        </w:numPr>
        <w:spacing w:after="40" w:before="40"/>
      </w:pPr>
      <w:r>
        <w:rPr>
          <w:rFonts w:ascii="Arial" w:cs="Arial" w:eastAsia="Arial" w:hAnsi="Arial"/>
          <w:color w:val="1A1A2E"/>
          <w:sz w:val="22"/>
          <w:szCs w:val="22"/>
        </w:rPr>
        <w:t xml:space="preserve">Supprimer : Cliquer sur l'icône corbeille (confirmation requise)</w:t>
      </w:r>
    </w:p>
    <w:p>
      <w:pPr>
        <w:pStyle w:val="ListParagraph"/>
        <w:numPr>
          <w:ilvl w:val="0"/>
          <w:numId w:val="2"/>
        </w:numPr>
        <w:spacing w:after="40" w:before="40"/>
      </w:pPr>
      <w:r>
        <w:rPr>
          <w:rFonts w:ascii="Arial" w:cs="Arial" w:eastAsia="Arial" w:hAnsi="Arial"/>
          <w:color w:val="1A1A2E"/>
          <w:sz w:val="22"/>
          <w:szCs w:val="22"/>
        </w:rPr>
        <w:t xml:space="preserve">Dupliquer : Créer un nouveau contact avec les mêmes informations de base</w:t>
      </w:r>
    </w:p>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1.7 Détection de Doublons</w:t>
      </w:r>
    </w:p>
    <w:p>
      <w:pPr>
        <w:spacing w:after="100" w:before="60"/>
      </w:pPr>
      <w:r>
        <w:rPr>
          <w:rFonts w:ascii="Arial" w:cs="Arial" w:eastAsia="Arial" w:hAnsi="Arial"/>
          <w:color w:val="1A1A2E"/>
          <w:sz w:val="22"/>
          <w:szCs w:val="22"/>
        </w:rPr>
        <w:t xml:space="preserve">OptiCRM vérifie automatiquement si un contact existe déjà avec le même email ou numéro de téléphone lors de la création. Un avertissement est affiché si un doublon potentiel est détecté.</w:t>
      </w:r>
    </w:p>
    <w:p>
      <w:pPr>
        <w:spacing w:after="80" w:before="0"/>
      </w:pPr>
      <w:r>
        <w:t xml:space="preserve"/>
      </w:r>
    </w:p>
    <w:p>
      <w:r>
        <w:br w:type="page"/>
      </w:r>
    </w:p>
    <w:p>
      <w:pPr>
        <w:pStyle w:val="Heading1"/>
        <w:pBdr>
          <w:bottom w:val="single" w:color="4A90D9" w:sz="3"/>
        </w:pBdr>
        <w:shd w:fill="1E3A5F" w:val="clear"/>
        <w:spacing w:after="200" w:before="360"/>
      </w:pPr>
      <w:r>
        <w:rPr>
          <w:rFonts w:ascii="Arial" w:cs="Arial" w:eastAsia="Arial" w:hAnsi="Arial"/>
          <w:b/>
          <w:bCs/>
          <w:color w:val="FFFFFF"/>
          <w:sz w:val="36"/>
          <w:szCs w:val="36"/>
        </w:rPr>
        <w:t xml:space="preserve">2. Comptes</w:t>
      </w:r>
    </w:p>
    <w:p>
      <w:pPr>
        <w:spacing w:after="100" w:before="60"/>
      </w:pPr>
      <w:r>
        <w:rPr>
          <w:rFonts w:ascii="Arial" w:cs="Arial" w:eastAsia="Arial" w:hAnsi="Arial"/>
          <w:color w:val="1A1A2E"/>
          <w:sz w:val="22"/>
          <w:szCs w:val="22"/>
        </w:rPr>
        <w:t xml:space="preserve">Le module Comptes (aussi appelé "Clients" ou "Sociétés") centralise toutes les informations relatives aux entreprises avec lesquelles vous travaillez : clients, prospects, partenaires et fournisseurs.</w:t>
      </w:r>
    </w:p>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2.1 Accéder aux Comptes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1800"/>
        <w:gridCol w:w="6650"/>
      </w:tblGrid>
      <w:tr>
        <w:tc>
          <w:tcPr>
            <w:tcW w:type="dxa" w:w="1800"/>
            <w:tcBorders>
              <w:top w:val="single" w:color="BDD5F0" w:sz="1"/>
              <w:left w:val="single" w:color="BDD5F0" w:sz="1"/>
              <w:bottom w:val="single" w:color="BDD5F0" w:sz="1"/>
              <w:right w:val="single" w:color="BDD5F0" w:sz="1"/>
            </w:tcBorders>
            <w:shd w:fill="2D5F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6650"/>
            <w:tcBorders>
              <w:top w:val="single" w:color="BDD5F0" w:sz="1"/>
              <w:left w:val="single" w:color="BDD5F0" w:sz="1"/>
              <w:bottom w:val="single" w:color="BDD5F0" w:sz="1"/>
              <w:right w:val="single" w:color="BDD5F0" w:sz="1"/>
            </w:tcBorders>
            <w:shd w:fill="EBF2FB" w:val="clear"/>
            <w:tcMar>
              <w:top w:type="dxa" w:w="80"/>
              <w:left w:type="dxa" w:w="160"/>
              <w:bottom w:type="dxa" w:w="80"/>
              <w:right w:type="dxa" w:w="120"/>
            </w:tcMar>
          </w:tcPr>
          <w:p>
            <w:r>
              <w:rPr>
                <w:rFonts w:ascii="Arial" w:cs="Arial" w:eastAsia="Arial" w:hAnsi="Arial"/>
                <w:color w:val="1A1A2E"/>
                <w:sz w:val="22"/>
                <w:szCs w:val="22"/>
              </w:rPr>
              <w:t xml:space="preserve">/accounts</w:t>
            </w:r>
          </w:p>
        </w:tc>
      </w:tr>
    </w:tbl>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2.2 Types de Comptes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2112"/>
        <w:gridCol w:w="2112"/>
        <w:gridCol w:w="2112"/>
        <w:gridCol w:w="2114"/>
      </w:tblGrid>
      <w:tr>
        <w:tc>
          <w:tcPr>
            <w:tcW w:type="dxa" w:w="2112"/>
            <w:tcBorders>
              <w:top w:val="none" w:color="FFFFFF" w:sz="0"/>
              <w:left w:val="none" w:color="FFFFFF" w:sz="0"/>
              <w:bottom w:val="none" w:color="FFFFFF" w:sz="0"/>
              <w:right w:val="none" w:color="FFFFFF" w:sz="0"/>
            </w:tcBorders>
            <w:shd w:fill="3498D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PROSPECT</w:t>
            </w:r>
          </w:p>
        </w:tc>
        <w:tc>
          <w:tcPr>
            <w:tcW w:type="dxa" w:w="2112"/>
            <w:tcBorders>
              <w:top w:val="none" w:color="FFFFFF" w:sz="0"/>
              <w:left w:val="none" w:color="FFFFFF" w:sz="0"/>
              <w:bottom w:val="none" w:color="FFFFFF" w:sz="0"/>
              <w:right w:val="none" w:color="FFFFFF" w:sz="0"/>
            </w:tcBorders>
            <w:shd w:fill="27AE60"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CLIENT</w:t>
            </w:r>
          </w:p>
        </w:tc>
        <w:tc>
          <w:tcPr>
            <w:tcW w:type="dxa" w:w="2112"/>
            <w:tcBorders>
              <w:top w:val="none" w:color="FFFFFF" w:sz="0"/>
              <w:left w:val="none" w:color="FFFFFF" w:sz="0"/>
              <w:bottom w:val="none" w:color="FFFFFF" w:sz="0"/>
              <w:right w:val="none" w:color="FFFFFF" w:sz="0"/>
            </w:tcBorders>
            <w:shd w:fill="8E44AD"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PARTENAIRE</w:t>
            </w:r>
          </w:p>
        </w:tc>
        <w:tc>
          <w:tcPr>
            <w:tcW w:type="dxa" w:w="2114"/>
            <w:tcBorders>
              <w:top w:val="none" w:color="FFFFFF" w:sz="0"/>
              <w:left w:val="none" w:color="FFFFFF" w:sz="0"/>
              <w:bottom w:val="none" w:color="FFFFFF" w:sz="0"/>
              <w:right w:val="none" w:color="FFFFFF" w:sz="0"/>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FOURNISSEUR</w:t>
            </w:r>
          </w:p>
        </w:tc>
      </w:tr>
    </w:tbl>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2.3 Liste des Comptes</w:t>
      </w:r>
    </w:p>
    <w:p>
      <w:pPr>
        <w:spacing w:after="100" w:before="60"/>
      </w:pPr>
      <w:r>
        <w:rPr>
          <w:rFonts w:ascii="Arial" w:cs="Arial" w:eastAsia="Arial" w:hAnsi="Arial"/>
          <w:color w:val="1A1A2E"/>
          <w:sz w:val="22"/>
          <w:szCs w:val="22"/>
        </w:rPr>
        <w:t xml:space="preserve">La liste des comptes offre plusieurs modes d'affichage et de filtrage :</w:t>
      </w:r>
    </w:p>
    <w:p>
      <w:pPr>
        <w:pStyle w:val="ListParagraph"/>
        <w:numPr>
          <w:ilvl w:val="0"/>
          <w:numId w:val="2"/>
        </w:numPr>
        <w:spacing w:after="40" w:before="40"/>
      </w:pPr>
      <w:r>
        <w:rPr>
          <w:rFonts w:ascii="Arial" w:cs="Arial" w:eastAsia="Arial" w:hAnsi="Arial"/>
          <w:color w:val="1A1A2E"/>
          <w:sz w:val="22"/>
          <w:szCs w:val="22"/>
        </w:rPr>
        <w:t xml:space="preserve">Vue liste : tableau avec colonnes triables</w:t>
      </w:r>
    </w:p>
    <w:p>
      <w:pPr>
        <w:pStyle w:val="ListParagraph"/>
        <w:numPr>
          <w:ilvl w:val="0"/>
          <w:numId w:val="2"/>
        </w:numPr>
        <w:spacing w:after="40" w:before="40"/>
      </w:pPr>
      <w:r>
        <w:rPr>
          <w:rFonts w:ascii="Arial" w:cs="Arial" w:eastAsia="Arial" w:hAnsi="Arial"/>
          <w:color w:val="1A1A2E"/>
          <w:sz w:val="22"/>
          <w:szCs w:val="22"/>
        </w:rPr>
        <w:t xml:space="preserve">Vue carte (Map) : affichage géographique des comptes géolocalisés</w:t>
      </w:r>
    </w:p>
    <w:p>
      <w:pPr>
        <w:pStyle w:val="ListParagraph"/>
        <w:numPr>
          <w:ilvl w:val="0"/>
          <w:numId w:val="2"/>
        </w:numPr>
        <w:spacing w:after="40" w:before="40"/>
      </w:pPr>
      <w:r>
        <w:rPr>
          <w:rFonts w:ascii="Arial" w:cs="Arial" w:eastAsia="Arial" w:hAnsi="Arial"/>
          <w:color w:val="1A1A2E"/>
          <w:sz w:val="22"/>
          <w:szCs w:val="22"/>
        </w:rPr>
        <w:t xml:space="preserve">Recherche par nom, code client, SIRET, ICE</w:t>
      </w:r>
    </w:p>
    <w:p>
      <w:pPr>
        <w:pStyle w:val="ListParagraph"/>
        <w:numPr>
          <w:ilvl w:val="0"/>
          <w:numId w:val="2"/>
        </w:numPr>
        <w:spacing w:after="40" w:before="40"/>
      </w:pPr>
      <w:r>
        <w:rPr>
          <w:rFonts w:ascii="Arial" w:cs="Arial" w:eastAsia="Arial" w:hAnsi="Arial"/>
          <w:color w:val="1A1A2E"/>
          <w:sz w:val="22"/>
          <w:szCs w:val="22"/>
        </w:rPr>
        <w:t xml:space="preserve">Filtres : Type de compte, Utilisateur assigné, Territoire, Société d'affectation, Préfecture</w:t>
      </w:r>
    </w:p>
    <w:p>
      <w:pPr>
        <w:pStyle w:val="ListParagraph"/>
        <w:numPr>
          <w:ilvl w:val="0"/>
          <w:numId w:val="2"/>
        </w:numPr>
        <w:spacing w:after="40" w:before="40"/>
      </w:pPr>
      <w:r>
        <w:rPr>
          <w:rFonts w:ascii="Arial" w:cs="Arial" w:eastAsia="Arial" w:hAnsi="Arial"/>
          <w:color w:val="1A1A2E"/>
          <w:sz w:val="22"/>
          <w:szCs w:val="22"/>
        </w:rPr>
        <w:t xml:space="preserve">Export CSV / Excel</w:t>
      </w:r>
    </w:p>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2.4 Créer un Compte</w:t>
      </w:r>
    </w:p>
    <w:p>
      <w:pPr>
        <w:spacing w:after="100" w:before="60"/>
      </w:pPr>
      <w:r>
        <w:rPr>
          <w:rFonts w:ascii="Arial" w:cs="Arial" w:eastAsia="Arial" w:hAnsi="Arial"/>
          <w:color w:val="1A1A2E"/>
          <w:sz w:val="22"/>
          <w:szCs w:val="22"/>
        </w:rPr>
        <w:t xml:space="preserve">Cliquez sur le bouton Nouveau Compte. Le formulaire est organisé en plusieurs sections :</w:t>
      </w:r>
    </w:p>
    <w:p>
      <w:pPr>
        <w:spacing w:after="80" w:before="0"/>
      </w:pPr>
      <w:r>
        <w:t xml:space="preserve"/>
      </w:r>
    </w:p>
    <w:p>
      <w:pPr>
        <w:pStyle w:val="Heading3"/>
        <w:spacing w:after="80" w:before="220"/>
      </w:pPr>
      <w:r>
        <w:rPr>
          <w:rFonts w:ascii="Arial" w:cs="Arial" w:eastAsia="Arial" w:hAnsi="Arial"/>
          <w:b/>
          <w:bCs/>
          <w:color w:val="2D5FA8"/>
          <w:sz w:val="24"/>
          <w:szCs w:val="24"/>
        </w:rPr>
        <w:t xml:space="preserve">Informations Générales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2816"/>
        <w:gridCol w:w="2816"/>
        <w:gridCol w:w="2818"/>
      </w:tblGrid>
      <w:tr>
        <w:trPr>
          <w:tblHeader/>
        </w:trPr>
        <w:tc>
          <w:tcPr>
            <w:tcW w:type="dxa" w:w="2816"/>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Champ</w:t>
            </w:r>
          </w:p>
        </w:tc>
        <w:tc>
          <w:tcPr>
            <w:tcW w:type="dxa" w:w="2816"/>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818"/>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Obligatoire</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Nom du Compte</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Raison sociale ou nom commercial</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Oui</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Type de Compte</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Prospect / Client / Partenaire / Fournisseur</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Oui</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Raison Sociale</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Nom légal officiel</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Société d'Affectation</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Sanitaire AL Boughaze ou Odyssée</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Non</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Secteur d'Activité</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Secteur d'activité de l'entreprise</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Nombre d'Employés</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Effectif de l'entreprise</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Non</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Chiffre d'Affaires Annuel</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 annuel de l'entreprise</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w:t>
            </w:r>
          </w:p>
        </w:tc>
      </w:tr>
    </w:tbl>
    <w:p>
      <w:pPr>
        <w:spacing w:after="80" w:before="0"/>
      </w:pPr>
      <w:r>
        <w:t xml:space="preserve"/>
      </w:r>
    </w:p>
    <w:p>
      <w:pPr>
        <w:pStyle w:val="Heading3"/>
        <w:spacing w:after="80" w:before="220"/>
      </w:pPr>
      <w:r>
        <w:rPr>
          <w:rFonts w:ascii="Arial" w:cs="Arial" w:eastAsia="Arial" w:hAnsi="Arial"/>
          <w:b/>
          <w:bCs/>
          <w:color w:val="2D5FA8"/>
          <w:sz w:val="24"/>
          <w:szCs w:val="24"/>
        </w:rPr>
        <w:t xml:space="preserve">Identifiants Légaux &amp; Fiscaux</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4225"/>
        <w:gridCol w:w="4225"/>
      </w:tblGrid>
      <w:tr>
        <w:trPr>
          <w:tblHeader/>
        </w:trPr>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Champ</w:t>
            </w:r>
          </w:p>
        </w:tc>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SIRET</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Numéro SIRET (France)</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SIREN</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Numéro SIREN (France)</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Numéro TVA</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Numéro de TVA intracommunautaire</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ICE</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Identifiant Commun de l'Entreprise (Maroc)</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Identifiant Fiscal</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Numéro identifiant fiscal (Maroc)</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RC</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Registre de Commerce</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CNSS</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Numéro CNSS</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Patente</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Numéro de patente</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Capital Social</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Capital social de l'entreprise</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Associés</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Liste des associés</w:t>
            </w:r>
          </w:p>
        </w:tc>
      </w:tr>
    </w:tbl>
    <w:p>
      <w:pPr>
        <w:spacing w:after="80" w:before="0"/>
      </w:pPr>
      <w:r>
        <w:t xml:space="preserve"/>
      </w:r>
    </w:p>
    <w:p>
      <w:pPr>
        <w:pStyle w:val="Heading3"/>
        <w:spacing w:after="80" w:before="220"/>
      </w:pPr>
      <w:r>
        <w:rPr>
          <w:rFonts w:ascii="Arial" w:cs="Arial" w:eastAsia="Arial" w:hAnsi="Arial"/>
          <w:b/>
          <w:bCs/>
          <w:color w:val="2D5FA8"/>
          <w:sz w:val="24"/>
          <w:szCs w:val="24"/>
        </w:rPr>
        <w:t xml:space="preserve">Coordonnées &amp; Localisation</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4225"/>
        <w:gridCol w:w="4225"/>
      </w:tblGrid>
      <w:tr>
        <w:trPr>
          <w:tblHeader/>
        </w:trPr>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Champ</w:t>
            </w:r>
          </w:p>
        </w:tc>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Site Web</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URL du site web</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Téléphone</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Numéro de téléphone principal</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WhatsApp</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Numéro WhatsApp</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Adresse de Facturation</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Rue, Ville, Code Postal, Pays</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Adresse de Livraison</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Adresse de livraison (si différente)</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Latitude / Longitude</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Coordonnées GPS pour l'affichage sur carte</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Préfecture</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Préfecture (spécifique Maroc)</w:t>
            </w:r>
          </w:p>
        </w:tc>
      </w:tr>
    </w:tbl>
    <w:p>
      <w:pPr>
        <w:spacing w:after="80" w:before="0"/>
      </w:pPr>
      <w:r>
        <w:t xml:space="preserve"/>
      </w:r>
    </w:p>
    <w:p>
      <w:pPr>
        <w:pStyle w:val="Heading3"/>
        <w:spacing w:after="80" w:before="220"/>
      </w:pPr>
      <w:r>
        <w:rPr>
          <w:rFonts w:ascii="Arial" w:cs="Arial" w:eastAsia="Arial" w:hAnsi="Arial"/>
          <w:b/>
          <w:bCs/>
          <w:color w:val="2D5FA8"/>
          <w:sz w:val="24"/>
          <w:szCs w:val="24"/>
        </w:rPr>
        <w:t xml:space="preserve">Classification Commerciale</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4225"/>
        <w:gridCol w:w="4225"/>
      </w:tblGrid>
      <w:tr>
        <w:trPr>
          <w:tblHeader/>
        </w:trPr>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Champ</w:t>
            </w:r>
          </w:p>
        </w:tc>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Segment</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Segmentation commerciale</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Catégorie Client</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Catégorie de classification</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Catégorie Tarifaire</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Grille de prix appliquée</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Représentant</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Commercial assigné au compte</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Territoire</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Zone géographique commerciale</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Tags</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Étiquettes libres pour la classification</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Statut Compte</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Statut actuel du compte</w:t>
            </w:r>
          </w:p>
        </w:tc>
      </w:tr>
    </w:tbl>
    <w:p>
      <w:pPr>
        <w:spacing w:after="80" w:before="0"/>
      </w:pPr>
      <w:r>
        <w:t xml:space="preserve"/>
      </w:r>
    </w:p>
    <w:p>
      <w:pPr>
        <w:pStyle w:val="Heading3"/>
        <w:spacing w:after="80" w:before="220"/>
      </w:pPr>
      <w:r>
        <w:rPr>
          <w:rFonts w:ascii="Arial" w:cs="Arial" w:eastAsia="Arial" w:hAnsi="Arial"/>
          <w:b/>
          <w:bCs/>
          <w:color w:val="2D5FA8"/>
          <w:sz w:val="24"/>
          <w:szCs w:val="24"/>
        </w:rPr>
        <w:t xml:space="preserve">Informations Financières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4225"/>
        <w:gridCol w:w="4225"/>
      </w:tblGrid>
      <w:tr>
        <w:trPr>
          <w:tblHeader/>
        </w:trPr>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Champ</w:t>
            </w:r>
          </w:p>
        </w:tc>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Plafond de Crédit</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Limite de crédit accordée</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Montant Assurance</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Montant d'assurance-crédit</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Compagnie d'Assurance</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Assureur-crédit</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Conditions de Paiement</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Délai de paiement (ex: 30 jours net)</w:t>
            </w:r>
          </w:p>
        </w:tc>
      </w:tr>
    </w:tbl>
    <w:p>
      <w:pPr>
        <w:spacing w:after="80" w:before="0"/>
      </w:pPr>
      <w:r>
        <w:t xml:space="preserve"/>
      </w:r>
    </w:p>
    <w:p>
      <w:pPr>
        <w:pStyle w:val="Heading3"/>
        <w:spacing w:after="80" w:before="220"/>
      </w:pPr>
      <w:r>
        <w:rPr>
          <w:rFonts w:ascii="Arial" w:cs="Arial" w:eastAsia="Arial" w:hAnsi="Arial"/>
          <w:b/>
          <w:bCs/>
          <w:color w:val="2D5FA8"/>
          <w:sz w:val="24"/>
          <w:szCs w:val="24"/>
        </w:rPr>
        <w:t xml:space="preserve">Champs Spécifiques ODYSSÉE Distribution</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4225"/>
        <w:gridCol w:w="4225"/>
      </w:tblGrid>
      <w:tr>
        <w:trPr>
          <w:tblHeader/>
        </w:trPr>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Champ</w:t>
            </w:r>
          </w:p>
        </w:tc>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Famille</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Famille de produits principale</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Rôle Principal</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Rôle dans la chaîne de distribution</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Potentiel</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Potentiel commercial estimé</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Action Suivante</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Prochaine action commerciale planifiée</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Date Prochaine Action</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Échéance pour l'action suivante</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Type Compte Odyssée</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Classification spécifique Odyssée</w:t>
            </w:r>
          </w:p>
        </w:tc>
      </w:tr>
    </w:tbl>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2.5 Health Score (Score de Santé)</w:t>
      </w:r>
    </w:p>
    <w:p>
      <w:pPr>
        <w:spacing w:after="100" w:before="60"/>
      </w:pPr>
      <w:r>
        <w:rPr>
          <w:rFonts w:ascii="Arial" w:cs="Arial" w:eastAsia="Arial" w:hAnsi="Arial"/>
          <w:color w:val="1A1A2E"/>
          <w:sz w:val="22"/>
          <w:szCs w:val="22"/>
        </w:rPr>
        <w:t xml:space="preserve">OptiCRM calcule automatiquement un score de santé pour chaque compte (de 0 à 100). Ce score est visible sur la fiche compte et se décompose en plusieurs indicateurs :</w:t>
      </w:r>
    </w:p>
    <w:p>
      <w:pPr>
        <w:pStyle w:val="ListParagraph"/>
        <w:numPr>
          <w:ilvl w:val="0"/>
          <w:numId w:val="2"/>
        </w:numPr>
        <w:spacing w:after="40" w:before="40"/>
      </w:pPr>
      <w:r>
        <w:rPr>
          <w:rFonts w:ascii="Arial" w:cs="Arial" w:eastAsia="Arial" w:hAnsi="Arial"/>
          <w:color w:val="1A1A2E"/>
          <w:sz w:val="22"/>
          <w:szCs w:val="22"/>
        </w:rPr>
        <w:t xml:space="preserve">Engagement : fréquence et qualité des interactions</w:t>
      </w:r>
    </w:p>
    <w:p>
      <w:pPr>
        <w:pStyle w:val="ListParagraph"/>
        <w:numPr>
          <w:ilvl w:val="0"/>
          <w:numId w:val="2"/>
        </w:numPr>
        <w:spacing w:after="40" w:before="40"/>
      </w:pPr>
      <w:r>
        <w:rPr>
          <w:rFonts w:ascii="Arial" w:cs="Arial" w:eastAsia="Arial" w:hAnsi="Arial"/>
          <w:color w:val="1A1A2E"/>
          <w:sz w:val="22"/>
          <w:szCs w:val="22"/>
        </w:rPr>
        <w:t xml:space="preserve">Conversion : progression dans le cycle de vente</w:t>
      </w:r>
    </w:p>
    <w:p>
      <w:pPr>
        <w:pStyle w:val="ListParagraph"/>
        <w:numPr>
          <w:ilvl w:val="0"/>
          <w:numId w:val="2"/>
        </w:numPr>
        <w:spacing w:after="40" w:before="40"/>
      </w:pPr>
      <w:r>
        <w:rPr>
          <w:rFonts w:ascii="Arial" w:cs="Arial" w:eastAsia="Arial" w:hAnsi="Arial"/>
          <w:color w:val="1A1A2E"/>
          <w:sz w:val="22"/>
          <w:szCs w:val="22"/>
        </w:rPr>
        <w:t xml:space="preserve">Revenus : chiffre d'affaires généré</w:t>
      </w:r>
    </w:p>
    <w:p>
      <w:pPr>
        <w:pStyle w:val="ListParagraph"/>
        <w:numPr>
          <w:ilvl w:val="0"/>
          <w:numId w:val="2"/>
        </w:numPr>
        <w:spacing w:after="40" w:before="40"/>
      </w:pPr>
      <w:r>
        <w:rPr>
          <w:rFonts w:ascii="Arial" w:cs="Arial" w:eastAsia="Arial" w:hAnsi="Arial"/>
          <w:color w:val="1A1A2E"/>
          <w:sz w:val="22"/>
          <w:szCs w:val="22"/>
        </w:rPr>
        <w:t xml:space="preserve">Profil : complétude de la fiche compte</w:t>
      </w:r>
    </w:p>
    <w:p>
      <w:pPr>
        <w:pStyle w:val="ListParagraph"/>
        <w:numPr>
          <w:ilvl w:val="0"/>
          <w:numId w:val="2"/>
        </w:numPr>
        <w:spacing w:after="40" w:before="40"/>
      </w:pPr>
      <w:r>
        <w:rPr>
          <w:rFonts w:ascii="Arial" w:cs="Arial" w:eastAsia="Arial" w:hAnsi="Arial"/>
          <w:color w:val="1A1A2E"/>
          <w:sz w:val="22"/>
          <w:szCs w:val="22"/>
        </w:rPr>
        <w:t xml:space="preserve">Opportunités : opportunités ouvertes et en cours</w:t>
      </w:r>
    </w:p>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2.6 Compte Parent et Hiérarchie</w:t>
      </w:r>
    </w:p>
    <w:p>
      <w:pPr>
        <w:spacing w:after="100" w:before="60"/>
      </w:pPr>
      <w:r>
        <w:rPr>
          <w:rFonts w:ascii="Arial" w:cs="Arial" w:eastAsia="Arial" w:hAnsi="Arial"/>
          <w:color w:val="1A1A2E"/>
          <w:sz w:val="22"/>
          <w:szCs w:val="22"/>
        </w:rPr>
        <w:t xml:space="preserve">Un compte peut être rattaché à un Compte Parent. Cela permet de modéliser des groupes ou des filiales et de visualiser la hiérarchie d'entreprise.</w:t>
      </w:r>
    </w:p>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2.7 Vue Carte (Map)</w:t>
      </w:r>
    </w:p>
    <w:p>
      <w:pPr>
        <w:spacing w:after="100" w:before="60"/>
      </w:pPr>
      <w:r>
        <w:rPr>
          <w:rFonts w:ascii="Arial" w:cs="Arial" w:eastAsia="Arial" w:hAnsi="Arial"/>
          <w:color w:val="1A1A2E"/>
          <w:sz w:val="22"/>
          <w:szCs w:val="22"/>
        </w:rPr>
        <w:t xml:space="preserve">Les comptes disposant de coordonnées GPS (latitude/longitude) peuvent être visualisés sur une carte interactive. Cette vue permet :</w:t>
      </w:r>
    </w:p>
    <w:p>
      <w:pPr>
        <w:pStyle w:val="ListParagraph"/>
        <w:numPr>
          <w:ilvl w:val="0"/>
          <w:numId w:val="2"/>
        </w:numPr>
        <w:spacing w:after="40" w:before="40"/>
      </w:pPr>
      <w:r>
        <w:rPr>
          <w:rFonts w:ascii="Arial" w:cs="Arial" w:eastAsia="Arial" w:hAnsi="Arial"/>
          <w:color w:val="1A1A2E"/>
          <w:sz w:val="22"/>
          <w:szCs w:val="22"/>
        </w:rPr>
        <w:t xml:space="preserve">De visualiser la répartition géographique des comptes</w:t>
      </w:r>
    </w:p>
    <w:p>
      <w:pPr>
        <w:pStyle w:val="ListParagraph"/>
        <w:numPr>
          <w:ilvl w:val="0"/>
          <w:numId w:val="2"/>
        </w:numPr>
        <w:spacing w:after="40" w:before="40"/>
      </w:pPr>
      <w:r>
        <w:rPr>
          <w:rFonts w:ascii="Arial" w:cs="Arial" w:eastAsia="Arial" w:hAnsi="Arial"/>
          <w:color w:val="1A1A2E"/>
          <w:sz w:val="22"/>
          <w:szCs w:val="22"/>
        </w:rPr>
        <w:t xml:space="preserve">De filtrer les comptes affichés par type, statut ou territoire</w:t>
      </w:r>
    </w:p>
    <w:p>
      <w:pPr>
        <w:pStyle w:val="ListParagraph"/>
        <w:numPr>
          <w:ilvl w:val="0"/>
          <w:numId w:val="2"/>
        </w:numPr>
        <w:spacing w:after="40" w:before="40"/>
      </w:pPr>
      <w:r>
        <w:rPr>
          <w:rFonts w:ascii="Arial" w:cs="Arial" w:eastAsia="Arial" w:hAnsi="Arial"/>
          <w:color w:val="1A1A2E"/>
          <w:sz w:val="22"/>
          <w:szCs w:val="22"/>
        </w:rPr>
        <w:t xml:space="preserve">D'accéder directement à la fiche d'un compte en cliquant sur son marqueur</w:t>
      </w:r>
    </w:p>
    <w:p>
      <w:pPr>
        <w:spacing w:after="80" w:before="0"/>
      </w:pPr>
      <w:r>
        <w:t xml:space="preserve"/>
      </w:r>
    </w:p>
    <w:p>
      <w:r>
        <w:br w:type="page"/>
      </w:r>
    </w:p>
    <w:p>
      <w:pPr>
        <w:pStyle w:val="Heading1"/>
        <w:pBdr>
          <w:bottom w:val="single" w:color="4A90D9" w:sz="3"/>
        </w:pBdr>
        <w:shd w:fill="1E3A5F" w:val="clear"/>
        <w:spacing w:after="200" w:before="360"/>
      </w:pPr>
      <w:r>
        <w:rPr>
          <w:rFonts w:ascii="Arial" w:cs="Arial" w:eastAsia="Arial" w:hAnsi="Arial"/>
          <w:b/>
          <w:bCs/>
          <w:color w:val="FFFFFF"/>
          <w:sz w:val="36"/>
          <w:szCs w:val="36"/>
        </w:rPr>
        <w:t xml:space="preserve">3. Pistes (Leads)</w:t>
      </w:r>
    </w:p>
    <w:p>
      <w:pPr>
        <w:spacing w:after="100" w:before="60"/>
      </w:pPr>
      <w:r>
        <w:rPr>
          <w:rFonts w:ascii="Arial" w:cs="Arial" w:eastAsia="Arial" w:hAnsi="Arial"/>
          <w:color w:val="1A1A2E"/>
          <w:sz w:val="22"/>
          <w:szCs w:val="22"/>
        </w:rPr>
        <w:t xml:space="preserve">Le module Pistes (ou Leads) centralise les informations sur les prospects non encore qualifiés. Une piste représente une opportunité commerciale potentielle qui n'a pas encore été validée.</w:t>
      </w:r>
    </w:p>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3.1 Accéder aux Pistes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1800"/>
        <w:gridCol w:w="6650"/>
      </w:tblGrid>
      <w:tr>
        <w:tc>
          <w:tcPr>
            <w:tcW w:type="dxa" w:w="1800"/>
            <w:tcBorders>
              <w:top w:val="single" w:color="BDD5F0" w:sz="1"/>
              <w:left w:val="single" w:color="BDD5F0" w:sz="1"/>
              <w:bottom w:val="single" w:color="BDD5F0" w:sz="1"/>
              <w:right w:val="single" w:color="BDD5F0" w:sz="1"/>
            </w:tcBorders>
            <w:shd w:fill="2D5F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6650"/>
            <w:tcBorders>
              <w:top w:val="single" w:color="BDD5F0" w:sz="1"/>
              <w:left w:val="single" w:color="BDD5F0" w:sz="1"/>
              <w:bottom w:val="single" w:color="BDD5F0" w:sz="1"/>
              <w:right w:val="single" w:color="BDD5F0" w:sz="1"/>
            </w:tcBorders>
            <w:shd w:fill="EBF2FB" w:val="clear"/>
            <w:tcMar>
              <w:top w:type="dxa" w:w="80"/>
              <w:left w:type="dxa" w:w="160"/>
              <w:bottom w:type="dxa" w:w="80"/>
              <w:right w:type="dxa" w:w="120"/>
            </w:tcMar>
          </w:tcPr>
          <w:p>
            <w:r>
              <w:rPr>
                <w:rFonts w:ascii="Arial" w:cs="Arial" w:eastAsia="Arial" w:hAnsi="Arial"/>
                <w:color w:val="1A1A2E"/>
                <w:sz w:val="22"/>
                <w:szCs w:val="22"/>
              </w:rPr>
              <w:t xml:space="preserve">/leads</w:t>
            </w:r>
          </w:p>
        </w:tc>
      </w:tr>
    </w:tbl>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3.2 Cycle de Vie d'une Piste</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4225"/>
        <w:gridCol w:w="4225"/>
      </w:tblGrid>
      <w:tr>
        <w:trPr>
          <w:tblHeader/>
        </w:trPr>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Statut</w:t>
            </w:r>
          </w:p>
        </w:tc>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NOUVEAU</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Piste fraîchement créée, non encore contactée</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CONTACTÉ</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Premier contact établi avec la piste</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QUALIFIÉ</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Piste validée comme prospect sérieux</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NON QUALIFIÉ</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Piste écartée (hors cible, budget insuffisant, etc.)</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NURTURING</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Piste en cours de maturation (suivi à long terme)</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CONVERTI</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Piste transformée en Compte, Contact et/ou Opportunité</w:t>
            </w:r>
          </w:p>
        </w:tc>
      </w:tr>
    </w:tbl>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3.3 Rating (Température) d'une Piste</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2816"/>
        <w:gridCol w:w="2816"/>
        <w:gridCol w:w="2818"/>
      </w:tblGrid>
      <w:tr>
        <w:tc>
          <w:tcPr>
            <w:tcW w:type="dxa" w:w="2816"/>
            <w:tcBorders>
              <w:top w:val="none" w:color="FFFFFF" w:sz="0"/>
              <w:left w:val="none" w:color="FFFFFF" w:sz="0"/>
              <w:bottom w:val="none" w:color="FFFFFF" w:sz="0"/>
              <w:right w:val="none" w:color="FFFFFF" w:sz="0"/>
            </w:tcBorders>
            <w:shd w:fill="E74C3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HOT - Chaud</w:t>
            </w:r>
          </w:p>
        </w:tc>
        <w:tc>
          <w:tcPr>
            <w:tcW w:type="dxa" w:w="2816"/>
            <w:tcBorders>
              <w:top w:val="none" w:color="FFFFFF" w:sz="0"/>
              <w:left w:val="none" w:color="FFFFFF" w:sz="0"/>
              <w:bottom w:val="none" w:color="FFFFFF" w:sz="0"/>
              <w:right w:val="none" w:color="FFFFFF" w:sz="0"/>
            </w:tcBorders>
            <w:shd w:fill="F39C12"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WARM - Tiede</w:t>
            </w:r>
          </w:p>
        </w:tc>
        <w:tc>
          <w:tcPr>
            <w:tcW w:type="dxa" w:w="2818"/>
            <w:tcBorders>
              <w:top w:val="none" w:color="FFFFFF" w:sz="0"/>
              <w:left w:val="none" w:color="FFFFFF" w:sz="0"/>
              <w:bottom w:val="none" w:color="FFFFFF" w:sz="0"/>
              <w:right w:val="none" w:color="FFFFFF" w:sz="0"/>
            </w:tcBorders>
            <w:shd w:fill="3498D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COLD - Froid</w:t>
            </w:r>
          </w:p>
        </w:tc>
      </w:tr>
    </w:tbl>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3.4 Créer une Piste</w:t>
      </w:r>
    </w:p>
    <w:p>
      <w:pPr>
        <w:spacing w:after="100" w:before="60"/>
      </w:pPr>
      <w:r>
        <w:rPr>
          <w:rFonts w:ascii="Arial" w:cs="Arial" w:eastAsia="Arial" w:hAnsi="Arial"/>
          <w:color w:val="1A1A2E"/>
          <w:sz w:val="22"/>
          <w:szCs w:val="22"/>
        </w:rPr>
        <w:t xml:space="preserve">Cliquez sur Nouvelle Piste. Le formulaire comprend les sections suivantes :</w:t>
      </w:r>
    </w:p>
    <w:p>
      <w:pPr>
        <w:spacing w:after="80" w:before="0"/>
      </w:pPr>
      <w:r>
        <w:t xml:space="preserve"/>
      </w:r>
    </w:p>
    <w:p>
      <w:pPr>
        <w:pStyle w:val="Heading3"/>
        <w:spacing w:after="80" w:before="220"/>
      </w:pPr>
      <w:r>
        <w:rPr>
          <w:rFonts w:ascii="Arial" w:cs="Arial" w:eastAsia="Arial" w:hAnsi="Arial"/>
          <w:b/>
          <w:bCs/>
          <w:color w:val="2D5FA8"/>
          <w:sz w:val="24"/>
          <w:szCs w:val="24"/>
        </w:rPr>
        <w:t xml:space="preserve">Informations Personnelles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2816"/>
        <w:gridCol w:w="2816"/>
        <w:gridCol w:w="2818"/>
      </w:tblGrid>
      <w:tr>
        <w:trPr>
          <w:tblHeader/>
        </w:trPr>
        <w:tc>
          <w:tcPr>
            <w:tcW w:type="dxa" w:w="2816"/>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Champ</w:t>
            </w:r>
          </w:p>
        </w:tc>
        <w:tc>
          <w:tcPr>
            <w:tcW w:type="dxa" w:w="2816"/>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818"/>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Obligatoire</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Civilité</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 Mme, Dr., etc.</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Prénom</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Prénom du contact piste</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Oui</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Nom</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Nom de famille</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Oui</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Email</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Adresse email</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Non</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Téléphone</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Téléphone fixe</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Mobile</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Téléphone mobile</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Non</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LinkedIn</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URL profil LinkedIn</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w:t>
            </w:r>
          </w:p>
        </w:tc>
      </w:tr>
    </w:tbl>
    <w:p>
      <w:pPr>
        <w:spacing w:after="80" w:before="0"/>
      </w:pPr>
      <w:r>
        <w:t xml:space="preserve"/>
      </w:r>
    </w:p>
    <w:p>
      <w:pPr>
        <w:pStyle w:val="Heading3"/>
        <w:spacing w:after="80" w:before="220"/>
      </w:pPr>
      <w:r>
        <w:rPr>
          <w:rFonts w:ascii="Arial" w:cs="Arial" w:eastAsia="Arial" w:hAnsi="Arial"/>
          <w:b/>
          <w:bCs/>
          <w:color w:val="2D5FA8"/>
          <w:sz w:val="24"/>
          <w:szCs w:val="24"/>
        </w:rPr>
        <w:t xml:space="preserve">Informations Entreprise</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4225"/>
        <w:gridCol w:w="4225"/>
      </w:tblGrid>
      <w:tr>
        <w:trPr>
          <w:tblHeader/>
        </w:trPr>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Champ</w:t>
            </w:r>
          </w:p>
        </w:tc>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Nom de l'Entreprise</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Société du prospect</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Site Web</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URL du site web de l'entreprise</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Secteur d'Activité</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Domaine d'activité</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Nombre d'Employés</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Taille de l'entreprise</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Chiffre d'Affaires Annuel</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 estimé de l'entreprise</w:t>
            </w:r>
          </w:p>
        </w:tc>
      </w:tr>
    </w:tbl>
    <w:p>
      <w:pPr>
        <w:spacing w:after="80" w:before="0"/>
      </w:pPr>
      <w:r>
        <w:t xml:space="preserve"/>
      </w:r>
    </w:p>
    <w:p>
      <w:pPr>
        <w:pStyle w:val="Heading3"/>
        <w:spacing w:after="80" w:before="220"/>
      </w:pPr>
      <w:r>
        <w:rPr>
          <w:rFonts w:ascii="Arial" w:cs="Arial" w:eastAsia="Arial" w:hAnsi="Arial"/>
          <w:b/>
          <w:bCs/>
          <w:color w:val="2D5FA8"/>
          <w:sz w:val="24"/>
          <w:szCs w:val="24"/>
        </w:rPr>
        <w:t xml:space="preserve">Qualification Commerciale</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4225"/>
        <w:gridCol w:w="4225"/>
      </w:tblGrid>
      <w:tr>
        <w:trPr>
          <w:tblHeader/>
        </w:trPr>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Champ</w:t>
            </w:r>
          </w:p>
        </w:tc>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Statut</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État de la piste dans le cycle</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Source</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Origine de la piste (site web, référence, salon, etc.)</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Détail Source</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Précision sur la source</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Rating</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Température : Hot / Warm / Cold</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Score</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Score de qualification calculé automatiquement</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Produits Intéressés</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Produits/services pour lesquels le prospect a manifesté un intérêt</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Budget</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Fourchette budgétaire estimée</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Délai de Décision</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Échéance de décision d'achat</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Date Prochain Suivi</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Date de la prochaine relance planifiée</w:t>
            </w:r>
          </w:p>
        </w:tc>
      </w:tr>
    </w:tbl>
    <w:p>
      <w:pPr>
        <w:spacing w:after="80" w:before="0"/>
      </w:pPr>
      <w:r>
        <w:t xml:space="preserve"/>
      </w:r>
    </w:p>
    <w:p>
      <w:pPr>
        <w:pStyle w:val="Heading3"/>
        <w:spacing w:after="80" w:before="220"/>
      </w:pPr>
      <w:r>
        <w:rPr>
          <w:rFonts w:ascii="Arial" w:cs="Arial" w:eastAsia="Arial" w:hAnsi="Arial"/>
          <w:b/>
          <w:bCs/>
          <w:color w:val="2D5FA8"/>
          <w:sz w:val="24"/>
          <w:szCs w:val="24"/>
        </w:rPr>
        <w:t xml:space="preserve">Sources de Pistes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4225"/>
        <w:gridCol w:w="4225"/>
      </w:tblGrid>
      <w:tr>
        <w:trPr>
          <w:tblHeader/>
        </w:trPr>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Code Source</w:t>
            </w:r>
          </w:p>
        </w:tc>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WEBSITE</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Formulaire ou visite du site internet</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REFERRAL</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Recommandation d'un client ou partenaire</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COLD_CALL</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Prospection téléphonique sortante</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TRADE_SHOW</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Salon ou événement professionnel</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SOCIAL_MEDIA</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Réseaux sociaux (LinkedIn, Twitter, etc.)</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ADVERTISING</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Campagne publicitaire (print, digital)</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EMAIL_CAMPAIGN</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Campagne d'emailing</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PARTNER</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Apport d'un partenaire commercial</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OTHER</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Autre source non listée</w:t>
            </w:r>
          </w:p>
        </w:tc>
      </w:tr>
    </w:tbl>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3.5 Score de Piste</w:t>
      </w:r>
    </w:p>
    <w:p>
      <w:pPr>
        <w:spacing w:after="100" w:before="60"/>
      </w:pPr>
      <w:r>
        <w:rPr>
          <w:rFonts w:ascii="Arial" w:cs="Arial" w:eastAsia="Arial" w:hAnsi="Arial"/>
          <w:color w:val="1A1A2E"/>
          <w:sz w:val="22"/>
          <w:szCs w:val="22"/>
        </w:rPr>
        <w:t xml:space="preserve">OptiCRM calcule un score de qualification pour chaque piste basé sur trois dimensions :</w:t>
      </w:r>
    </w:p>
    <w:p>
      <w:pPr>
        <w:pStyle w:val="ListParagraph"/>
        <w:numPr>
          <w:ilvl w:val="0"/>
          <w:numId w:val="2"/>
        </w:numPr>
        <w:spacing w:after="40" w:before="40"/>
      </w:pPr>
      <w:r>
        <w:rPr>
          <w:rFonts w:ascii="Arial" w:cs="Arial" w:eastAsia="Arial" w:hAnsi="Arial"/>
          <w:color w:val="1A1A2E"/>
          <w:sz w:val="22"/>
          <w:szCs w:val="22"/>
        </w:rPr>
        <w:t xml:space="preserve">Profil (0-40 pts) : correspondance avec le profil cible idéal</w:t>
      </w:r>
    </w:p>
    <w:p>
      <w:pPr>
        <w:pStyle w:val="ListParagraph"/>
        <w:numPr>
          <w:ilvl w:val="0"/>
          <w:numId w:val="2"/>
        </w:numPr>
        <w:spacing w:after="40" w:before="40"/>
      </w:pPr>
      <w:r>
        <w:rPr>
          <w:rFonts w:ascii="Arial" w:cs="Arial" w:eastAsia="Arial" w:hAnsi="Arial"/>
          <w:color w:val="1A1A2E"/>
          <w:sz w:val="22"/>
          <w:szCs w:val="22"/>
        </w:rPr>
        <w:t xml:space="preserve">Qualification (0-40 pts) : informations de qualification renseignées</w:t>
      </w:r>
    </w:p>
    <w:p>
      <w:pPr>
        <w:pStyle w:val="ListParagraph"/>
        <w:numPr>
          <w:ilvl w:val="0"/>
          <w:numId w:val="2"/>
        </w:numPr>
        <w:spacing w:after="40" w:before="40"/>
      </w:pPr>
      <w:r>
        <w:rPr>
          <w:rFonts w:ascii="Arial" w:cs="Arial" w:eastAsia="Arial" w:hAnsi="Arial"/>
          <w:color w:val="1A1A2E"/>
          <w:sz w:val="22"/>
          <w:szCs w:val="22"/>
        </w:rPr>
        <w:t xml:space="preserve">Engagement (0-20 pts) : interactions et réactivité de la piste</w:t>
      </w:r>
    </w:p>
    <w:p>
      <w:pPr>
        <w:spacing w:after="100" w:before="60"/>
      </w:pPr>
      <w:r>
        <w:rPr>
          <w:rFonts w:ascii="Arial" w:cs="Arial" w:eastAsia="Arial" w:hAnsi="Arial"/>
          <w:color w:val="1A1A2E"/>
          <w:sz w:val="22"/>
          <w:szCs w:val="22"/>
        </w:rPr>
        <w:t xml:space="preserve">Un score élevé (&gt; 70) indique une piste mature à prioriser.</w:t>
      </w:r>
    </w:p>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3.6 Convertir une Piste</w:t>
      </w:r>
    </w:p>
    <w:p>
      <w:pPr>
        <w:spacing w:after="100" w:before="60"/>
      </w:pPr>
      <w:r>
        <w:rPr>
          <w:rFonts w:ascii="Arial" w:cs="Arial" w:eastAsia="Arial" w:hAnsi="Arial"/>
          <w:color w:val="1A1A2E"/>
          <w:sz w:val="22"/>
          <w:szCs w:val="22"/>
        </w:rPr>
        <w:t xml:space="preserve">La conversion d'une piste est l'action de la transformer en enregistrements CRM actifs. Cette action est irréversible. Lors de la conversion, vous pouvez :</w:t>
      </w:r>
    </w:p>
    <w:p>
      <w:pPr>
        <w:pStyle w:val="ListParagraph"/>
        <w:numPr>
          <w:ilvl w:val="0"/>
          <w:numId w:val="2"/>
        </w:numPr>
        <w:spacing w:after="40" w:before="40"/>
      </w:pPr>
      <w:r>
        <w:rPr>
          <w:rFonts w:ascii="Arial" w:cs="Arial" w:eastAsia="Arial" w:hAnsi="Arial"/>
          <w:color w:val="1A1A2E"/>
          <w:sz w:val="22"/>
          <w:szCs w:val="22"/>
        </w:rPr>
        <w:t xml:space="preserve">Créer ou associer un Compte existant</w:t>
      </w:r>
    </w:p>
    <w:p>
      <w:pPr>
        <w:pStyle w:val="ListParagraph"/>
        <w:numPr>
          <w:ilvl w:val="0"/>
          <w:numId w:val="2"/>
        </w:numPr>
        <w:spacing w:after="40" w:before="40"/>
      </w:pPr>
      <w:r>
        <w:rPr>
          <w:rFonts w:ascii="Arial" w:cs="Arial" w:eastAsia="Arial" w:hAnsi="Arial"/>
          <w:color w:val="1A1A2E"/>
          <w:sz w:val="22"/>
          <w:szCs w:val="22"/>
        </w:rPr>
        <w:t xml:space="preserve">Créer un Contact rattaché au compte</w:t>
      </w:r>
    </w:p>
    <w:p>
      <w:pPr>
        <w:pStyle w:val="ListParagraph"/>
        <w:numPr>
          <w:ilvl w:val="0"/>
          <w:numId w:val="2"/>
        </w:numPr>
        <w:spacing w:after="40" w:before="40"/>
      </w:pPr>
      <w:r>
        <w:rPr>
          <w:rFonts w:ascii="Arial" w:cs="Arial" w:eastAsia="Arial" w:hAnsi="Arial"/>
          <w:color w:val="1A1A2E"/>
          <w:sz w:val="22"/>
          <w:szCs w:val="22"/>
        </w:rPr>
        <w:t xml:space="preserve">Créer une Opportunité pour démarrer le cycle de vente</w:t>
      </w:r>
    </w:p>
    <w:p>
      <w:pPr>
        <w:pStyle w:val="ListParagraph"/>
        <w:numPr>
          <w:ilvl w:val="0"/>
          <w:numId w:val="2"/>
        </w:numPr>
        <w:spacing w:after="40" w:before="40"/>
      </w:pPr>
      <w:r>
        <w:rPr>
          <w:rFonts w:ascii="Arial" w:cs="Arial" w:eastAsia="Arial" w:hAnsi="Arial"/>
          <w:color w:val="1A1A2E"/>
          <w:sz w:val="22"/>
          <w:szCs w:val="22"/>
        </w:rPr>
        <w:t xml:space="preserve">Assigner à un territoire et/ou une campagne</w:t>
      </w:r>
    </w:p>
    <w:p>
      <w:pPr>
        <w:spacing w:after="80" w:before="0"/>
      </w:pPr>
      <w:r>
        <w:t xml:space="preserve"/>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1800"/>
        <w:gridCol w:w="6650"/>
      </w:tblGrid>
      <w:tr>
        <w:tc>
          <w:tcPr>
            <w:tcW w:type="dxa" w:w="1800"/>
            <w:tcBorders>
              <w:top w:val="single" w:color="BDD5F0" w:sz="1"/>
              <w:left w:val="single" w:color="BDD5F0" w:sz="1"/>
              <w:bottom w:val="single" w:color="BDD5F0" w:sz="1"/>
              <w:right w:val="single" w:color="BDD5F0" w:sz="1"/>
            </w:tcBorders>
            <w:shd w:fill="2D5F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c>
          <w:tcPr>
            <w:tcW w:type="dxa" w:w="6650"/>
            <w:tcBorders>
              <w:top w:val="single" w:color="BDD5F0" w:sz="1"/>
              <w:left w:val="single" w:color="BDD5F0" w:sz="1"/>
              <w:bottom w:val="single" w:color="BDD5F0" w:sz="1"/>
              <w:right w:val="single" w:color="BDD5F0" w:sz="1"/>
            </w:tcBorders>
            <w:shd w:fill="EBF2FB" w:val="clear"/>
            <w:tcMar>
              <w:top w:type="dxa" w:w="80"/>
              <w:left w:type="dxa" w:w="160"/>
              <w:bottom w:type="dxa" w:w="80"/>
              <w:right w:type="dxa" w:w="120"/>
            </w:tcMar>
          </w:tcPr>
          <w:p>
            <w:r>
              <w:rPr>
                <w:rFonts w:ascii="Arial" w:cs="Arial" w:eastAsia="Arial" w:hAnsi="Arial"/>
                <w:color w:val="1A1A2E"/>
                <w:sz w:val="22"/>
                <w:szCs w:val="22"/>
              </w:rPr>
              <w:t xml:space="preserve">Une piste convertie passe au statut CONVERTI et n'est plus modifiable. Elle reste visible dans l'historique avec les liens vers les enregistrements créés.</w:t>
            </w:r>
          </w:p>
        </w:tc>
      </w:tr>
    </w:tbl>
    <w:p>
      <w:pPr>
        <w:spacing w:after="80" w:before="0"/>
      </w:pPr>
      <w:r>
        <w:t xml:space="preserve"/>
      </w:r>
    </w:p>
    <w:p>
      <w:r>
        <w:br w:type="page"/>
      </w:r>
    </w:p>
    <w:p>
      <w:pPr>
        <w:pStyle w:val="Heading1"/>
        <w:pBdr>
          <w:bottom w:val="single" w:color="4A90D9" w:sz="3"/>
        </w:pBdr>
        <w:shd w:fill="1E3A5F" w:val="clear"/>
        <w:spacing w:after="200" w:before="360"/>
      </w:pPr>
      <w:r>
        <w:rPr>
          <w:rFonts w:ascii="Arial" w:cs="Arial" w:eastAsia="Arial" w:hAnsi="Arial"/>
          <w:b/>
          <w:bCs/>
          <w:color w:val="FFFFFF"/>
          <w:sz w:val="36"/>
          <w:szCs w:val="36"/>
        </w:rPr>
        <w:t xml:space="preserve">4. Opportunités</w:t>
      </w:r>
    </w:p>
    <w:p>
      <w:pPr>
        <w:spacing w:after="100" w:before="60"/>
      </w:pPr>
      <w:r>
        <w:rPr>
          <w:rFonts w:ascii="Arial" w:cs="Arial" w:eastAsia="Arial" w:hAnsi="Arial"/>
          <w:color w:val="1A1A2E"/>
          <w:sz w:val="22"/>
          <w:szCs w:val="22"/>
        </w:rPr>
        <w:t xml:space="preserve">Le module Opportunités représente le cœur du pipeline commercial d'OptiCRM. Chaque opportunité correspond à une vente potentielle à un compte, avec un montant estimé et une probabilité de succès.</w:t>
      </w:r>
    </w:p>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4.1 Accéder aux Opportunités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1800"/>
        <w:gridCol w:w="6650"/>
      </w:tblGrid>
      <w:tr>
        <w:tc>
          <w:tcPr>
            <w:tcW w:type="dxa" w:w="1800"/>
            <w:tcBorders>
              <w:top w:val="single" w:color="BDD5F0" w:sz="1"/>
              <w:left w:val="single" w:color="BDD5F0" w:sz="1"/>
              <w:bottom w:val="single" w:color="BDD5F0" w:sz="1"/>
              <w:right w:val="single" w:color="BDD5F0" w:sz="1"/>
            </w:tcBorders>
            <w:shd w:fill="2D5F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6650"/>
            <w:tcBorders>
              <w:top w:val="single" w:color="BDD5F0" w:sz="1"/>
              <w:left w:val="single" w:color="BDD5F0" w:sz="1"/>
              <w:bottom w:val="single" w:color="BDD5F0" w:sz="1"/>
              <w:right w:val="single" w:color="BDD5F0" w:sz="1"/>
            </w:tcBorders>
            <w:shd w:fill="EBF2FB" w:val="clear"/>
            <w:tcMar>
              <w:top w:type="dxa" w:w="80"/>
              <w:left w:type="dxa" w:w="160"/>
              <w:bottom w:type="dxa" w:w="80"/>
              <w:right w:type="dxa" w:w="120"/>
            </w:tcMar>
          </w:tcPr>
          <w:p>
            <w:r>
              <w:rPr>
                <w:rFonts w:ascii="Arial" w:cs="Arial" w:eastAsia="Arial" w:hAnsi="Arial"/>
                <w:color w:val="1A1A2E"/>
                <w:sz w:val="22"/>
                <w:szCs w:val="22"/>
              </w:rPr>
              <w:t xml:space="preserve">/opportunities</w:t>
            </w:r>
          </w:p>
        </w:tc>
      </w:tr>
    </w:tbl>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4.2 Vues Disponibles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2816"/>
        <w:gridCol w:w="2816"/>
        <w:gridCol w:w="2818"/>
      </w:tblGrid>
      <w:tr>
        <w:trPr>
          <w:tblHeader/>
        </w:trPr>
        <w:tc>
          <w:tcPr>
            <w:tcW w:type="dxa" w:w="2816"/>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Vue</w:t>
            </w:r>
          </w:p>
        </w:tc>
        <w:tc>
          <w:tcPr>
            <w:tcW w:type="dxa" w:w="2816"/>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818"/>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Usage</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Liste</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Tableau avec toutes les opportunités filtrables</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Vue opérationnelle quotidienne</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Kanban</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Colonnes par étape du pipeline avec drag-and-drop</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Suivi visuel du pipeline</w:t>
            </w:r>
          </w:p>
        </w:tc>
      </w:tr>
    </w:tbl>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4.3 Étapes du Pipeline (Stages)</w:t>
      </w:r>
    </w:p>
    <w:p>
      <w:pPr>
        <w:spacing w:after="100" w:before="60"/>
      </w:pPr>
      <w:r>
        <w:rPr>
          <w:rFonts w:ascii="Arial" w:cs="Arial" w:eastAsia="Arial" w:hAnsi="Arial"/>
          <w:color w:val="1A1A2E"/>
          <w:sz w:val="22"/>
          <w:szCs w:val="22"/>
        </w:rPr>
        <w:t xml:space="preserve">Les étapes du pipeline sont configurables par l'administrateur. Chaque étape possède :</w:t>
      </w:r>
    </w:p>
    <w:p>
      <w:pPr>
        <w:pStyle w:val="ListParagraph"/>
        <w:numPr>
          <w:ilvl w:val="0"/>
          <w:numId w:val="2"/>
        </w:numPr>
        <w:spacing w:after="40" w:before="40"/>
      </w:pPr>
      <w:r>
        <w:rPr>
          <w:rFonts w:ascii="Arial" w:cs="Arial" w:eastAsia="Arial" w:hAnsi="Arial"/>
          <w:color w:val="1A1A2E"/>
          <w:sz w:val="22"/>
          <w:szCs w:val="22"/>
        </w:rPr>
        <w:t xml:space="preserve">Un nom et un code unique</w:t>
      </w:r>
    </w:p>
    <w:p>
      <w:pPr>
        <w:pStyle w:val="ListParagraph"/>
        <w:numPr>
          <w:ilvl w:val="0"/>
          <w:numId w:val="2"/>
        </w:numPr>
        <w:spacing w:after="40" w:before="40"/>
      </w:pPr>
      <w:r>
        <w:rPr>
          <w:rFonts w:ascii="Arial" w:cs="Arial" w:eastAsia="Arial" w:hAnsi="Arial"/>
          <w:color w:val="1A1A2E"/>
          <w:sz w:val="22"/>
          <w:szCs w:val="22"/>
        </w:rPr>
        <w:t xml:space="preserve">Un pourcentage de probabilité de succès (0% à 100%)</w:t>
      </w:r>
    </w:p>
    <w:p>
      <w:pPr>
        <w:pStyle w:val="ListParagraph"/>
        <w:numPr>
          <w:ilvl w:val="0"/>
          <w:numId w:val="2"/>
        </w:numPr>
        <w:spacing w:after="40" w:before="40"/>
      </w:pPr>
      <w:r>
        <w:rPr>
          <w:rFonts w:ascii="Arial" w:cs="Arial" w:eastAsia="Arial" w:hAnsi="Arial"/>
          <w:color w:val="1A1A2E"/>
          <w:sz w:val="22"/>
          <w:szCs w:val="22"/>
        </w:rPr>
        <w:t xml:space="preserve">Un ordre d'affichage dans le Kanban</w:t>
      </w:r>
    </w:p>
    <w:p>
      <w:pPr>
        <w:pStyle w:val="ListParagraph"/>
        <w:numPr>
          <w:ilvl w:val="0"/>
          <w:numId w:val="2"/>
        </w:numPr>
        <w:spacing w:after="40" w:before="40"/>
      </w:pPr>
      <w:r>
        <w:rPr>
          <w:rFonts w:ascii="Arial" w:cs="Arial" w:eastAsia="Arial" w:hAnsi="Arial"/>
          <w:color w:val="1A1A2E"/>
          <w:sz w:val="22"/>
          <w:szCs w:val="22"/>
        </w:rPr>
        <w:t xml:space="preserve">Un indicateur "Fermée/Gagnée" ou "Fermée/Perdue"</w:t>
      </w:r>
    </w:p>
    <w:p>
      <w:pPr>
        <w:pStyle w:val="ListParagraph"/>
        <w:numPr>
          <w:ilvl w:val="0"/>
          <w:numId w:val="2"/>
        </w:numPr>
        <w:spacing w:after="40" w:before="40"/>
      </w:pPr>
      <w:r>
        <w:rPr>
          <w:rFonts w:ascii="Arial" w:cs="Arial" w:eastAsia="Arial" w:hAnsi="Arial"/>
          <w:color w:val="1A1A2E"/>
          <w:sz w:val="22"/>
          <w:szCs w:val="22"/>
        </w:rPr>
        <w:t xml:space="preserve">Une couleur d'identification visuelle</w:t>
      </w:r>
    </w:p>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4.4 Créer une Opportunité</w:t>
      </w:r>
    </w:p>
    <w:p>
      <w:pPr>
        <w:spacing w:after="100" w:before="60"/>
      </w:pPr>
      <w:r>
        <w:rPr>
          <w:rFonts w:ascii="Arial" w:cs="Arial" w:eastAsia="Arial" w:hAnsi="Arial"/>
          <w:color w:val="1A1A2E"/>
          <w:sz w:val="22"/>
          <w:szCs w:val="22"/>
        </w:rPr>
        <w:t xml:space="preserve">Cliquez sur Nouvelle Opportunité. Le formulaire comprend :</w:t>
      </w:r>
    </w:p>
    <w:p>
      <w:pPr>
        <w:spacing w:after="80" w:before="0"/>
      </w:pPr>
      <w:r>
        <w:t xml:space="preserve"/>
      </w:r>
    </w:p>
    <w:p>
      <w:pPr>
        <w:pStyle w:val="Heading3"/>
        <w:spacing w:after="80" w:before="220"/>
      </w:pPr>
      <w:r>
        <w:rPr>
          <w:rFonts w:ascii="Arial" w:cs="Arial" w:eastAsia="Arial" w:hAnsi="Arial"/>
          <w:b/>
          <w:bCs/>
          <w:color w:val="2D5FA8"/>
          <w:sz w:val="24"/>
          <w:szCs w:val="24"/>
        </w:rPr>
        <w:t xml:space="preserve">Informations Essentielles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2816"/>
        <w:gridCol w:w="2816"/>
        <w:gridCol w:w="2818"/>
      </w:tblGrid>
      <w:tr>
        <w:trPr>
          <w:tblHeader/>
        </w:trPr>
        <w:tc>
          <w:tcPr>
            <w:tcW w:type="dxa" w:w="2816"/>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Champ</w:t>
            </w:r>
          </w:p>
        </w:tc>
        <w:tc>
          <w:tcPr>
            <w:tcW w:type="dxa" w:w="2816"/>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818"/>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Obligatoire</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Nom de l'Opportunité</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Intitulé descriptif de l'affaire (ex: Contrat Maintenance 2026)</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Oui</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Compte</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Société concernée par l'opportunité</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Oui</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Contact Principal</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Interlocuteur chez le client</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Montant</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Valeur estimée de l'affaire (hors taxes)</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Non</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Devise</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Devise de l'opportunité</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Probabilité (%)</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Chance de succès estimée (0-100%)</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Non</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Étape</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Étape actuelle dans le pipeline de vente</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Oui</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Date de Clôture</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Date prévisionnelle de conclusion</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Oui</w:t>
            </w:r>
          </w:p>
        </w:tc>
      </w:tr>
    </w:tbl>
    <w:p>
      <w:pPr>
        <w:spacing w:after="80" w:before="0"/>
      </w:pPr>
      <w:r>
        <w:t xml:space="preserve"/>
      </w:r>
    </w:p>
    <w:p>
      <w:pPr>
        <w:pStyle w:val="Heading3"/>
        <w:spacing w:after="80" w:before="220"/>
      </w:pPr>
      <w:r>
        <w:rPr>
          <w:rFonts w:ascii="Arial" w:cs="Arial" w:eastAsia="Arial" w:hAnsi="Arial"/>
          <w:b/>
          <w:bCs/>
          <w:color w:val="2D5FA8"/>
          <w:sz w:val="24"/>
          <w:szCs w:val="24"/>
        </w:rPr>
        <w:t xml:space="preserve">Informations Complémentaires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4225"/>
        <w:gridCol w:w="4225"/>
      </w:tblGrid>
      <w:tr>
        <w:trPr>
          <w:tblHeader/>
        </w:trPr>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Champ</w:t>
            </w:r>
          </w:p>
        </w:tc>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Type</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Nouvelle affaire / Existante / Renouvellement / Upsell / Cross-sell</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Source</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Comment l'opportunité a été identifiée</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Concurrent</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Concurrent principal sur cette affaire</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Campagne</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Campagne marketing à l'origine de l'opportunité</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Piste Origine</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Piste dont est issue l'opportunité</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Prochaine Étape</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Action commerciale suivante prévue</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Description</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Détails libres sur l'opportunité</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Tags</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Étiquettes de classification</w:t>
            </w:r>
          </w:p>
        </w:tc>
      </w:tr>
    </w:tbl>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4.5 Catégories de Prévision (Forecast)</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2816"/>
        <w:gridCol w:w="2816"/>
        <w:gridCol w:w="2818"/>
      </w:tblGrid>
      <w:tr>
        <w:trPr>
          <w:tblHeader/>
        </w:trPr>
        <w:tc>
          <w:tcPr>
            <w:tcW w:type="dxa" w:w="2816"/>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Catégorie</w:t>
            </w:r>
          </w:p>
        </w:tc>
        <w:tc>
          <w:tcPr>
            <w:tcW w:type="dxa" w:w="2816"/>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818"/>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Probabilité typique</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COMMIT</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Engagement fort, quasi-certain</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&gt; 80%</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BEST_CASE</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Meilleure hypothèse si tout se passe bien</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50% - 80%</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PIPELINE</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Dans le pipeline, résultat incertain</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&lt; 50%</w:t>
            </w:r>
          </w:p>
        </w:tc>
      </w:tr>
    </w:tbl>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4.6 Montant Pondéré</w:t>
      </w:r>
    </w:p>
    <w:p>
      <w:pPr>
        <w:spacing w:after="100" w:before="60"/>
      </w:pPr>
      <w:r>
        <w:rPr>
          <w:rFonts w:ascii="Arial" w:cs="Arial" w:eastAsia="Arial" w:hAnsi="Arial"/>
          <w:color w:val="1A1A2E"/>
          <w:sz w:val="22"/>
          <w:szCs w:val="22"/>
        </w:rPr>
        <w:t xml:space="preserve">OptiCRM calcule automatiquement le Montant Pondéré = Montant x Probabilité. Par exemple, une opportunité de 100 000 DH avec 60% de probabilité donne un montant pondéré de 60 000 DH. Ce chiffre est utilisé dans les prévisions de ventes.</w:t>
      </w:r>
    </w:p>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4.7 Clôturer une Opportunité</w:t>
      </w:r>
    </w:p>
    <w:p>
      <w:pPr>
        <w:spacing w:after="100" w:before="60"/>
      </w:pPr>
      <w:r>
        <w:rPr>
          <w:rFonts w:ascii="Arial" w:cs="Arial" w:eastAsia="Arial" w:hAnsi="Arial"/>
          <w:color w:val="1A1A2E"/>
          <w:sz w:val="22"/>
          <w:szCs w:val="22"/>
        </w:rPr>
        <w:t xml:space="preserve">Lorsqu'une opportunité arrive à son terme, vous devez la clôturer :</w:t>
      </w:r>
    </w:p>
    <w:p>
      <w:pPr>
        <w:pStyle w:val="ListParagraph"/>
        <w:numPr>
          <w:ilvl w:val="0"/>
          <w:numId w:val="2"/>
        </w:numPr>
        <w:spacing w:after="40" w:before="40"/>
      </w:pPr>
      <w:r>
        <w:rPr>
          <w:rFonts w:ascii="Arial" w:cs="Arial" w:eastAsia="Arial" w:hAnsi="Arial"/>
          <w:color w:val="1A1A2E"/>
          <w:sz w:val="22"/>
          <w:szCs w:val="22"/>
        </w:rPr>
        <w:t xml:space="preserve">Gagnée : L'affaire est conclue positivement. Le client a signé.</w:t>
      </w:r>
    </w:p>
    <w:p>
      <w:pPr>
        <w:pStyle w:val="ListParagraph"/>
        <w:numPr>
          <w:ilvl w:val="0"/>
          <w:numId w:val="2"/>
        </w:numPr>
        <w:spacing w:after="40" w:before="40"/>
      </w:pPr>
      <w:r>
        <w:rPr>
          <w:rFonts w:ascii="Arial" w:cs="Arial" w:eastAsia="Arial" w:hAnsi="Arial"/>
          <w:color w:val="1A1A2E"/>
          <w:sz w:val="22"/>
          <w:szCs w:val="22"/>
        </w:rPr>
        <w:t xml:space="preserve">Perdue : L'affaire n'aboutit pas. Une raison de perte est demandée.</w:t>
      </w:r>
    </w:p>
    <w:p>
      <w:pPr>
        <w:spacing w:after="80" w:before="0"/>
      </w:pPr>
      <w:r>
        <w:t xml:space="preserve"/>
      </w:r>
    </w:p>
    <w:p>
      <w:pPr>
        <w:pStyle w:val="Heading3"/>
        <w:spacing w:after="80" w:before="220"/>
      </w:pPr>
      <w:r>
        <w:rPr>
          <w:rFonts w:ascii="Arial" w:cs="Arial" w:eastAsia="Arial" w:hAnsi="Arial"/>
          <w:b/>
          <w:bCs/>
          <w:color w:val="2D5FA8"/>
          <w:sz w:val="24"/>
          <w:szCs w:val="24"/>
        </w:rPr>
        <w:t xml:space="preserve">Raisons de Perte</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4225"/>
        <w:gridCol w:w="4225"/>
      </w:tblGrid>
      <w:tr>
        <w:trPr>
          <w:tblHeader/>
        </w:trPr>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Raison</w:t>
            </w:r>
          </w:p>
        </w:tc>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PRIX</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Notre prix était trop élevé par rapport à la concurrence</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CONCURRENT</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Le client a choisi un concurrent</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PAS DE BUDGET</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 client n'avait pas le budget nécessaire</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PAS DE DÉCISION</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Le projet n'a pas été approuvé en interne</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TIMING</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Mauvais timing, le projet est reporté</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AUTRE</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Autre raison non spécifiée</w:t>
            </w:r>
          </w:p>
        </w:tc>
      </w:tr>
    </w:tbl>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4.8 Vue Kanban</w:t>
      </w:r>
    </w:p>
    <w:p>
      <w:pPr>
        <w:spacing w:after="100" w:before="60"/>
      </w:pPr>
      <w:r>
        <w:rPr>
          <w:rFonts w:ascii="Arial" w:cs="Arial" w:eastAsia="Arial" w:hAnsi="Arial"/>
          <w:color w:val="1A1A2E"/>
          <w:sz w:val="22"/>
          <w:szCs w:val="22"/>
        </w:rPr>
        <w:t xml:space="preserve">La vue Kanban affiche les opportunités sous forme de colonnes correspondant aux étapes du pipeline. Fonctionnalités :</w:t>
      </w:r>
    </w:p>
    <w:p>
      <w:pPr>
        <w:pStyle w:val="ListParagraph"/>
        <w:numPr>
          <w:ilvl w:val="0"/>
          <w:numId w:val="2"/>
        </w:numPr>
        <w:spacing w:after="40" w:before="40"/>
      </w:pPr>
      <w:r>
        <w:rPr>
          <w:rFonts w:ascii="Arial" w:cs="Arial" w:eastAsia="Arial" w:hAnsi="Arial"/>
          <w:color w:val="1A1A2E"/>
          <w:sz w:val="22"/>
          <w:szCs w:val="22"/>
        </w:rPr>
        <w:t xml:space="preserve">Déplacer une opportunité d'une étape à l'autre par glisser-déposer (drag-and-drop)</w:t>
      </w:r>
    </w:p>
    <w:p>
      <w:pPr>
        <w:pStyle w:val="ListParagraph"/>
        <w:numPr>
          <w:ilvl w:val="0"/>
          <w:numId w:val="2"/>
        </w:numPr>
        <w:spacing w:after="40" w:before="40"/>
      </w:pPr>
      <w:r>
        <w:rPr>
          <w:rFonts w:ascii="Arial" w:cs="Arial" w:eastAsia="Arial" w:hAnsi="Arial"/>
          <w:color w:val="1A1A2E"/>
          <w:sz w:val="22"/>
          <w:szCs w:val="22"/>
        </w:rPr>
        <w:t xml:space="preserve">Voir le nombre et le montant total des opportunités par étape</w:t>
      </w:r>
    </w:p>
    <w:p>
      <w:pPr>
        <w:pStyle w:val="ListParagraph"/>
        <w:numPr>
          <w:ilvl w:val="0"/>
          <w:numId w:val="2"/>
        </w:numPr>
        <w:spacing w:after="40" w:before="40"/>
      </w:pPr>
      <w:r>
        <w:rPr>
          <w:rFonts w:ascii="Arial" w:cs="Arial" w:eastAsia="Arial" w:hAnsi="Arial"/>
          <w:color w:val="1A1A2E"/>
          <w:sz w:val="22"/>
          <w:szCs w:val="22"/>
        </w:rPr>
        <w:t xml:space="preserve">Filtrer les opportunités affichées par commercial, période, montant</w:t>
      </w:r>
    </w:p>
    <w:p>
      <w:pPr>
        <w:pStyle w:val="ListParagraph"/>
        <w:numPr>
          <w:ilvl w:val="0"/>
          <w:numId w:val="2"/>
        </w:numPr>
        <w:spacing w:after="40" w:before="40"/>
      </w:pPr>
      <w:r>
        <w:rPr>
          <w:rFonts w:ascii="Arial" w:cs="Arial" w:eastAsia="Arial" w:hAnsi="Arial"/>
          <w:color w:val="1A1A2E"/>
          <w:sz w:val="22"/>
          <w:szCs w:val="22"/>
        </w:rPr>
        <w:t xml:space="preserve">Accéder rapidement à la fiche d'une opportunité en cliquant dessus</w:t>
      </w:r>
    </w:p>
    <w:p>
      <w:pPr>
        <w:spacing w:after="80" w:before="0"/>
      </w:pPr>
      <w:r>
        <w:t xml:space="preserve"/>
      </w:r>
    </w:p>
    <w:p>
      <w:r>
        <w:br w:type="page"/>
      </w:r>
    </w:p>
    <w:p>
      <w:pPr>
        <w:pStyle w:val="Heading1"/>
        <w:pBdr>
          <w:bottom w:val="single" w:color="4A90D9" w:sz="3"/>
        </w:pBdr>
        <w:shd w:fill="1E3A5F" w:val="clear"/>
        <w:spacing w:after="200" w:before="360"/>
      </w:pPr>
      <w:r>
        <w:rPr>
          <w:rFonts w:ascii="Arial" w:cs="Arial" w:eastAsia="Arial" w:hAnsi="Arial"/>
          <w:b/>
          <w:bCs/>
          <w:color w:val="FFFFFF"/>
          <w:sz w:val="36"/>
          <w:szCs w:val="36"/>
        </w:rPr>
        <w:t xml:space="preserve">5. Devis</w:t>
      </w:r>
    </w:p>
    <w:p>
      <w:pPr>
        <w:spacing w:after="100" w:before="60"/>
      </w:pPr>
      <w:r>
        <w:rPr>
          <w:rFonts w:ascii="Arial" w:cs="Arial" w:eastAsia="Arial" w:hAnsi="Arial"/>
          <w:color w:val="1A1A2E"/>
          <w:sz w:val="22"/>
          <w:szCs w:val="22"/>
        </w:rPr>
        <w:t xml:space="preserve">Le module Devis permet de créer et gérer les propositions commerciales envoyées aux clients. Chaque devis est lié à un compte et peut être associé à une opportunité.</w:t>
      </w:r>
    </w:p>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5.1 Accéder aux Devis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1800"/>
        <w:gridCol w:w="6650"/>
      </w:tblGrid>
      <w:tr>
        <w:tc>
          <w:tcPr>
            <w:tcW w:type="dxa" w:w="1800"/>
            <w:tcBorders>
              <w:top w:val="single" w:color="BDD5F0" w:sz="1"/>
              <w:left w:val="single" w:color="BDD5F0" w:sz="1"/>
              <w:bottom w:val="single" w:color="BDD5F0" w:sz="1"/>
              <w:right w:val="single" w:color="BDD5F0" w:sz="1"/>
            </w:tcBorders>
            <w:shd w:fill="2D5F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6650"/>
            <w:tcBorders>
              <w:top w:val="single" w:color="BDD5F0" w:sz="1"/>
              <w:left w:val="single" w:color="BDD5F0" w:sz="1"/>
              <w:bottom w:val="single" w:color="BDD5F0" w:sz="1"/>
              <w:right w:val="single" w:color="BDD5F0" w:sz="1"/>
            </w:tcBorders>
            <w:shd w:fill="EBF2FB" w:val="clear"/>
            <w:tcMar>
              <w:top w:type="dxa" w:w="80"/>
              <w:left w:type="dxa" w:w="160"/>
              <w:bottom w:type="dxa" w:w="80"/>
              <w:right w:type="dxa" w:w="120"/>
            </w:tcMar>
          </w:tcPr>
          <w:p>
            <w:r>
              <w:rPr>
                <w:rFonts w:ascii="Arial" w:cs="Arial" w:eastAsia="Arial" w:hAnsi="Arial"/>
                <w:color w:val="1A1A2E"/>
                <w:sz w:val="22"/>
                <w:szCs w:val="22"/>
              </w:rPr>
              <w:t xml:space="preserve">/quotes</w:t>
            </w:r>
          </w:p>
        </w:tc>
      </w:tr>
    </w:tbl>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5.2 Cycle de Vie d'un Devis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2816"/>
        <w:gridCol w:w="2816"/>
        <w:gridCol w:w="2818"/>
      </w:tblGrid>
      <w:tr>
        <w:trPr>
          <w:tblHeader/>
        </w:trPr>
        <w:tc>
          <w:tcPr>
            <w:tcW w:type="dxa" w:w="2816"/>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Statut</w:t>
            </w:r>
          </w:p>
        </w:tc>
        <w:tc>
          <w:tcPr>
            <w:tcW w:type="dxa" w:w="2816"/>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818"/>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 suivante</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BROUILLON</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Devis en cours de préparation</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Finaliser et envoyer</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ENVOYÉ</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Devis transmis au client</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Attendre la réponse</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VU</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 client a consulté le devis</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Relancer si nécessaire</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ACCEPTÉ</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Client a validé le devis</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Convertir en commande</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REFUSÉ</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Client a décliné l'offre</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Analyser et proposer une alternative</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EXPIRÉ</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La date de validité est dépassée</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Créer un nouveau devis</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ANNULÉ</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Devis annulé manuellement</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Archiver</w:t>
            </w:r>
          </w:p>
        </w:tc>
      </w:tr>
    </w:tbl>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5.3 Créer un Devis</w:t>
      </w:r>
    </w:p>
    <w:p>
      <w:pPr>
        <w:spacing w:after="80" w:before="0"/>
      </w:pPr>
      <w:r>
        <w:t xml:space="preserve"/>
      </w:r>
    </w:p>
    <w:p>
      <w:pPr>
        <w:pStyle w:val="Heading3"/>
        <w:spacing w:after="80" w:before="220"/>
      </w:pPr>
      <w:r>
        <w:rPr>
          <w:rFonts w:ascii="Arial" w:cs="Arial" w:eastAsia="Arial" w:hAnsi="Arial"/>
          <w:b/>
          <w:bCs/>
          <w:color w:val="2D5FA8"/>
          <w:sz w:val="24"/>
          <w:szCs w:val="24"/>
        </w:rPr>
        <w:t xml:space="preserve">En-tête du Devis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2816"/>
        <w:gridCol w:w="2816"/>
        <w:gridCol w:w="2818"/>
      </w:tblGrid>
      <w:tr>
        <w:trPr>
          <w:tblHeader/>
        </w:trPr>
        <w:tc>
          <w:tcPr>
            <w:tcW w:type="dxa" w:w="2816"/>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Champ</w:t>
            </w:r>
          </w:p>
        </w:tc>
        <w:tc>
          <w:tcPr>
            <w:tcW w:type="dxa" w:w="2816"/>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818"/>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Obligatoire</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Nom du Devis</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Titre ou objet du devis</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Oui</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Numéro de Devis</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Généré automatiquement</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Auto</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Compte</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Client destinataire du devis</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Oui</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Contact</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Interlocuteur chez le client</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Non</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Opportunité</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Opportunité liée au devis</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Chantier</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Chantier associé (si applicable)</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Non</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Date du Devis</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Date d'émission</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Oui</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Valide jusqu'au</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Date d'expiration du devis</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Non</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Assigné à</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Commercial responsable</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w:t>
            </w:r>
          </w:p>
        </w:tc>
      </w:tr>
    </w:tbl>
    <w:p>
      <w:pPr>
        <w:spacing w:after="80" w:before="0"/>
      </w:pPr>
      <w:r>
        <w:t xml:space="preserve"/>
      </w:r>
    </w:p>
    <w:p>
      <w:pPr>
        <w:pStyle w:val="Heading3"/>
        <w:spacing w:after="80" w:before="220"/>
      </w:pPr>
      <w:r>
        <w:rPr>
          <w:rFonts w:ascii="Arial" w:cs="Arial" w:eastAsia="Arial" w:hAnsi="Arial"/>
          <w:b/>
          <w:bCs/>
          <w:color w:val="2D5FA8"/>
          <w:sz w:val="24"/>
          <w:szCs w:val="24"/>
        </w:rPr>
        <w:t xml:space="preserve">Lignes du Devis (Articles)</w:t>
      </w:r>
    </w:p>
    <w:p>
      <w:pPr>
        <w:spacing w:after="100" w:before="60"/>
      </w:pPr>
      <w:r>
        <w:rPr>
          <w:rFonts w:ascii="Arial" w:cs="Arial" w:eastAsia="Arial" w:hAnsi="Arial"/>
          <w:color w:val="1A1A2E"/>
          <w:sz w:val="22"/>
          <w:szCs w:val="22"/>
        </w:rPr>
        <w:t xml:space="preserve">Chaque ligne représente un produit ou service proposé :</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4225"/>
        <w:gridCol w:w="4225"/>
      </w:tblGrid>
      <w:tr>
        <w:trPr>
          <w:tblHeader/>
        </w:trPr>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Colonne</w:t>
            </w:r>
          </w:p>
        </w:tc>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Produit</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Sélection depuis le catalogue produits</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Description</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Description libre de la ligne</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SKU / Référence</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Référence produit</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Quantité</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Nombre d'unités</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Unité</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Unité de mesure (pièce, m², kg, etc.)</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Prix Unitaire HT</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Prix unitaire hors taxes</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Remise (%)</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Pourcentage de remise sur la ligne</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TVA (%)</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Taux de TVA applicable</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Total Ligne HT</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Calculé automatiquement</w:t>
            </w:r>
          </w:p>
        </w:tc>
      </w:tr>
    </w:tbl>
    <w:p>
      <w:pPr>
        <w:spacing w:after="80" w:before="0"/>
      </w:pPr>
      <w:r>
        <w:t xml:space="preserve"/>
      </w:r>
    </w:p>
    <w:p>
      <w:pPr>
        <w:pStyle w:val="Heading3"/>
        <w:spacing w:after="80" w:before="220"/>
      </w:pPr>
      <w:r>
        <w:rPr>
          <w:rFonts w:ascii="Arial" w:cs="Arial" w:eastAsia="Arial" w:hAnsi="Arial"/>
          <w:b/>
          <w:bCs/>
          <w:color w:val="2D5FA8"/>
          <w:sz w:val="24"/>
          <w:szCs w:val="24"/>
        </w:rPr>
        <w:t xml:space="preserve">Totaux et Conditions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4225"/>
        <w:gridCol w:w="4225"/>
      </w:tblGrid>
      <w:tr>
        <w:trPr>
          <w:tblHeader/>
        </w:trPr>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Champ</w:t>
            </w:r>
          </w:p>
        </w:tc>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Sous-Total HT</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Somme des lignes avant remise globale</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Remise Globale</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Remise en montant ou en pourcentage sur le total</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Frais de Port</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Montant des frais de livraison</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Taxe</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TVA totale</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Total TTC</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Montant total toutes taxes comprises</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Adresse de Facturation</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Adresse de facturation du client</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Adresse de Livraison</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Adresse de livraison (si différente)</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Conditions</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Conditions générales de vente ou mentions légales</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Notes</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Remarques ou informations complémentaires</w:t>
            </w:r>
          </w:p>
        </w:tc>
      </w:tr>
    </w:tbl>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5.4 Calcul Automatique des Totaux</w:t>
      </w:r>
    </w:p>
    <w:p>
      <w:pPr>
        <w:spacing w:after="100" w:before="60"/>
      </w:pPr>
      <w:r>
        <w:rPr>
          <w:rFonts w:ascii="Arial" w:cs="Arial" w:eastAsia="Arial" w:hAnsi="Arial"/>
          <w:color w:val="1A1A2E"/>
          <w:sz w:val="22"/>
          <w:szCs w:val="22"/>
        </w:rPr>
        <w:t xml:space="preserve">OptiCRM recalcule automatiquement les totaux à chaque modification :</w:t>
      </w:r>
    </w:p>
    <w:p>
      <w:pPr>
        <w:pStyle w:val="ListParagraph"/>
        <w:numPr>
          <w:ilvl w:val="0"/>
          <w:numId w:val="2"/>
        </w:numPr>
        <w:spacing w:after="40" w:before="40"/>
      </w:pPr>
      <w:r>
        <w:rPr>
          <w:rFonts w:ascii="Arial" w:cs="Arial" w:eastAsia="Arial" w:hAnsi="Arial"/>
          <w:color w:val="1A1A2E"/>
          <w:sz w:val="22"/>
          <w:szCs w:val="22"/>
        </w:rPr>
        <w:t xml:space="preserve">Total HT = Somme des (PU x Qté x (1 - Remise ligne))</w:t>
      </w:r>
    </w:p>
    <w:p>
      <w:pPr>
        <w:pStyle w:val="ListParagraph"/>
        <w:numPr>
          <w:ilvl w:val="0"/>
          <w:numId w:val="2"/>
        </w:numPr>
        <w:spacing w:after="40" w:before="40"/>
      </w:pPr>
      <w:r>
        <w:rPr>
          <w:rFonts w:ascii="Arial" w:cs="Arial" w:eastAsia="Arial" w:hAnsi="Arial"/>
          <w:color w:val="1A1A2E"/>
          <w:sz w:val="22"/>
          <w:szCs w:val="22"/>
        </w:rPr>
        <w:t xml:space="preserve">Sous-Total = Total HT</w:t>
      </w:r>
    </w:p>
    <w:p>
      <w:pPr>
        <w:pStyle w:val="ListParagraph"/>
        <w:numPr>
          <w:ilvl w:val="0"/>
          <w:numId w:val="2"/>
        </w:numPr>
        <w:spacing w:after="40" w:before="40"/>
      </w:pPr>
      <w:r>
        <w:rPr>
          <w:rFonts w:ascii="Arial" w:cs="Arial" w:eastAsia="Arial" w:hAnsi="Arial"/>
          <w:color w:val="1A1A2E"/>
          <w:sz w:val="22"/>
          <w:szCs w:val="22"/>
        </w:rPr>
        <w:t xml:space="preserve">Remise Globale = Sous-Total x Taux remise (ou montant fixe)</w:t>
      </w:r>
    </w:p>
    <w:p>
      <w:pPr>
        <w:pStyle w:val="ListParagraph"/>
        <w:numPr>
          <w:ilvl w:val="0"/>
          <w:numId w:val="2"/>
        </w:numPr>
        <w:spacing w:after="40" w:before="40"/>
      </w:pPr>
      <w:r>
        <w:rPr>
          <w:rFonts w:ascii="Arial" w:cs="Arial" w:eastAsia="Arial" w:hAnsi="Arial"/>
          <w:color w:val="1A1A2E"/>
          <w:sz w:val="22"/>
          <w:szCs w:val="22"/>
        </w:rPr>
        <w:t xml:space="preserve">Total après remise = Sous-Total - Remise Globale</w:t>
      </w:r>
    </w:p>
    <w:p>
      <w:pPr>
        <w:pStyle w:val="ListParagraph"/>
        <w:numPr>
          <w:ilvl w:val="0"/>
          <w:numId w:val="2"/>
        </w:numPr>
        <w:spacing w:after="40" w:before="40"/>
      </w:pPr>
      <w:r>
        <w:rPr>
          <w:rFonts w:ascii="Arial" w:cs="Arial" w:eastAsia="Arial" w:hAnsi="Arial"/>
          <w:color w:val="1A1A2E"/>
          <w:sz w:val="22"/>
          <w:szCs w:val="22"/>
        </w:rPr>
        <w:t xml:space="preserve">TVA = Total après remise x Taux TVA</w:t>
      </w:r>
    </w:p>
    <w:p>
      <w:pPr>
        <w:pStyle w:val="ListParagraph"/>
        <w:numPr>
          <w:ilvl w:val="0"/>
          <w:numId w:val="2"/>
        </w:numPr>
        <w:spacing w:after="40" w:before="40"/>
      </w:pPr>
      <w:r>
        <w:rPr>
          <w:rFonts w:ascii="Arial" w:cs="Arial" w:eastAsia="Arial" w:hAnsi="Arial"/>
          <w:color w:val="1A1A2E"/>
          <w:sz w:val="22"/>
          <w:szCs w:val="22"/>
        </w:rPr>
        <w:t xml:space="preserve">Total TTC = Total après remise + TVA + Frais de port</w:t>
      </w:r>
    </w:p>
    <w:p>
      <w:pPr>
        <w:spacing w:after="80" w:before="0"/>
      </w:pPr>
      <w:r>
        <w:t xml:space="preserve"/>
      </w:r>
    </w:p>
    <w:p>
      <w:r>
        <w:br w:type="page"/>
      </w:r>
    </w:p>
    <w:p>
      <w:pPr>
        <w:pStyle w:val="Heading1"/>
        <w:pBdr>
          <w:bottom w:val="single" w:color="4A90D9" w:sz="3"/>
        </w:pBdr>
        <w:shd w:fill="1E3A5F" w:val="clear"/>
        <w:spacing w:after="200" w:before="360"/>
      </w:pPr>
      <w:r>
        <w:rPr>
          <w:rFonts w:ascii="Arial" w:cs="Arial" w:eastAsia="Arial" w:hAnsi="Arial"/>
          <w:b/>
          <w:bCs/>
          <w:color w:val="FFFFFF"/>
          <w:sz w:val="36"/>
          <w:szCs w:val="36"/>
        </w:rPr>
        <w:t xml:space="preserve">6. Concurrents</w:t>
      </w:r>
    </w:p>
    <w:p>
      <w:pPr>
        <w:spacing w:after="100" w:before="60"/>
      </w:pPr>
      <w:r>
        <w:rPr>
          <w:rFonts w:ascii="Arial" w:cs="Arial" w:eastAsia="Arial" w:hAnsi="Arial"/>
          <w:color w:val="1A1A2E"/>
          <w:sz w:val="22"/>
          <w:szCs w:val="22"/>
        </w:rPr>
        <w:t xml:space="preserve">Le module Concurrents permet de référencer et analyser vos compétiteurs sur le marché. Ces informations sont utilisées dans les opportunités pour identifier quel concurrent est présent sur chaque affaire.</w:t>
      </w:r>
    </w:p>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6.1 Accéder aux Concurrents</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1800"/>
        <w:gridCol w:w="6650"/>
      </w:tblGrid>
      <w:tr>
        <w:tc>
          <w:tcPr>
            <w:tcW w:type="dxa" w:w="1800"/>
            <w:tcBorders>
              <w:top w:val="single" w:color="BDD5F0" w:sz="1"/>
              <w:left w:val="single" w:color="BDD5F0" w:sz="1"/>
              <w:bottom w:val="single" w:color="BDD5F0" w:sz="1"/>
              <w:right w:val="single" w:color="BDD5F0" w:sz="1"/>
            </w:tcBorders>
            <w:shd w:fill="2D5F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6650"/>
            <w:tcBorders>
              <w:top w:val="single" w:color="BDD5F0" w:sz="1"/>
              <w:left w:val="single" w:color="BDD5F0" w:sz="1"/>
              <w:bottom w:val="single" w:color="BDD5F0" w:sz="1"/>
              <w:right w:val="single" w:color="BDD5F0" w:sz="1"/>
            </w:tcBorders>
            <w:shd w:fill="EBF2FB" w:val="clear"/>
            <w:tcMar>
              <w:top w:type="dxa" w:w="80"/>
              <w:left w:type="dxa" w:w="160"/>
              <w:bottom w:type="dxa" w:w="80"/>
              <w:right w:type="dxa" w:w="120"/>
            </w:tcMar>
          </w:tcPr>
          <w:p>
            <w:r>
              <w:rPr>
                <w:rFonts w:ascii="Arial" w:cs="Arial" w:eastAsia="Arial" w:hAnsi="Arial"/>
                <w:color w:val="1A1A2E"/>
                <w:sz w:val="22"/>
                <w:szCs w:val="22"/>
              </w:rPr>
              <w:t xml:space="preserve">/competitors</w:t>
            </w:r>
          </w:p>
        </w:tc>
      </w:tr>
    </w:tbl>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6.2 Créer un Concurrent</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2816"/>
        <w:gridCol w:w="2816"/>
        <w:gridCol w:w="2818"/>
      </w:tblGrid>
      <w:tr>
        <w:trPr>
          <w:tblHeader/>
        </w:trPr>
        <w:tc>
          <w:tcPr>
            <w:tcW w:type="dxa" w:w="2816"/>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Champ</w:t>
            </w:r>
          </w:p>
        </w:tc>
        <w:tc>
          <w:tcPr>
            <w:tcW w:type="dxa" w:w="2816"/>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818"/>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Obligatoire</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Nom</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Nom du concurrent</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Oui</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Site Web</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URL du site internet du concurrent</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Non</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Description</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Description générale du concurrent</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Points Forts</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Avantages compétitifs identifiés</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Non</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Points Faibles</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Faiblesses ou désavantages identifiés</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Actif</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Concurrent actif sur le marché (oui/non)</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Non</w:t>
            </w:r>
          </w:p>
        </w:tc>
      </w:tr>
    </w:tbl>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6.3 Utilisation dans les Opportunités</w:t>
      </w:r>
    </w:p>
    <w:p>
      <w:pPr>
        <w:spacing w:after="100" w:before="60"/>
      </w:pPr>
      <w:r>
        <w:rPr>
          <w:rFonts w:ascii="Arial" w:cs="Arial" w:eastAsia="Arial" w:hAnsi="Arial"/>
          <w:color w:val="1A1A2E"/>
          <w:sz w:val="22"/>
          <w:szCs w:val="22"/>
        </w:rPr>
        <w:t xml:space="preserve">Lors de la création ou modification d'une opportunité, vous pouvez sélectionner un concurrent dans le champ "Concurrent". Cela permet de :</w:t>
      </w:r>
    </w:p>
    <w:p>
      <w:pPr>
        <w:pStyle w:val="ListParagraph"/>
        <w:numPr>
          <w:ilvl w:val="0"/>
          <w:numId w:val="2"/>
        </w:numPr>
        <w:spacing w:after="40" w:before="40"/>
      </w:pPr>
      <w:r>
        <w:rPr>
          <w:rFonts w:ascii="Arial" w:cs="Arial" w:eastAsia="Arial" w:hAnsi="Arial"/>
          <w:color w:val="1A1A2E"/>
          <w:sz w:val="22"/>
          <w:szCs w:val="22"/>
        </w:rPr>
        <w:t xml:space="preserve">Analyser vos taux de gain/perte face à chaque concurrent</w:t>
      </w:r>
    </w:p>
    <w:p>
      <w:pPr>
        <w:pStyle w:val="ListParagraph"/>
        <w:numPr>
          <w:ilvl w:val="0"/>
          <w:numId w:val="2"/>
        </w:numPr>
        <w:spacing w:after="40" w:before="40"/>
      </w:pPr>
      <w:r>
        <w:rPr>
          <w:rFonts w:ascii="Arial" w:cs="Arial" w:eastAsia="Arial" w:hAnsi="Arial"/>
          <w:color w:val="1A1A2E"/>
          <w:sz w:val="22"/>
          <w:szCs w:val="22"/>
        </w:rPr>
        <w:t xml:space="preserve">Identifier les marchés où un concurrent est très présent</w:t>
      </w:r>
    </w:p>
    <w:p>
      <w:pPr>
        <w:pStyle w:val="ListParagraph"/>
        <w:numPr>
          <w:ilvl w:val="0"/>
          <w:numId w:val="2"/>
        </w:numPr>
        <w:spacing w:after="40" w:before="40"/>
      </w:pPr>
      <w:r>
        <w:rPr>
          <w:rFonts w:ascii="Arial" w:cs="Arial" w:eastAsia="Arial" w:hAnsi="Arial"/>
          <w:color w:val="1A1A2E"/>
          <w:sz w:val="22"/>
          <w:szCs w:val="22"/>
        </w:rPr>
        <w:t xml:space="preserve">Affiner votre stratégie commerciale en fonction de la concurrence</w:t>
      </w:r>
    </w:p>
    <w:p>
      <w:pPr>
        <w:spacing w:after="80" w:before="0"/>
      </w:pPr>
      <w:r>
        <w:t xml:space="preserve"/>
      </w:r>
    </w:p>
    <w:p>
      <w:r>
        <w:br w:type="page"/>
      </w:r>
    </w:p>
    <w:p>
      <w:pPr>
        <w:pStyle w:val="Heading1"/>
        <w:pBdr>
          <w:bottom w:val="single" w:color="4A90D9" w:sz="3"/>
        </w:pBdr>
        <w:shd w:fill="1E3A5F" w:val="clear"/>
        <w:spacing w:after="200" w:before="360"/>
      </w:pPr>
      <w:r>
        <w:rPr>
          <w:rFonts w:ascii="Arial" w:cs="Arial" w:eastAsia="Arial" w:hAnsi="Arial"/>
          <w:b/>
          <w:bCs/>
          <w:color w:val="FFFFFF"/>
          <w:sz w:val="36"/>
          <w:szCs w:val="36"/>
        </w:rPr>
        <w:t xml:space="preserve">7. Fonctionnalités Transversales</w:t>
      </w:r>
    </w:p>
    <w:p>
      <w:pPr>
        <w:spacing w:after="100" w:before="60"/>
      </w:pPr>
      <w:r>
        <w:rPr>
          <w:rFonts w:ascii="Arial" w:cs="Arial" w:eastAsia="Arial" w:hAnsi="Arial"/>
          <w:color w:val="1A1A2E"/>
          <w:sz w:val="22"/>
          <w:szCs w:val="22"/>
        </w:rPr>
        <w:t xml:space="preserve">Ces fonctionnalités sont disponibles dans tous les modules CRM.</w:t>
      </w:r>
    </w:p>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7.1 Recherche Globale</w:t>
      </w:r>
    </w:p>
    <w:p>
      <w:pPr>
        <w:spacing w:after="100" w:before="60"/>
      </w:pPr>
      <w:r>
        <w:rPr>
          <w:rFonts w:ascii="Arial" w:cs="Arial" w:eastAsia="Arial" w:hAnsi="Arial"/>
          <w:color w:val="1A1A2E"/>
          <w:sz w:val="22"/>
          <w:szCs w:val="22"/>
        </w:rPr>
        <w:t xml:space="preserve">La barre de recherche en haut de l'interface permet de rechercher simultanément dans tous les modules : Contacts, Comptes, Pistes, Opportunités, Devis, etc. Les résultats sont groupés par type d'entité.</w:t>
      </w:r>
    </w:p>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7.2 Import de Données</w:t>
      </w:r>
    </w:p>
    <w:p>
      <w:pPr>
        <w:spacing w:after="100" w:before="60"/>
      </w:pPr>
      <w:r>
        <w:rPr>
          <w:rFonts w:ascii="Arial" w:cs="Arial" w:eastAsia="Arial" w:hAnsi="Arial"/>
          <w:color w:val="1A1A2E"/>
          <w:sz w:val="22"/>
          <w:szCs w:val="22"/>
        </w:rPr>
        <w:t xml:space="preserve">Pour importer des données en masse (Contacts, Comptes, Pistes) :</w:t>
      </w:r>
    </w:p>
    <w:p>
      <w:pPr>
        <w:pStyle w:val="ListParagraph"/>
        <w:numPr>
          <w:ilvl w:val="0"/>
          <w:numId w:val="2"/>
        </w:numPr>
        <w:spacing w:after="40" w:before="40"/>
      </w:pPr>
      <w:r>
        <w:rPr>
          <w:rFonts w:ascii="Arial" w:cs="Arial" w:eastAsia="Arial" w:hAnsi="Arial"/>
          <w:color w:val="1A1A2E"/>
          <w:sz w:val="22"/>
          <w:szCs w:val="22"/>
        </w:rPr>
        <w:t xml:space="preserve">Cliquez sur le bouton Importer (icône upload) dans la liste correspondante</w:t>
      </w:r>
    </w:p>
    <w:p>
      <w:pPr>
        <w:pStyle w:val="ListParagraph"/>
        <w:numPr>
          <w:ilvl w:val="0"/>
          <w:numId w:val="2"/>
        </w:numPr>
        <w:spacing w:after="40" w:before="40"/>
      </w:pPr>
      <w:r>
        <w:rPr>
          <w:rFonts w:ascii="Arial" w:cs="Arial" w:eastAsia="Arial" w:hAnsi="Arial"/>
          <w:color w:val="1A1A2E"/>
          <w:sz w:val="22"/>
          <w:szCs w:val="22"/>
        </w:rPr>
        <w:t xml:space="preserve">Téléchargez le modèle CSV fourni</w:t>
      </w:r>
    </w:p>
    <w:p>
      <w:pPr>
        <w:pStyle w:val="ListParagraph"/>
        <w:numPr>
          <w:ilvl w:val="0"/>
          <w:numId w:val="2"/>
        </w:numPr>
        <w:spacing w:after="40" w:before="40"/>
      </w:pPr>
      <w:r>
        <w:rPr>
          <w:rFonts w:ascii="Arial" w:cs="Arial" w:eastAsia="Arial" w:hAnsi="Arial"/>
          <w:color w:val="1A1A2E"/>
          <w:sz w:val="22"/>
          <w:szCs w:val="22"/>
        </w:rPr>
        <w:t xml:space="preserve">Remplissez le fichier avec vos données en respectant le format</w:t>
      </w:r>
    </w:p>
    <w:p>
      <w:pPr>
        <w:pStyle w:val="ListParagraph"/>
        <w:numPr>
          <w:ilvl w:val="0"/>
          <w:numId w:val="2"/>
        </w:numPr>
        <w:spacing w:after="40" w:before="40"/>
      </w:pPr>
      <w:r>
        <w:rPr>
          <w:rFonts w:ascii="Arial" w:cs="Arial" w:eastAsia="Arial" w:hAnsi="Arial"/>
          <w:color w:val="1A1A2E"/>
          <w:sz w:val="22"/>
          <w:szCs w:val="22"/>
        </w:rPr>
        <w:t xml:space="preserve">Uploadez le fichier complété</w:t>
      </w:r>
    </w:p>
    <w:p>
      <w:pPr>
        <w:pStyle w:val="ListParagraph"/>
        <w:numPr>
          <w:ilvl w:val="0"/>
          <w:numId w:val="2"/>
        </w:numPr>
        <w:spacing w:after="40" w:before="40"/>
      </w:pPr>
      <w:r>
        <w:rPr>
          <w:rFonts w:ascii="Arial" w:cs="Arial" w:eastAsia="Arial" w:hAnsi="Arial"/>
          <w:color w:val="1A1A2E"/>
          <w:sz w:val="22"/>
          <w:szCs w:val="22"/>
        </w:rPr>
        <w:t xml:space="preserve">Vérifiez les erreurs signalées (doublons, champs manquants)</w:t>
      </w:r>
    </w:p>
    <w:p>
      <w:pPr>
        <w:pStyle w:val="ListParagraph"/>
        <w:numPr>
          <w:ilvl w:val="0"/>
          <w:numId w:val="2"/>
        </w:numPr>
        <w:spacing w:after="40" w:before="40"/>
      </w:pPr>
      <w:r>
        <w:rPr>
          <w:rFonts w:ascii="Arial" w:cs="Arial" w:eastAsia="Arial" w:hAnsi="Arial"/>
          <w:color w:val="1A1A2E"/>
          <w:sz w:val="22"/>
          <w:szCs w:val="22"/>
        </w:rPr>
        <w:t xml:space="preserve">Confirmez l'import</w:t>
      </w:r>
    </w:p>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7.3 Export de Données</w:t>
      </w:r>
    </w:p>
    <w:p>
      <w:pPr>
        <w:spacing w:after="100" w:before="60"/>
      </w:pPr>
      <w:r>
        <w:rPr>
          <w:rFonts w:ascii="Arial" w:cs="Arial" w:eastAsia="Arial" w:hAnsi="Arial"/>
          <w:color w:val="1A1A2E"/>
          <w:sz w:val="22"/>
          <w:szCs w:val="22"/>
        </w:rPr>
        <w:t xml:space="preserve">Depuis n'importe quelle liste, cliquez sur le bouton Exporter pour télécharger les données affichées au format CSV ou Excel. Les filtres actifs sont pris en compte dans l'export.</w:t>
      </w:r>
    </w:p>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7.4 Filtres et Recherche Avancée</w:t>
      </w:r>
    </w:p>
    <w:p>
      <w:pPr>
        <w:spacing w:after="100" w:before="60"/>
      </w:pPr>
      <w:r>
        <w:rPr>
          <w:rFonts w:ascii="Arial" w:cs="Arial" w:eastAsia="Arial" w:hAnsi="Arial"/>
          <w:color w:val="1A1A2E"/>
          <w:sz w:val="22"/>
          <w:szCs w:val="22"/>
        </w:rPr>
        <w:t xml:space="preserve">Chaque module propose des filtres spécifiques disponibles via le panneau de filtres. Les filtres les plus courants sont :</w:t>
      </w:r>
    </w:p>
    <w:p>
      <w:pPr>
        <w:pStyle w:val="ListParagraph"/>
        <w:numPr>
          <w:ilvl w:val="0"/>
          <w:numId w:val="2"/>
        </w:numPr>
        <w:spacing w:after="40" w:before="40"/>
      </w:pPr>
      <w:r>
        <w:rPr>
          <w:rFonts w:ascii="Arial" w:cs="Arial" w:eastAsia="Arial" w:hAnsi="Arial"/>
          <w:color w:val="1A1A2E"/>
          <w:sz w:val="22"/>
          <w:szCs w:val="22"/>
        </w:rPr>
        <w:t xml:space="preserve">Statut / Type</w:t>
      </w:r>
    </w:p>
    <w:p>
      <w:pPr>
        <w:pStyle w:val="ListParagraph"/>
        <w:numPr>
          <w:ilvl w:val="0"/>
          <w:numId w:val="2"/>
        </w:numPr>
        <w:spacing w:after="40" w:before="40"/>
      </w:pPr>
      <w:r>
        <w:rPr>
          <w:rFonts w:ascii="Arial" w:cs="Arial" w:eastAsia="Arial" w:hAnsi="Arial"/>
          <w:color w:val="1A1A2E"/>
          <w:sz w:val="22"/>
          <w:szCs w:val="22"/>
        </w:rPr>
        <w:t xml:space="preserve">Utilisateur assigné</w:t>
      </w:r>
    </w:p>
    <w:p>
      <w:pPr>
        <w:pStyle w:val="ListParagraph"/>
        <w:numPr>
          <w:ilvl w:val="0"/>
          <w:numId w:val="2"/>
        </w:numPr>
        <w:spacing w:after="40" w:before="40"/>
      </w:pPr>
      <w:r>
        <w:rPr>
          <w:rFonts w:ascii="Arial" w:cs="Arial" w:eastAsia="Arial" w:hAnsi="Arial"/>
          <w:color w:val="1A1A2E"/>
          <w:sz w:val="22"/>
          <w:szCs w:val="22"/>
        </w:rPr>
        <w:t xml:space="preserve">Période de création ou modification</w:t>
      </w:r>
    </w:p>
    <w:p>
      <w:pPr>
        <w:pStyle w:val="ListParagraph"/>
        <w:numPr>
          <w:ilvl w:val="0"/>
          <w:numId w:val="2"/>
        </w:numPr>
        <w:spacing w:after="40" w:before="40"/>
      </w:pPr>
      <w:r>
        <w:rPr>
          <w:rFonts w:ascii="Arial" w:cs="Arial" w:eastAsia="Arial" w:hAnsi="Arial"/>
          <w:color w:val="1A1A2E"/>
          <w:sz w:val="22"/>
          <w:szCs w:val="22"/>
        </w:rPr>
        <w:t xml:space="preserve">Territoire</w:t>
      </w:r>
    </w:p>
    <w:p>
      <w:pPr>
        <w:pStyle w:val="ListParagraph"/>
        <w:numPr>
          <w:ilvl w:val="0"/>
          <w:numId w:val="2"/>
        </w:numPr>
        <w:spacing w:after="40" w:before="40"/>
      </w:pPr>
      <w:r>
        <w:rPr>
          <w:rFonts w:ascii="Arial" w:cs="Arial" w:eastAsia="Arial" w:hAnsi="Arial"/>
          <w:color w:val="1A1A2E"/>
          <w:sz w:val="22"/>
          <w:szCs w:val="22"/>
        </w:rPr>
        <w:t xml:space="preserve">Montant (min/max pour les opportunités)</w:t>
      </w:r>
    </w:p>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7.5 Notifications</w:t>
      </w:r>
    </w:p>
    <w:p>
      <w:pPr>
        <w:spacing w:after="100" w:before="60"/>
      </w:pPr>
      <w:r>
        <w:rPr>
          <w:rFonts w:ascii="Arial" w:cs="Arial" w:eastAsia="Arial" w:hAnsi="Arial"/>
          <w:color w:val="1A1A2E"/>
          <w:sz w:val="22"/>
          <w:szCs w:val="22"/>
        </w:rPr>
        <w:t xml:space="preserve">OptiCRM génère des notifications automatiques pour :</w:t>
      </w:r>
    </w:p>
    <w:p>
      <w:pPr>
        <w:pStyle w:val="ListParagraph"/>
        <w:numPr>
          <w:ilvl w:val="0"/>
          <w:numId w:val="2"/>
        </w:numPr>
        <w:spacing w:after="40" w:before="40"/>
      </w:pPr>
      <w:r>
        <w:rPr>
          <w:rFonts w:ascii="Arial" w:cs="Arial" w:eastAsia="Arial" w:hAnsi="Arial"/>
          <w:color w:val="1A1A2E"/>
          <w:sz w:val="22"/>
          <w:szCs w:val="22"/>
        </w:rPr>
        <w:t xml:space="preserve">Nouvelle piste assignée</w:t>
      </w:r>
    </w:p>
    <w:p>
      <w:pPr>
        <w:pStyle w:val="ListParagraph"/>
        <w:numPr>
          <w:ilvl w:val="0"/>
          <w:numId w:val="2"/>
        </w:numPr>
        <w:spacing w:after="40" w:before="40"/>
      </w:pPr>
      <w:r>
        <w:rPr>
          <w:rFonts w:ascii="Arial" w:cs="Arial" w:eastAsia="Arial" w:hAnsi="Arial"/>
          <w:color w:val="1A1A2E"/>
          <w:sz w:val="22"/>
          <w:szCs w:val="22"/>
        </w:rPr>
        <w:t xml:space="preserve">Rappel d'activité planifiée</w:t>
      </w:r>
    </w:p>
    <w:p>
      <w:pPr>
        <w:pStyle w:val="ListParagraph"/>
        <w:numPr>
          <w:ilvl w:val="0"/>
          <w:numId w:val="2"/>
        </w:numPr>
        <w:spacing w:after="40" w:before="40"/>
      </w:pPr>
      <w:r>
        <w:rPr>
          <w:rFonts w:ascii="Arial" w:cs="Arial" w:eastAsia="Arial" w:hAnsi="Arial"/>
          <w:color w:val="1A1A2E"/>
          <w:sz w:val="22"/>
          <w:szCs w:val="22"/>
        </w:rPr>
        <w:t xml:space="preserve">Devis accepté ou refusé</w:t>
      </w:r>
    </w:p>
    <w:p>
      <w:pPr>
        <w:pStyle w:val="ListParagraph"/>
        <w:numPr>
          <w:ilvl w:val="0"/>
          <w:numId w:val="2"/>
        </w:numPr>
        <w:spacing w:after="40" w:before="40"/>
      </w:pPr>
      <w:r>
        <w:rPr>
          <w:rFonts w:ascii="Arial" w:cs="Arial" w:eastAsia="Arial" w:hAnsi="Arial"/>
          <w:color w:val="1A1A2E"/>
          <w:sz w:val="22"/>
          <w:szCs w:val="22"/>
        </w:rPr>
        <w:t xml:space="preserve">Changement de statut d'une opportunité</w:t>
      </w:r>
    </w:p>
    <w:p>
      <w:pPr>
        <w:pStyle w:val="ListParagraph"/>
        <w:numPr>
          <w:ilvl w:val="0"/>
          <w:numId w:val="2"/>
        </w:numPr>
        <w:spacing w:after="40" w:before="40"/>
      </w:pPr>
      <w:r>
        <w:rPr>
          <w:rFonts w:ascii="Arial" w:cs="Arial" w:eastAsia="Arial" w:hAnsi="Arial"/>
          <w:color w:val="1A1A2E"/>
          <w:sz w:val="22"/>
          <w:szCs w:val="22"/>
        </w:rPr>
        <w:t xml:space="preserve">Date de clôture d'opportunité dépassée</w:t>
      </w:r>
    </w:p>
    <w:p>
      <w:pPr>
        <w:spacing w:after="80" w:before="0"/>
      </w:pPr>
      <w:r>
        <w:t xml:space="preserve"/>
      </w:r>
    </w:p>
    <w:p>
      <w:r>
        <w:br w:type="page"/>
      </w:r>
    </w:p>
    <w:p>
      <w:pPr>
        <w:pStyle w:val="Heading1"/>
        <w:pBdr>
          <w:bottom w:val="single" w:color="4A90D9" w:sz="3"/>
        </w:pBdr>
        <w:shd w:fill="1E3A5F" w:val="clear"/>
        <w:spacing w:after="200" w:before="360"/>
      </w:pPr>
      <w:r>
        <w:rPr>
          <w:rFonts w:ascii="Arial" w:cs="Arial" w:eastAsia="Arial" w:hAnsi="Arial"/>
          <w:b/>
          <w:bCs/>
          <w:color w:val="FFFFFF"/>
          <w:sz w:val="36"/>
          <w:szCs w:val="36"/>
        </w:rPr>
        <w:t xml:space="preserve">8. Raccourcis et Bonnes Pratiques</w:t>
      </w:r>
    </w:p>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8.1 Raccourcis Clavier</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4225"/>
        <w:gridCol w:w="4225"/>
      </w:tblGrid>
      <w:tr>
        <w:trPr>
          <w:tblHeader/>
        </w:trPr>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Raccourci</w:t>
            </w:r>
          </w:p>
        </w:tc>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Ctrl + N</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Créer un nouvel enregistrement dans la vue active</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Ctrl + S</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Sauvegarder le formulaire en cours</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Échap</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Fermer la fenêtre modale ou annuler</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Ctrl + F</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Activer la barre de recherche globale</w:t>
            </w:r>
          </w:p>
        </w:tc>
      </w:tr>
    </w:tbl>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8.2 Bonnes Pratiques</w:t>
      </w:r>
    </w:p>
    <w:p>
      <w:pPr>
        <w:pStyle w:val="ListParagraph"/>
        <w:numPr>
          <w:ilvl w:val="0"/>
          <w:numId w:val="2"/>
        </w:numPr>
        <w:spacing w:after="40" w:before="40"/>
      </w:pPr>
      <w:r>
        <w:rPr>
          <w:rFonts w:ascii="Arial" w:cs="Arial" w:eastAsia="Arial" w:hAnsi="Arial"/>
          <w:color w:val="1A1A2E"/>
          <w:sz w:val="22"/>
          <w:szCs w:val="22"/>
        </w:rPr>
        <w:t xml:space="preserve">Toujours renseigner l'email ou le téléphone d'un contact pour éviter les doublons</w:t>
      </w:r>
    </w:p>
    <w:p>
      <w:pPr>
        <w:pStyle w:val="ListParagraph"/>
        <w:numPr>
          <w:ilvl w:val="0"/>
          <w:numId w:val="2"/>
        </w:numPr>
        <w:spacing w:after="40" w:before="40"/>
      </w:pPr>
      <w:r>
        <w:rPr>
          <w:rFonts w:ascii="Arial" w:cs="Arial" w:eastAsia="Arial" w:hAnsi="Arial"/>
          <w:color w:val="1A1A2E"/>
          <w:sz w:val="22"/>
          <w:szCs w:val="22"/>
        </w:rPr>
        <w:t xml:space="preserve">Associer chaque opportunité à un compte pour le suivi du pipeline</w:t>
      </w:r>
    </w:p>
    <w:p>
      <w:pPr>
        <w:pStyle w:val="ListParagraph"/>
        <w:numPr>
          <w:ilvl w:val="0"/>
          <w:numId w:val="2"/>
        </w:numPr>
        <w:spacing w:after="40" w:before="40"/>
      </w:pPr>
      <w:r>
        <w:rPr>
          <w:rFonts w:ascii="Arial" w:cs="Arial" w:eastAsia="Arial" w:hAnsi="Arial"/>
          <w:color w:val="1A1A2E"/>
          <w:sz w:val="22"/>
          <w:szCs w:val="22"/>
        </w:rPr>
        <w:t xml:space="preserve">Mettre à jour les étapes des opportunités régulièrement pour maintenir le pipeline à jour</w:t>
      </w:r>
    </w:p>
    <w:p>
      <w:pPr>
        <w:pStyle w:val="ListParagraph"/>
        <w:numPr>
          <w:ilvl w:val="0"/>
          <w:numId w:val="2"/>
        </w:numPr>
        <w:spacing w:after="40" w:before="40"/>
      </w:pPr>
      <w:r>
        <w:rPr>
          <w:rFonts w:ascii="Arial" w:cs="Arial" w:eastAsia="Arial" w:hAnsi="Arial"/>
          <w:color w:val="1A1A2E"/>
          <w:sz w:val="22"/>
          <w:szCs w:val="22"/>
        </w:rPr>
        <w:t xml:space="preserve">Convertir les pistes qualifiées rapidement pour ne pas perdre d'informations</w:t>
      </w:r>
    </w:p>
    <w:p>
      <w:pPr>
        <w:pStyle w:val="ListParagraph"/>
        <w:numPr>
          <w:ilvl w:val="0"/>
          <w:numId w:val="2"/>
        </w:numPr>
        <w:spacing w:after="40" w:before="40"/>
      </w:pPr>
      <w:r>
        <w:rPr>
          <w:rFonts w:ascii="Arial" w:cs="Arial" w:eastAsia="Arial" w:hAnsi="Arial"/>
          <w:color w:val="1A1A2E"/>
          <w:sz w:val="22"/>
          <w:szCs w:val="22"/>
        </w:rPr>
        <w:t xml:space="preserve">Utiliser les tags pour une segmentation flexible et personnalisée</w:t>
      </w:r>
    </w:p>
    <w:p>
      <w:pPr>
        <w:pStyle w:val="ListParagraph"/>
        <w:numPr>
          <w:ilvl w:val="0"/>
          <w:numId w:val="2"/>
        </w:numPr>
        <w:spacing w:after="40" w:before="40"/>
      </w:pPr>
      <w:r>
        <w:rPr>
          <w:rFonts w:ascii="Arial" w:cs="Arial" w:eastAsia="Arial" w:hAnsi="Arial"/>
          <w:color w:val="1A1A2E"/>
          <w:sz w:val="22"/>
          <w:szCs w:val="22"/>
        </w:rPr>
        <w:t xml:space="preserve">Renseigner les coordonnées GPS des comptes pour profiter de la vue carte</w:t>
      </w:r>
    </w:p>
    <w:p>
      <w:pPr>
        <w:pStyle w:val="ListParagraph"/>
        <w:numPr>
          <w:ilvl w:val="0"/>
          <w:numId w:val="2"/>
        </w:numPr>
        <w:spacing w:after="40" w:before="40"/>
      </w:pPr>
      <w:r>
        <w:rPr>
          <w:rFonts w:ascii="Arial" w:cs="Arial" w:eastAsia="Arial" w:hAnsi="Arial"/>
          <w:color w:val="1A1A2E"/>
          <w:sz w:val="22"/>
          <w:szCs w:val="22"/>
        </w:rPr>
        <w:t xml:space="preserve">Archiver plutôt que supprimer pour conserver l'historique</w:t>
      </w:r>
    </w:p>
    <w:p>
      <w:pPr>
        <w:spacing w:after="8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8.3 Codes Couleurs dans l'Interface</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4225"/>
        <w:gridCol w:w="4225"/>
      </w:tblGrid>
      <w:tr>
        <w:trPr>
          <w:tblHeader/>
        </w:trPr>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Couleur</w:t>
            </w:r>
          </w:p>
        </w:tc>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Signification</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Vert</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Actif / Gagné / Score élevé</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Orange</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En cours / Attention requise / Score moyen</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Rouge</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Perdu / Problème / Score faible</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Bleu</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Information / Nouveau / En pipeline</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Gris</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Inactif / Archivé / Non démarré</w:t>
            </w:r>
          </w:p>
        </w:tc>
      </w:tr>
    </w:tbl>
    <w:p>
      <w:pPr>
        <w:spacing w:after="80" w:before="0"/>
      </w:pPr>
      <w:r>
        <w:t xml:space="preserve"/>
      </w:r>
    </w:p>
    <w:p>
      <w:r>
        <w:br w:type="page"/>
      </w:r>
    </w:p>
    <w:p>
      <w:pPr>
        <w:pStyle w:val="Heading1"/>
        <w:pBdr>
          <w:bottom w:val="single" w:color="4A90D9" w:sz="3"/>
        </w:pBdr>
        <w:shd w:fill="1E3A5F" w:val="clear"/>
        <w:spacing w:after="200" w:before="360"/>
      </w:pPr>
      <w:r>
        <w:rPr>
          <w:rFonts w:ascii="Arial" w:cs="Arial" w:eastAsia="Arial" w:hAnsi="Arial"/>
          <w:b/>
          <w:bCs/>
          <w:color w:val="FFFFFF"/>
          <w:sz w:val="36"/>
          <w:szCs w:val="36"/>
        </w:rPr>
        <w:t xml:space="preserve">9. Glossaire</w:t>
      </w:r>
    </w:p>
    <w:p>
      <w:pPr>
        <w:spacing w:after="80" w:before="0"/>
      </w:pPr>
      <w:r>
        <w:t xml:space="preserve"/>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4225"/>
        <w:gridCol w:w="4225"/>
      </w:tblGrid>
      <w:tr>
        <w:trPr>
          <w:tblHeader/>
        </w:trPr>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Terme</w:t>
            </w:r>
          </w:p>
        </w:tc>
        <w:tc>
          <w:tcPr>
            <w:tcW w:type="dxa" w:w="4225"/>
            <w:tcBorders>
              <w:top w:val="single" w:color="BDD5F0" w:sz="1"/>
              <w:left w:val="single" w:color="BDD5F0" w:sz="1"/>
              <w:bottom w:val="single" w:color="BDD5F0" w:sz="1"/>
              <w:right w:val="single" w:color="BDD5F0" w:sz="1"/>
            </w:tcBorders>
            <w:shd w:fill="2D5FA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Définition</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CRM</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Customer Relationship Management - Gestion de la Relation Client</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Lead / Piste</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Contact ou entreprise représentant une opportunité commerciale potentielle non qualifiée</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Compte</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Entreprise ou organisation cliente, partenaire ou prospect</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Contact</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Personne physique liée à un compte</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Opportunité</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Affaire commerciale potentielle en cours de négociation</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Pipeline</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Ensemble des opportunités en cours de vente classées par étapes</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Devis</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Proposition commerciale formelle envoyée à un client</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Kanban</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Méthode visuelle de gestion du pipeline par colonnes drag-and-drop</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Health Score</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Score de santé d'un compte calculé sur la base de multiples indicateurs</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Lead Score</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Score de qualification d'une piste basé sur son profil et son engagement</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Conversion</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Transformation d'une piste en compte, contact et/ou opportunité</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Stage / Étape</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Phase du cycle de vente dans laquelle se trouve une opportunité</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Forecast</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Prévision de chiffre d'affaires basée sur les opportunités en cours</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RBAC</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Role-Based Access Control - Contrôle d'accès basé sur les rôles</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ICE</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Identifiant Commun de l'Entreprise (Maroc)</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TVA</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r>
              <w:rPr>
                <w:rFonts w:ascii="Arial" w:cs="Arial" w:eastAsia="Arial" w:hAnsi="Arial"/>
                <w:color w:val="1A1A2E"/>
                <w:sz w:val="20"/>
                <w:szCs w:val="20"/>
              </w:rPr>
              <w:t xml:space="preserve">Taxe sur la Valeur Ajoutée</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SKU</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Stock Keeping Unit - Référence produit unique</w:t>
            </w:r>
          </w:p>
        </w:tc>
      </w:tr>
    </w:tbl>
    <w:p>
      <w:pPr>
        <w:spacing w:after="80" w:before="0"/>
      </w:pPr>
      <w:r>
        <w:t xml:space="preserve"/>
      </w:r>
    </w:p>
    <w:p>
      <w:pPr>
        <w:spacing w:after="0" w:before="0"/>
      </w:pPr>
      <w:r>
        <w:br w:type="page"/>
      </w:r>
    </w:p>
    <w:p>
      <w:pPr>
        <w:pStyle w:val="Heading1"/>
        <w:pBdr>
          <w:bottom w:val="single" w:color="4A90D9" w:sz="3"/>
        </w:pBdr>
        <w:shd w:fill="1E3A5F" w:val="clear"/>
        <w:spacing w:after="200" w:before="360"/>
      </w:pPr>
      <w:r>
        <w:rPr>
          <w:rFonts w:ascii="Arial" w:cs="Arial" w:eastAsia="Arial" w:hAnsi="Arial"/>
          <w:b/>
          <w:bCs/>
          <w:color w:val="FFFFFF"/>
          <w:sz w:val="36"/>
          <w:szCs w:val="36"/>
        </w:rPr>
        <w:t xml:space="preserve">10. Assistante IA</w:t>
      </w:r>
    </w:p>
    <w:p>
      <w:pPr>
        <w:spacing w:after="100" w:before="60"/>
      </w:pPr>
      <w:r>
        <w:rPr>
          <w:rFonts w:ascii="Arial" w:cs="Arial" w:eastAsia="Arial" w:hAnsi="Arial"/>
          <w:color w:val="1A1A2E"/>
          <w:sz w:val="22"/>
          <w:szCs w:val="22"/>
        </w:rPr>
        <w:t xml:space="preserve">OptiCRM integre une assistante intelligente alimentee par l'IA accessible depuis toutes les pages de l'application. Elle aide les equipes commerciales a rediger des emails, analyser des donnees, scorer des pistes et prendre de meilleures decisions.</w:t>
      </w:r>
    </w:p>
    <w:p>
      <w:pPr>
        <w:spacing w:after="16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10.1 Acces et Interface</w:t>
      </w:r>
    </w:p>
    <w:p>
      <w:pPr>
        <w:spacing w:after="100" w:before="60"/>
      </w:pPr>
      <w:r>
        <w:rPr>
          <w:rFonts w:ascii="Arial" w:cs="Arial" w:eastAsia="Arial" w:hAnsi="Arial"/>
          <w:color w:val="1A1A2E"/>
          <w:sz w:val="22"/>
          <w:szCs w:val="22"/>
        </w:rPr>
        <w:t xml:space="preserve">L'assistante IA est accessible via le bouton flottant avec l'icone robot situe en bas a droite de l'ecran. Elle est disponible sur toutes les pages de l'application.</w:t>
      </w:r>
    </w:p>
    <w:p>
      <w:pPr>
        <w:spacing w:after="160" w:before="0"/>
      </w:pPr>
      <w:r>
        <w:t xml:space="preserve"/>
      </w:r>
    </w:p>
    <w:tbl>
      <w:tblPr>
        <w:tblW w:type="dxa" w:w="8450"/>
        <w:tblBorders>
          <w:top w:val="single" w:color="BDD5F0" w:sz="1"/>
          <w:left w:val="single" w:color="BDD5F0" w:sz="1"/>
          <w:bottom w:val="single" w:color="BDD5F0" w:sz="1"/>
          <w:right w:val="single" w:color="BDD5F0" w:sz="1"/>
          <w:insideH w:val="single" w:color="BDD5F0" w:sz="1"/>
          <w:insideV w:val="single" w:color="BDD5F0" w:sz="1"/>
        </w:tblBorders>
      </w:tblPr>
      <w:tblGrid>
        <w:gridCol w:w="1800"/>
        <w:gridCol w:w="6650"/>
      </w:tblGrid>
      <w:tr>
        <w:tc>
          <w:tcPr>
            <w:tcW w:type="dxa" w:w="1800"/>
            <w:tcBorders>
              <w:top w:val="single" w:color="BDD5F0" w:sz="1"/>
              <w:left w:val="single" w:color="BDD5F0" w:sz="1"/>
              <w:bottom w:val="single" w:color="BDD5F0" w:sz="1"/>
              <w:right w:val="single" w:color="BDD5F0" w:sz="1"/>
            </w:tcBorders>
            <w:shd w:fill="2D5F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Acces</w:t>
            </w:r>
          </w:p>
        </w:tc>
        <w:tc>
          <w:tcPr>
            <w:tcW w:type="dxa" w:w="6650"/>
            <w:tcBorders>
              <w:top w:val="single" w:color="BDD5F0" w:sz="1"/>
              <w:left w:val="single" w:color="BDD5F0" w:sz="1"/>
              <w:bottom w:val="single" w:color="BDD5F0" w:sz="1"/>
              <w:right w:val="single" w:color="BDD5F0" w:sz="1"/>
            </w:tcBorders>
            <w:shd w:fill="EBF2FB" w:val="clear"/>
            <w:tcMar>
              <w:top w:type="dxa" w:w="80"/>
              <w:left w:type="dxa" w:w="160"/>
              <w:bottom w:type="dxa" w:w="80"/>
              <w:right w:type="dxa" w:w="120"/>
            </w:tcMar>
          </w:tcPr>
          <w:p>
            <w:r>
              <w:rPr>
                <w:rFonts w:ascii="Arial" w:cs="Arial" w:eastAsia="Arial" w:hAnsi="Arial"/>
                <w:color w:val="1A1A2E"/>
                <w:sz w:val="22"/>
                <w:szCs w:val="22"/>
              </w:rPr>
              <w:t xml:space="preserve">Bouton robot (icone) en bas a droite de l'ecran - toujours visible sur toutes les pages</w:t>
            </w:r>
          </w:p>
        </w:tc>
      </w:tr>
    </w:tbl>
    <w:p>
      <w:pPr>
        <w:spacing w:after="160" w:before="0"/>
      </w:pPr>
      <w:r>
        <w:t xml:space="preserve"/>
      </w:r>
    </w:p>
    <w:p>
      <w:pPr>
        <w:pStyle w:val="Heading3"/>
        <w:spacing w:after="80" w:before="220"/>
      </w:pPr>
      <w:r>
        <w:rPr>
          <w:rFonts w:ascii="Arial" w:cs="Arial" w:eastAsia="Arial" w:hAnsi="Arial"/>
          <w:b/>
          <w:bCs/>
          <w:color w:val="2D5FA8"/>
          <w:sz w:val="24"/>
          <w:szCs w:val="24"/>
        </w:rPr>
        <w:t xml:space="preserve">Composants de l'Interface</w:t>
      </w:r>
    </w:p>
    <w:p>
      <w:pPr>
        <w:numPr>
          <w:ilvl w:val="0"/>
          <w:numId w:val="1"/>
        </w:numPr>
        <w:spacing w:after="40" w:before="40"/>
      </w:pPr>
      <w:r>
        <w:rPr>
          <w:rFonts w:ascii="Arial" w:cs="Arial" w:eastAsia="Arial" w:hAnsi="Arial"/>
          <w:color w:val="1A1A2E"/>
          <w:sz w:val="22"/>
          <w:szCs w:val="22"/>
        </w:rPr>
        <w:t xml:space="preserve">Bouton circulaire flottant avec icone robot en bas a droite de l'ecran</w:t>
      </w:r>
    </w:p>
    <w:p>
      <w:pPr>
        <w:numPr>
          <w:ilvl w:val="0"/>
          <w:numId w:val="1"/>
        </w:numPr>
        <w:spacing w:after="40" w:before="40"/>
      </w:pPr>
      <w:r>
        <w:rPr>
          <w:rFonts w:ascii="Arial" w:cs="Arial" w:eastAsia="Arial" w:hAnsi="Arial"/>
          <w:color w:val="1A1A2E"/>
          <w:sz w:val="22"/>
          <w:szCs w:val="22"/>
        </w:rPr>
        <w:t xml:space="preserve">Panneau de chat (400 x 580 px) avec animations fluides d'ouverture</w:t>
      </w:r>
    </w:p>
    <w:p>
      <w:pPr>
        <w:numPr>
          <w:ilvl w:val="0"/>
          <w:numId w:val="1"/>
        </w:numPr>
        <w:spacing w:after="40" w:before="40"/>
      </w:pPr>
      <w:r>
        <w:rPr>
          <w:rFonts w:ascii="Arial" w:cs="Arial" w:eastAsia="Arial" w:hAnsi="Arial"/>
          <w:color w:val="1A1A2E"/>
          <w:sz w:val="22"/>
          <w:szCs w:val="22"/>
        </w:rPr>
        <w:t xml:space="preserve">Messages utilisateur : bulles bleues alignees a droite</w:t>
      </w:r>
    </w:p>
    <w:p>
      <w:pPr>
        <w:numPr>
          <w:ilvl w:val="0"/>
          <w:numId w:val="1"/>
        </w:numPr>
        <w:spacing w:after="40" w:before="40"/>
      </w:pPr>
      <w:r>
        <w:rPr>
          <w:rFonts w:ascii="Arial" w:cs="Arial" w:eastAsia="Arial" w:hAnsi="Arial"/>
          <w:color w:val="1A1A2E"/>
          <w:sz w:val="22"/>
          <w:szCs w:val="22"/>
        </w:rPr>
        <w:t xml:space="preserve">Messages IA : rendu Markdown, alignes a gauche avec bouton de copie</w:t>
      </w:r>
    </w:p>
    <w:p>
      <w:pPr>
        <w:numPr>
          <w:ilvl w:val="0"/>
          <w:numId w:val="1"/>
        </w:numPr>
        <w:spacing w:after="40" w:before="40"/>
      </w:pPr>
      <w:r>
        <w:rPr>
          <w:rFonts w:ascii="Arial" w:cs="Arial" w:eastAsia="Arial" w:hAnsi="Arial"/>
          <w:color w:val="1A1A2E"/>
          <w:sz w:val="22"/>
          <w:szCs w:val="22"/>
        </w:rPr>
        <w:t xml:space="preserve">Indicateur de frappe anime (3 points rebondissants) pendant la generation</w:t>
      </w:r>
    </w:p>
    <w:p>
      <w:pPr>
        <w:numPr>
          <w:ilvl w:val="0"/>
          <w:numId w:val="1"/>
        </w:numPr>
        <w:spacing w:after="40" w:before="40"/>
      </w:pPr>
      <w:r>
        <w:rPr>
          <w:rFonts w:ascii="Arial" w:cs="Arial" w:eastAsia="Arial" w:hAnsi="Arial"/>
          <w:color w:val="1A1A2E"/>
          <w:sz w:val="22"/>
          <w:szCs w:val="22"/>
        </w:rPr>
        <w:t xml:space="preserve">Defilement automatique vers le dernier message</w:t>
      </w:r>
    </w:p>
    <w:p>
      <w:pPr>
        <w:numPr>
          <w:ilvl w:val="0"/>
          <w:numId w:val="1"/>
        </w:numPr>
        <w:spacing w:after="40" w:before="40"/>
      </w:pPr>
      <w:r>
        <w:rPr>
          <w:rFonts w:ascii="Arial" w:cs="Arial" w:eastAsia="Arial" w:hAnsi="Arial"/>
          <w:color w:val="1A1A2E"/>
          <w:sz w:val="22"/>
          <w:szCs w:val="22"/>
        </w:rPr>
        <w:t xml:space="preserve">Bouton Stop pour interrompre une reponse en cours de generation</w:t>
      </w:r>
    </w:p>
    <w:p>
      <w:pPr>
        <w:numPr>
          <w:ilvl w:val="0"/>
          <w:numId w:val="1"/>
        </w:numPr>
        <w:spacing w:after="40" w:before="40"/>
      </w:pPr>
      <w:r>
        <w:rPr>
          <w:rFonts w:ascii="Arial" w:cs="Arial" w:eastAsia="Arial" w:hAnsi="Arial"/>
          <w:color w:val="1A1A2E"/>
          <w:sz w:val="22"/>
          <w:szCs w:val="22"/>
        </w:rPr>
        <w:t xml:space="preserve">Bouton de reinitialisation pour effacer la conversation et recommencer</w:t>
      </w:r>
    </w:p>
    <w:p>
      <w:pPr>
        <w:spacing w:after="16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10.2 Actions Rapides</w:t>
      </w:r>
    </w:p>
    <w:p>
      <w:pPr>
        <w:spacing w:after="100" w:before="60"/>
      </w:pPr>
      <w:r>
        <w:rPr>
          <w:rFonts w:ascii="Arial" w:cs="Arial" w:eastAsia="Arial" w:hAnsi="Arial"/>
          <w:color w:val="1A1A2E"/>
          <w:sz w:val="22"/>
          <w:szCs w:val="22"/>
        </w:rPr>
        <w:t xml:space="preserve">Six boutons d'actions rapides pre-configurees sont affichees au demarrage d'une nouvelle conversation :</w:t>
      </w:r>
    </w:p>
    <w:p>
      <w:pPr>
        <w:spacing w:after="160" w:before="0"/>
      </w:pPr>
      <w:r>
        <w:t xml:space="preserve"/>
      </w:r>
    </w:p>
    <w:tbl>
      <w:tblPr>
        <w:tblW w:type="dxa" w:w="8450"/>
        <w:tblBorders>
          <w:top w:val="single" w:color="BDD5F0" w:sz="1"/>
          <w:left w:val="single" w:color="BDD5F0" w:sz="1"/>
          <w:bottom w:val="single" w:color="BDD5F0" w:sz="1"/>
          <w:right w:val="single" w:color="BDD5F0" w:sz="1"/>
          <w:insideH w:val="single" w:color="BDD5F0" w:sz="1"/>
          <w:insideV w:val="single" w:color="BDD5F0" w:sz="1"/>
        </w:tblBorders>
      </w:tblPr>
      <w:tblGrid>
        <w:gridCol w:w="2816"/>
        <w:gridCol w:w="2816"/>
        <w:gridCol w:w="2818"/>
      </w:tblGrid>
      <w:tr>
        <w:trPr>
          <w:tblHeader/>
        </w:trPr>
        <w:tc>
          <w:tcPr>
            <w:tcW w:type="dxa" w:w="2816"/>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Action Rapide</w:t>
            </w:r>
          </w:p>
        </w:tc>
        <w:tc>
          <w:tcPr>
            <w:tcW w:type="dxa" w:w="2816"/>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Description</w:t>
            </w:r>
          </w:p>
        </w:tc>
        <w:tc>
          <w:tcPr>
            <w:tcW w:type="dxa" w:w="2818"/>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Usage Typique</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Recherche intelligente</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Aide a retrouver une information dans le CRM en langage naturel</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Trouver un client, une opportunite, un contact</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Rediger un email</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Genere un email professionnel personnalise pour un prospect</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Prospection, relance, proposition commerciale</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Analyser mon pipeline</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Analyse la sante du pipeline et donne des recommandations actionnables</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Revue hebdomadaire du pipeline commercial</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Conseils commerciaux</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Partage les meilleures pratiques pour ameliorer le taux de conversion</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Formation, preparation d'entretien commercial</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Resume de reunion</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Structure et resume des notes d'une reunion commerciale</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Compte rendu apres visite client</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Suggestions de relance</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Propose des strategies de suivi pour les contacts inactifs (+30 jours)</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Reactiver des contacts dormants</w:t>
            </w:r>
          </w:p>
        </w:tc>
      </w:tr>
    </w:tbl>
    <w:p>
      <w:pPr>
        <w:spacing w:after="16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10.3 Fonctionnalites du Chat</w:t>
      </w:r>
    </w:p>
    <w:p>
      <w:pPr>
        <w:spacing w:after="100" w:before="60"/>
      </w:pPr>
      <w:r>
        <w:rPr>
          <w:rFonts w:ascii="Arial" w:cs="Arial" w:eastAsia="Arial" w:hAnsi="Arial"/>
          <w:color w:val="1A1A2E"/>
          <w:sz w:val="22"/>
          <w:szCs w:val="22"/>
        </w:rPr>
        <w:t xml:space="preserve">Le chat fonctionne en mode streaming (reponse affichee progressivement en temps reel). La conversation conserve l'historique des echanges de la session en cours.</w:t>
      </w:r>
    </w:p>
    <w:p>
      <w:pPr>
        <w:spacing w:after="160" w:before="0"/>
      </w:pPr>
      <w:r>
        <w:t xml:space="preserve"/>
      </w:r>
    </w:p>
    <w:tbl>
      <w:tblPr>
        <w:tblW w:type="dxa" w:w="8450"/>
        <w:tblBorders>
          <w:top w:val="single" w:color="BDD5F0" w:sz="1"/>
          <w:left w:val="single" w:color="BDD5F0" w:sz="1"/>
          <w:bottom w:val="single" w:color="BDD5F0" w:sz="1"/>
          <w:right w:val="single" w:color="BDD5F0" w:sz="1"/>
          <w:insideH w:val="single" w:color="BDD5F0" w:sz="1"/>
          <w:insideV w:val="single" w:color="BDD5F0" w:sz="1"/>
        </w:tblBorders>
      </w:tblPr>
      <w:tblGrid>
        <w:gridCol w:w="4225"/>
        <w:gridCol w:w="4225"/>
      </w:tblGrid>
      <w:tr>
        <w:trPr>
          <w:tblHeader/>
        </w:trPr>
        <w:tc>
          <w:tcPr>
            <w:tcW w:type="dxa" w:w="4225"/>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Fonctionnalite</w:t>
            </w:r>
          </w:p>
        </w:tc>
        <w:tc>
          <w:tcPr>
            <w:tcW w:type="dxa" w:w="4225"/>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Description</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Streaming en temps reel</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La reponse s'affiche mot par mot - pas besoin d'attendre la fin de la generation</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Historique de session</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L'IA se souvient du contexte de toute la conversation en cours</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Arret de generation</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Bouton "Stop" pour interrompre une reponse IA en cours</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Copie du message</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Bouton de copie apparait au survol des messages de l'IA</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Nouvelle conversation</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Bouton de reinitialisation pour demarrer une conversation vierge</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Raccourci clavier</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Touche Entree pour envoyer, Maj+Entree pour saut de ligne</w:t>
            </w:r>
          </w:p>
        </w:tc>
      </w:tr>
    </w:tbl>
    <w:p>
      <w:pPr>
        <w:spacing w:after="16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10.4 Analyse et Scoring IA par Module</w:t>
      </w:r>
    </w:p>
    <w:p>
      <w:pPr>
        <w:spacing w:after="100" w:before="60"/>
      </w:pPr>
      <w:r>
        <w:rPr>
          <w:rFonts w:ascii="Arial" w:cs="Arial" w:eastAsia="Arial" w:hAnsi="Arial"/>
          <w:color w:val="1A1A2E"/>
          <w:sz w:val="22"/>
          <w:szCs w:val="22"/>
        </w:rPr>
        <w:t xml:space="preserve">Au-dela du chat, l'IA est integree directement dans les fiches des modules CRM pour des analyses automatiques sur vos donnees reelles :</w:t>
      </w:r>
    </w:p>
    <w:p>
      <w:pPr>
        <w:spacing w:after="160" w:before="0"/>
      </w:pPr>
      <w:r>
        <w:t xml:space="preserve"/>
      </w:r>
    </w:p>
    <w:p>
      <w:pPr>
        <w:pStyle w:val="Heading3"/>
        <w:spacing w:after="80" w:before="220"/>
      </w:pPr>
      <w:r>
        <w:rPr>
          <w:rFonts w:ascii="Arial" w:cs="Arial" w:eastAsia="Arial" w:hAnsi="Arial"/>
          <w:b/>
          <w:bCs/>
          <w:color w:val="2D5FA8"/>
          <w:sz w:val="24"/>
          <w:szCs w:val="24"/>
        </w:rPr>
        <w:t xml:space="preserve">Scoring IA d'une Piste (Lead Scoring IA)</w:t>
      </w:r>
    </w:p>
    <w:p>
      <w:pPr>
        <w:spacing w:after="100" w:before="60"/>
      </w:pPr>
      <w:r>
        <w:rPr>
          <w:rFonts w:ascii="Arial" w:cs="Arial" w:eastAsia="Arial" w:hAnsi="Arial"/>
          <w:color w:val="1A1A2E"/>
          <w:sz w:val="22"/>
          <w:szCs w:val="22"/>
        </w:rPr>
        <w:t xml:space="preserve">Depuis la fiche detail d'une piste, le bouton "Scoring IA" analyse automatiquement et retourne :</w:t>
      </w:r>
    </w:p>
    <w:p>
      <w:pPr>
        <w:numPr>
          <w:ilvl w:val="0"/>
          <w:numId w:val="1"/>
        </w:numPr>
        <w:spacing w:after="40" w:before="40"/>
      </w:pPr>
      <w:r>
        <w:rPr>
          <w:rFonts w:ascii="Arial" w:cs="Arial" w:eastAsia="Arial" w:hAnsi="Arial"/>
          <w:color w:val="1A1A2E"/>
          <w:sz w:val="22"/>
          <w:szCs w:val="22"/>
        </w:rPr>
        <w:t xml:space="preserve">Score de 0 a 100 avec label qualificatif (Tres Froid, Froid, Tiede, Chaud, Tres Chaud)</w:t>
      </w:r>
    </w:p>
    <w:p>
      <w:pPr>
        <w:numPr>
          <w:ilvl w:val="0"/>
          <w:numId w:val="1"/>
        </w:numPr>
        <w:spacing w:after="40" w:before="40"/>
      </w:pPr>
      <w:r>
        <w:rPr>
          <w:rFonts w:ascii="Arial" w:cs="Arial" w:eastAsia="Arial" w:hAnsi="Arial"/>
          <w:color w:val="1A1A2E"/>
          <w:sz w:val="22"/>
          <w:szCs w:val="22"/>
        </w:rPr>
        <w:t xml:space="preserve">Points forts identifies (raisons justifiant un score eleve)</w:t>
      </w:r>
    </w:p>
    <w:p>
      <w:pPr>
        <w:numPr>
          <w:ilvl w:val="0"/>
          <w:numId w:val="1"/>
        </w:numPr>
        <w:spacing w:after="40" w:before="40"/>
      </w:pPr>
      <w:r>
        <w:rPr>
          <w:rFonts w:ascii="Arial" w:cs="Arial" w:eastAsia="Arial" w:hAnsi="Arial"/>
          <w:color w:val="1A1A2E"/>
          <w:sz w:val="22"/>
          <w:szCs w:val="22"/>
        </w:rPr>
        <w:t xml:space="preserve">Points faibles detectes (freins ou informations manquantes)</w:t>
      </w:r>
    </w:p>
    <w:p>
      <w:pPr>
        <w:numPr>
          <w:ilvl w:val="0"/>
          <w:numId w:val="1"/>
        </w:numPr>
        <w:spacing w:after="40" w:before="40"/>
      </w:pPr>
      <w:r>
        <w:rPr>
          <w:rFonts w:ascii="Arial" w:cs="Arial" w:eastAsia="Arial" w:hAnsi="Arial"/>
          <w:color w:val="1A1A2E"/>
          <w:sz w:val="22"/>
          <w:szCs w:val="22"/>
        </w:rPr>
        <w:t xml:space="preserve">Prochaines actions recommandees par l'IA</w:t>
      </w:r>
    </w:p>
    <w:p>
      <w:pPr>
        <w:numPr>
          <w:ilvl w:val="0"/>
          <w:numId w:val="1"/>
        </w:numPr>
        <w:spacing w:after="40" w:before="40"/>
      </w:pPr>
      <w:r>
        <w:rPr>
          <w:rFonts w:ascii="Arial" w:cs="Arial" w:eastAsia="Arial" w:hAnsi="Arial"/>
          <w:color w:val="1A1A2E"/>
          <w:sz w:val="22"/>
          <w:szCs w:val="22"/>
        </w:rPr>
        <w:t xml:space="preserve">Raisonnement detaille expliquant le score attribue</w:t>
      </w:r>
    </w:p>
    <w:p>
      <w:pPr>
        <w:spacing w:after="160" w:before="0"/>
      </w:pPr>
      <w:r>
        <w:t xml:space="preserve"/>
      </w:r>
    </w:p>
    <w:p>
      <w:pPr>
        <w:pStyle w:val="Heading3"/>
        <w:spacing w:after="80" w:before="220"/>
      </w:pPr>
      <w:r>
        <w:rPr>
          <w:rFonts w:ascii="Arial" w:cs="Arial" w:eastAsia="Arial" w:hAnsi="Arial"/>
          <w:b/>
          <w:bCs/>
          <w:color w:val="2D5FA8"/>
          <w:sz w:val="24"/>
          <w:szCs w:val="24"/>
        </w:rPr>
        <w:t xml:space="preserve">Analyse 360 d'un Compte</w:t>
      </w:r>
    </w:p>
    <w:p>
      <w:pPr>
        <w:spacing w:after="100" w:before="60"/>
      </w:pPr>
      <w:r>
        <w:rPr>
          <w:rFonts w:ascii="Arial" w:cs="Arial" w:eastAsia="Arial" w:hAnsi="Arial"/>
          <w:color w:val="1A1A2E"/>
          <w:sz w:val="22"/>
          <w:szCs w:val="22"/>
        </w:rPr>
        <w:t xml:space="preserve">Depuis la fiche d'un compte, l'analyse 360 IA genere un rapport complet incluant :</w:t>
      </w:r>
    </w:p>
    <w:p>
      <w:pPr>
        <w:numPr>
          <w:ilvl w:val="0"/>
          <w:numId w:val="1"/>
        </w:numPr>
        <w:spacing w:after="40" w:before="40"/>
      </w:pPr>
      <w:r>
        <w:rPr>
          <w:rFonts w:ascii="Arial" w:cs="Arial" w:eastAsia="Arial" w:hAnsi="Arial"/>
          <w:color w:val="1A1A2E"/>
          <w:sz w:val="22"/>
          <w:szCs w:val="22"/>
        </w:rPr>
        <w:t xml:space="preserve">Synthese de la relation commerciale et de l'historique</w:t>
      </w:r>
    </w:p>
    <w:p>
      <w:pPr>
        <w:numPr>
          <w:ilvl w:val="0"/>
          <w:numId w:val="1"/>
        </w:numPr>
        <w:spacing w:after="40" w:before="40"/>
      </w:pPr>
      <w:r>
        <w:rPr>
          <w:rFonts w:ascii="Arial" w:cs="Arial" w:eastAsia="Arial" w:hAnsi="Arial"/>
          <w:color w:val="1A1A2E"/>
          <w:sz w:val="22"/>
          <w:szCs w:val="22"/>
        </w:rPr>
        <w:t xml:space="preserve">Sante financiere et risques potentiels identifies</w:t>
      </w:r>
    </w:p>
    <w:p>
      <w:pPr>
        <w:numPr>
          <w:ilvl w:val="0"/>
          <w:numId w:val="1"/>
        </w:numPr>
        <w:spacing w:after="40" w:before="40"/>
      </w:pPr>
      <w:r>
        <w:rPr>
          <w:rFonts w:ascii="Arial" w:cs="Arial" w:eastAsia="Arial" w:hAnsi="Arial"/>
          <w:color w:val="1A1A2E"/>
          <w:sz w:val="22"/>
          <w:szCs w:val="22"/>
        </w:rPr>
        <w:t xml:space="preserve">Opportunites de developpement commercial detectees</w:t>
      </w:r>
    </w:p>
    <w:p>
      <w:pPr>
        <w:numPr>
          <w:ilvl w:val="0"/>
          <w:numId w:val="1"/>
        </w:numPr>
        <w:spacing w:after="40" w:before="40"/>
      </w:pPr>
      <w:r>
        <w:rPr>
          <w:rFonts w:ascii="Arial" w:cs="Arial" w:eastAsia="Arial" w:hAnsi="Arial"/>
          <w:color w:val="1A1A2E"/>
          <w:sz w:val="22"/>
          <w:szCs w:val="22"/>
        </w:rPr>
        <w:t xml:space="preserve">Recommandations d'actions prioritaires a mener</w:t>
      </w:r>
    </w:p>
    <w:p>
      <w:pPr>
        <w:spacing w:after="160" w:before="0"/>
      </w:pPr>
      <w:r>
        <w:t xml:space="preserve"/>
      </w:r>
    </w:p>
    <w:p>
      <w:pPr>
        <w:pStyle w:val="Heading3"/>
        <w:spacing w:after="80" w:before="220"/>
      </w:pPr>
      <w:r>
        <w:rPr>
          <w:rFonts w:ascii="Arial" w:cs="Arial" w:eastAsia="Arial" w:hAnsi="Arial"/>
          <w:b/>
          <w:bCs/>
          <w:color w:val="2D5FA8"/>
          <w:sz w:val="24"/>
          <w:szCs w:val="24"/>
        </w:rPr>
        <w:t xml:space="preserve">Classification Automatique de Tickets</w:t>
      </w:r>
    </w:p>
    <w:p>
      <w:pPr>
        <w:spacing w:after="100" w:before="60"/>
      </w:pPr>
      <w:r>
        <w:rPr>
          <w:rFonts w:ascii="Arial" w:cs="Arial" w:eastAsia="Arial" w:hAnsi="Arial"/>
          <w:color w:val="1A1A2E"/>
          <w:sz w:val="22"/>
          <w:szCs w:val="22"/>
        </w:rPr>
        <w:t xml:space="preserve">A la creation d'un ticket support, l'IA analyse le titre et la description pour suggerer :</w:t>
      </w:r>
    </w:p>
    <w:p>
      <w:pPr>
        <w:numPr>
          <w:ilvl w:val="0"/>
          <w:numId w:val="1"/>
        </w:numPr>
        <w:spacing w:after="40" w:before="40"/>
      </w:pPr>
      <w:r>
        <w:rPr>
          <w:rFonts w:ascii="Arial" w:cs="Arial" w:eastAsia="Arial" w:hAnsi="Arial"/>
          <w:color w:val="1A1A2E"/>
          <w:sz w:val="22"/>
          <w:szCs w:val="22"/>
        </w:rPr>
        <w:t xml:space="preserve">Categorie du ticket (Technique, Commercial, Facturation, SAV, etc.)</w:t>
      </w:r>
    </w:p>
    <w:p>
      <w:pPr>
        <w:numPr>
          <w:ilvl w:val="0"/>
          <w:numId w:val="1"/>
        </w:numPr>
        <w:spacing w:after="40" w:before="40"/>
      </w:pPr>
      <w:r>
        <w:rPr>
          <w:rFonts w:ascii="Arial" w:cs="Arial" w:eastAsia="Arial" w:hAnsi="Arial"/>
          <w:color w:val="1A1A2E"/>
          <w:sz w:val="22"/>
          <w:szCs w:val="22"/>
        </w:rPr>
        <w:t xml:space="preserve">Niveau de priorite recommande (Critique, Haute, Normale, Basse)</w:t>
      </w:r>
    </w:p>
    <w:p>
      <w:pPr>
        <w:numPr>
          <w:ilvl w:val="0"/>
          <w:numId w:val="1"/>
        </w:numPr>
        <w:spacing w:after="40" w:before="40"/>
      </w:pPr>
      <w:r>
        <w:rPr>
          <w:rFonts w:ascii="Arial" w:cs="Arial" w:eastAsia="Arial" w:hAnsi="Arial"/>
          <w:color w:val="1A1A2E"/>
          <w:sz w:val="22"/>
          <w:szCs w:val="22"/>
        </w:rPr>
        <w:t xml:space="preserve">Justification du classement propose</w:t>
      </w:r>
    </w:p>
    <w:p>
      <w:pPr>
        <w:spacing w:after="16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10.5 Generation de Contenu IA</w:t>
      </w:r>
    </w:p>
    <w:p>
      <w:pPr>
        <w:spacing w:after="160" w:before="0"/>
      </w:pPr>
      <w:r>
        <w:t xml:space="preserve"/>
      </w:r>
    </w:p>
    <w:tbl>
      <w:tblPr>
        <w:tblW w:type="dxa" w:w="8450"/>
        <w:tblBorders>
          <w:top w:val="single" w:color="BDD5F0" w:sz="1"/>
          <w:left w:val="single" w:color="BDD5F0" w:sz="1"/>
          <w:bottom w:val="single" w:color="BDD5F0" w:sz="1"/>
          <w:right w:val="single" w:color="BDD5F0" w:sz="1"/>
          <w:insideH w:val="single" w:color="BDD5F0" w:sz="1"/>
          <w:insideV w:val="single" w:color="BDD5F0" w:sz="1"/>
        </w:tblBorders>
      </w:tblPr>
      <w:tblGrid>
        <w:gridCol w:w="2816"/>
        <w:gridCol w:w="2816"/>
        <w:gridCol w:w="2818"/>
      </w:tblGrid>
      <w:tr>
        <w:trPr>
          <w:tblHeader/>
        </w:trPr>
        <w:tc>
          <w:tcPr>
            <w:tcW w:type="dxa" w:w="2816"/>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Outil IA</w:t>
            </w:r>
          </w:p>
        </w:tc>
        <w:tc>
          <w:tcPr>
            <w:tcW w:type="dxa" w:w="2816"/>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Donnees en Entree</w:t>
            </w:r>
          </w:p>
        </w:tc>
        <w:tc>
          <w:tcPr>
            <w:tcW w:type="dxa" w:w="2818"/>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Resultat Genere</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Email professionnel</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Sujet, nom/societe du destinataire, contexte, ton</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Email pret a envoyer, personnalise et professionnel</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Resume de reunion</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Notes brutes, type de reunion, participants, date</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Compte rendu structure avec points cles et actions</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Analyse de piste</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Poste, secteur, source, statut, valeur estimee</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Rapport avec score, forces, faiblesses, actions</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Analyse d'opportunite</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Etape, montant, probabilite, date cloture, produits</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Evaluation de l'opportunite et plan d'action</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Sante du pipeline</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Total opportunites, gagnes, perdus, taux conversion</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Rapport de sante avec insights et alertes</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Suggestions de relance</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Contact, derniere interaction, statut, valeur deal</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Strategies de relance personnalisees et priorisees</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Insights commerciaux</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Periode, CA realise vs objectif, nombre de deals</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Analyse de performance et recommandations</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Score IA de piste</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ID de la piste (analyse des donnees en base)</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Score 0-100, label, forces, faiblesses, next steps</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Resume 360 compte</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ID du compte (analyse des donnees en base)</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Rapport complet : relation, finance, opportunites</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Classification ticket</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Titre, description du ticket, nom du compte</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Categorie, priorite et justification</w:t>
            </w:r>
          </w:p>
        </w:tc>
      </w:tr>
    </w:tbl>
    <w:p>
      <w:pPr>
        <w:spacing w:after="16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10.6 Recherche Intelligente en Langage Naturel</w:t>
      </w:r>
    </w:p>
    <w:p>
      <w:pPr>
        <w:spacing w:after="100" w:before="60"/>
      </w:pPr>
      <w:r>
        <w:rPr>
          <w:rFonts w:ascii="Arial" w:cs="Arial" w:eastAsia="Arial" w:hAnsi="Arial"/>
          <w:color w:val="1A1A2E"/>
          <w:sz w:val="22"/>
          <w:szCs w:val="22"/>
        </w:rPr>
        <w:t xml:space="preserve">La fonction de recherche intelligente permet d'interroger le CRM avec des questions en francais naturel. Exemples de requetes :</w:t>
      </w:r>
    </w:p>
    <w:p>
      <w:pPr>
        <w:numPr>
          <w:ilvl w:val="0"/>
          <w:numId w:val="1"/>
        </w:numPr>
        <w:spacing w:after="40" w:before="40"/>
      </w:pPr>
      <w:r>
        <w:rPr>
          <w:rFonts w:ascii="Arial" w:cs="Arial" w:eastAsia="Arial" w:hAnsi="Arial"/>
          <w:color w:val="1A1A2E"/>
          <w:sz w:val="22"/>
          <w:szCs w:val="22"/>
        </w:rPr>
        <w:t xml:space="preserve">"Montre-moi tous les clients du secteur sante avec des opportunites ouvertes"</w:t>
      </w:r>
    </w:p>
    <w:p>
      <w:pPr>
        <w:numPr>
          <w:ilvl w:val="0"/>
          <w:numId w:val="1"/>
        </w:numPr>
        <w:spacing w:after="40" w:before="40"/>
      </w:pPr>
      <w:r>
        <w:rPr>
          <w:rFonts w:ascii="Arial" w:cs="Arial" w:eastAsia="Arial" w:hAnsi="Arial"/>
          <w:color w:val="1A1A2E"/>
          <w:sz w:val="22"/>
          <w:szCs w:val="22"/>
        </w:rPr>
        <w:t xml:space="preserve">"Quels sont mes prospects qui n'ont pas ete contactes depuis 2 semaines ?"</w:t>
      </w:r>
    </w:p>
    <w:p>
      <w:pPr>
        <w:numPr>
          <w:ilvl w:val="0"/>
          <w:numId w:val="1"/>
        </w:numPr>
        <w:spacing w:after="40" w:before="40"/>
      </w:pPr>
      <w:r>
        <w:rPr>
          <w:rFonts w:ascii="Arial" w:cs="Arial" w:eastAsia="Arial" w:hAnsi="Arial"/>
          <w:color w:val="1A1A2E"/>
          <w:sz w:val="22"/>
          <w:szCs w:val="22"/>
        </w:rPr>
        <w:t xml:space="preserve">"Trouve les devis acceptes du mois dernier pour la region Nord"</w:t>
      </w:r>
    </w:p>
    <w:p>
      <w:pPr>
        <w:numPr>
          <w:ilvl w:val="0"/>
          <w:numId w:val="1"/>
        </w:numPr>
        <w:spacing w:after="40" w:before="40"/>
      </w:pPr>
      <w:r>
        <w:rPr>
          <w:rFonts w:ascii="Arial" w:cs="Arial" w:eastAsia="Arial" w:hAnsi="Arial"/>
          <w:color w:val="1A1A2E"/>
          <w:sz w:val="22"/>
          <w:szCs w:val="22"/>
        </w:rPr>
        <w:t xml:space="preserve">"Quelles opportunites risquent d'etre perdues ce trimestre ?"</w:t>
      </w:r>
    </w:p>
    <w:p>
      <w:pPr>
        <w:spacing w:after="160" w:before="0"/>
      </w:pPr>
      <w:r>
        <w:t xml:space="preserve"/>
      </w:r>
    </w:p>
    <w:tbl>
      <w:tblPr>
        <w:tblW w:type="dxa" w:w="8450"/>
        <w:tblBorders>
          <w:top w:val="single" w:color="BDD5F0" w:sz="1"/>
          <w:left w:val="single" w:color="BDD5F0" w:sz="1"/>
          <w:bottom w:val="single" w:color="BDD5F0" w:sz="1"/>
          <w:right w:val="single" w:color="BDD5F0" w:sz="1"/>
          <w:insideH w:val="single" w:color="BDD5F0" w:sz="1"/>
          <w:insideV w:val="single" w:color="BDD5F0" w:sz="1"/>
        </w:tblBorders>
      </w:tblPr>
      <w:tblGrid>
        <w:gridCol w:w="1800"/>
        <w:gridCol w:w="6650"/>
      </w:tblGrid>
      <w:tr>
        <w:tc>
          <w:tcPr>
            <w:tcW w:type="dxa" w:w="1800"/>
            <w:tcBorders>
              <w:top w:val="single" w:color="BDD5F0" w:sz="1"/>
              <w:left w:val="single" w:color="BDD5F0" w:sz="1"/>
              <w:bottom w:val="single" w:color="BDD5F0" w:sz="1"/>
              <w:right w:val="single" w:color="BDD5F0" w:sz="1"/>
            </w:tcBorders>
            <w:shd w:fill="2D5F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 importante</w:t>
            </w:r>
          </w:p>
        </w:tc>
        <w:tc>
          <w:tcPr>
            <w:tcW w:type="dxa" w:w="6650"/>
            <w:tcBorders>
              <w:top w:val="single" w:color="BDD5F0" w:sz="1"/>
              <w:left w:val="single" w:color="BDD5F0" w:sz="1"/>
              <w:bottom w:val="single" w:color="BDD5F0" w:sz="1"/>
              <w:right w:val="single" w:color="BDD5F0" w:sz="1"/>
            </w:tcBorders>
            <w:shd w:fill="EBF2FB" w:val="clear"/>
            <w:tcMar>
              <w:top w:type="dxa" w:w="80"/>
              <w:left w:type="dxa" w:w="160"/>
              <w:bottom w:type="dxa" w:w="80"/>
              <w:right w:type="dxa" w:w="120"/>
            </w:tcMar>
          </w:tcPr>
          <w:p>
            <w:r>
              <w:rPr>
                <w:rFonts w:ascii="Arial" w:cs="Arial" w:eastAsia="Arial" w:hAnsi="Arial"/>
                <w:color w:val="1A1A2E"/>
                <w:sz w:val="22"/>
                <w:szCs w:val="22"/>
              </w:rPr>
              <w:t xml:space="preserve">Dans le chat libre, l'IA n'a pas acces direct a vos donnees CRM en temps reel. Pour des analyses sur vos vraies donnees, utilisez les outils specifiques : Lead Scoring IA, Analyse 360, Classification Ticket.</w:t>
            </w:r>
          </w:p>
        </w:tc>
      </w:tr>
    </w:tbl>
    <w:p>
      <w:pPr>
        <w:spacing w:after="160" w:before="0"/>
      </w:pPr>
      <w:r>
        <w:t xml:space="preserve"/>
      </w:r>
    </w:p>
    <w:p>
      <w:pPr>
        <w:spacing w:after="0" w:before="0"/>
      </w:pPr>
      <w:r>
        <w:br w:type="page"/>
      </w:r>
    </w:p>
    <w:p>
      <w:pPr>
        <w:pStyle w:val="Heading1"/>
        <w:pBdr>
          <w:bottom w:val="single" w:color="4A90D9" w:sz="3"/>
        </w:pBdr>
        <w:shd w:fill="1E3A5F" w:val="clear"/>
        <w:spacing w:after="200" w:before="360"/>
      </w:pPr>
      <w:r>
        <w:rPr>
          <w:rFonts w:ascii="Arial" w:cs="Arial" w:eastAsia="Arial" w:hAnsi="Arial"/>
          <w:b/>
          <w:bCs/>
          <w:color w:val="FFFFFF"/>
          <w:sz w:val="36"/>
          <w:szCs w:val="36"/>
        </w:rPr>
        <w:t xml:space="preserve">11. Carte Interactive ODYSSEE</w:t>
      </w:r>
    </w:p>
    <w:p>
      <w:pPr>
        <w:spacing w:after="100" w:before="60"/>
      </w:pPr>
      <w:r>
        <w:rPr>
          <w:rFonts w:ascii="Arial" w:cs="Arial" w:eastAsia="Arial" w:hAnsi="Arial"/>
          <w:color w:val="1A1A2E"/>
          <w:sz w:val="22"/>
          <w:szCs w:val="22"/>
        </w:rPr>
        <w:t xml:space="preserve">La Carte Interactive est un outil de visualisation geographique qui permet de localiser, filtrer et analyser les Chantiers et les comptes Distribution sur une carte du Maroc. Elle integre egalement des fonctions de proximite GPS et d'analyse IA geographique.</w:t>
      </w:r>
    </w:p>
    <w:p>
      <w:pPr>
        <w:spacing w:after="16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11.1 Acces a la Carte</w:t>
      </w:r>
    </w:p>
    <w:tbl>
      <w:tblPr>
        <w:tblW w:type="dxa" w:w="8450"/>
        <w:tblBorders>
          <w:top w:val="single" w:color="BDD5F0" w:sz="1"/>
          <w:left w:val="single" w:color="BDD5F0" w:sz="1"/>
          <w:bottom w:val="single" w:color="BDD5F0" w:sz="1"/>
          <w:right w:val="single" w:color="BDD5F0" w:sz="1"/>
          <w:insideH w:val="single" w:color="BDD5F0" w:sz="1"/>
          <w:insideV w:val="single" w:color="BDD5F0" w:sz="1"/>
        </w:tblBorders>
      </w:tblPr>
      <w:tblGrid>
        <w:gridCol w:w="1800"/>
        <w:gridCol w:w="6650"/>
      </w:tblGrid>
      <w:tr>
        <w:tc>
          <w:tcPr>
            <w:tcW w:type="dxa" w:w="1800"/>
            <w:tcBorders>
              <w:top w:val="single" w:color="BDD5F0" w:sz="1"/>
              <w:left w:val="single" w:color="BDD5F0" w:sz="1"/>
              <w:bottom w:val="single" w:color="BDD5F0" w:sz="1"/>
              <w:right w:val="single" w:color="BDD5F0" w:sz="1"/>
            </w:tcBorders>
            <w:shd w:fill="2D5F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6650"/>
            <w:tcBorders>
              <w:top w:val="single" w:color="BDD5F0" w:sz="1"/>
              <w:left w:val="single" w:color="BDD5F0" w:sz="1"/>
              <w:bottom w:val="single" w:color="BDD5F0" w:sz="1"/>
              <w:right w:val="single" w:color="BDD5F0" w:sz="1"/>
            </w:tcBorders>
            <w:shd w:fill="EBF2FB" w:val="clear"/>
            <w:tcMar>
              <w:top w:type="dxa" w:w="80"/>
              <w:left w:type="dxa" w:w="160"/>
              <w:bottom w:type="dxa" w:w="80"/>
              <w:right w:type="dxa" w:w="120"/>
            </w:tcMar>
          </w:tcPr>
          <w:p>
            <w:r>
              <w:rPr>
                <w:rFonts w:ascii="Arial" w:cs="Arial" w:eastAsia="Arial" w:hAnsi="Arial"/>
                <w:color w:val="1A1A2E"/>
                <w:sz w:val="22"/>
                <w:szCs w:val="22"/>
              </w:rPr>
              <w:t xml:space="preserve">/map  -  Menu principal &gt; Carte Interactive</w:t>
            </w:r>
          </w:p>
        </w:tc>
      </w:tr>
    </w:tbl>
    <w:p>
      <w:pPr>
        <w:spacing w:after="16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11.2 Structure de l'Interface</w:t>
      </w:r>
    </w:p>
    <w:p>
      <w:pPr>
        <w:spacing w:after="100" w:before="60"/>
      </w:pPr>
      <w:r>
        <w:rPr>
          <w:rFonts w:ascii="Arial" w:cs="Arial" w:eastAsia="Arial" w:hAnsi="Arial"/>
          <w:color w:val="1A1A2E"/>
          <w:sz w:val="22"/>
          <w:szCs w:val="22"/>
        </w:rPr>
        <w:t xml:space="preserve">L'interface est organisee en deux zones distinctes :</w:t>
      </w:r>
    </w:p>
    <w:p>
      <w:pPr>
        <w:numPr>
          <w:ilvl w:val="0"/>
          <w:numId w:val="1"/>
        </w:numPr>
        <w:spacing w:after="40" w:before="40"/>
      </w:pPr>
      <w:r>
        <w:rPr>
          <w:rFonts w:ascii="Arial" w:cs="Arial" w:eastAsia="Arial" w:hAnsi="Arial"/>
          <w:color w:val="1A1A2E"/>
          <w:sz w:val="22"/>
          <w:szCs w:val="22"/>
        </w:rPr>
        <w:t xml:space="preserve">Panneau de controle (colonne gauche) : couches, filtres par stade, statistiques, proximite GPS</w:t>
      </w:r>
    </w:p>
    <w:p>
      <w:pPr>
        <w:numPr>
          <w:ilvl w:val="0"/>
          <w:numId w:val="1"/>
        </w:numPr>
        <w:spacing w:after="40" w:before="40"/>
      </w:pPr>
      <w:r>
        <w:rPr>
          <w:rFonts w:ascii="Arial" w:cs="Arial" w:eastAsia="Arial" w:hAnsi="Arial"/>
          <w:color w:val="1A1A2E"/>
          <w:sz w:val="22"/>
          <w:szCs w:val="22"/>
        </w:rPr>
        <w:t xml:space="preserve">Carte interactive (colonne droite) : affichage des marqueurs, popups, legende</w:t>
      </w:r>
    </w:p>
    <w:p>
      <w:pPr>
        <w:spacing w:after="16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11.3 Couches (Layers)</w:t>
      </w:r>
    </w:p>
    <w:p>
      <w:pPr>
        <w:spacing w:after="100" w:before="60"/>
      </w:pPr>
      <w:r>
        <w:rPr>
          <w:rFonts w:ascii="Arial" w:cs="Arial" w:eastAsia="Arial" w:hAnsi="Arial"/>
          <w:color w:val="1A1A2E"/>
          <w:sz w:val="22"/>
          <w:szCs w:val="22"/>
        </w:rPr>
        <w:t xml:space="preserve">La carte propose deux couches independantes activables/desactivables via des cases a cocher :</w:t>
      </w:r>
    </w:p>
    <w:p>
      <w:pPr>
        <w:spacing w:after="160" w:before="0"/>
      </w:pPr>
      <w:r>
        <w:t xml:space="preserve"/>
      </w:r>
    </w:p>
    <w:tbl>
      <w:tblPr>
        <w:tblW w:type="dxa" w:w="8450"/>
        <w:tblBorders>
          <w:top w:val="single" w:color="BDD5F0" w:sz="1"/>
          <w:left w:val="single" w:color="BDD5F0" w:sz="1"/>
          <w:bottom w:val="single" w:color="BDD5F0" w:sz="1"/>
          <w:right w:val="single" w:color="BDD5F0" w:sz="1"/>
          <w:insideH w:val="single" w:color="BDD5F0" w:sz="1"/>
          <w:insideV w:val="single" w:color="BDD5F0" w:sz="1"/>
        </w:tblBorders>
      </w:tblPr>
      <w:tblGrid>
        <w:gridCol w:w="2112"/>
        <w:gridCol w:w="2112"/>
        <w:gridCol w:w="2112"/>
        <w:gridCol w:w="2114"/>
      </w:tblGrid>
      <w:tr>
        <w:trPr>
          <w:tblHeader/>
        </w:trPr>
        <w:tc>
          <w:tcPr>
            <w:tcW w:type="dxa" w:w="2112"/>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Couche</w:t>
            </w:r>
          </w:p>
        </w:tc>
        <w:tc>
          <w:tcPr>
            <w:tcW w:type="dxa" w:w="2112"/>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Symbole</w:t>
            </w:r>
          </w:p>
        </w:tc>
        <w:tc>
          <w:tcPr>
            <w:tcW w:type="dxa" w:w="2112"/>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Description</w:t>
            </w:r>
          </w:p>
        </w:tc>
        <w:tc>
          <w:tcPr>
            <w:tcW w:type="dxa" w:w="2114"/>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Couleur</w:t>
            </w:r>
          </w:p>
        </w:tc>
      </w:tr>
      <w:tr>
        <w:tc>
          <w:tcPr>
            <w:tcW w:type="dxa" w:w="2112"/>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Chantiers</w:t>
            </w:r>
          </w:p>
        </w:tc>
        <w:tc>
          <w:tcPr>
            <w:tcW w:type="dxa" w:w="2112"/>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C (cercle colore)</w:t>
            </w:r>
          </w:p>
        </w:tc>
        <w:tc>
          <w:tcPr>
            <w:tcW w:type="dxa" w:w="2112"/>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Projets de construction geolocalises avec leur stade d'avancement</w:t>
            </w:r>
          </w:p>
        </w:tc>
        <w:tc>
          <w:tcPr>
            <w:tcW w:type="dxa" w:w="2114"/>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Variable selon le stade (7 couleurs)</w:t>
            </w:r>
          </w:p>
        </w:tc>
      </w:tr>
      <w:tr>
        <w:tc>
          <w:tcPr>
            <w:tcW w:type="dxa" w:w="2112"/>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Distribution</w:t>
            </w:r>
          </w:p>
        </w:tc>
        <w:tc>
          <w:tcPr>
            <w:tcW w:type="dxa" w:w="2112"/>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D (cercle violet)</w:t>
            </w:r>
          </w:p>
        </w:tc>
        <w:tc>
          <w:tcPr>
            <w:tcW w:type="dxa" w:w="2112"/>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Comptes distributeurs ODYSSEE avec coordonnees GPS renseignees</w:t>
            </w:r>
          </w:p>
        </w:tc>
        <w:tc>
          <w:tcPr>
            <w:tcW w:type="dxa" w:w="2114"/>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Violet fixe</w:t>
            </w:r>
          </w:p>
        </w:tc>
      </w:tr>
    </w:tbl>
    <w:p>
      <w:pPr>
        <w:spacing w:after="160" w:before="0"/>
      </w:pPr>
      <w:r>
        <w:t xml:space="preserve"/>
      </w:r>
    </w:p>
    <w:tbl>
      <w:tblPr>
        <w:tblW w:type="dxa" w:w="8450"/>
        <w:tblBorders>
          <w:top w:val="single" w:color="BDD5F0" w:sz="1"/>
          <w:left w:val="single" w:color="BDD5F0" w:sz="1"/>
          <w:bottom w:val="single" w:color="BDD5F0" w:sz="1"/>
          <w:right w:val="single" w:color="BDD5F0" w:sz="1"/>
          <w:insideH w:val="single" w:color="BDD5F0" w:sz="1"/>
          <w:insideV w:val="single" w:color="BDD5F0" w:sz="1"/>
        </w:tblBorders>
      </w:tblPr>
      <w:tblGrid>
        <w:gridCol w:w="1800"/>
        <w:gridCol w:w="6650"/>
      </w:tblGrid>
      <w:tr>
        <w:tc>
          <w:tcPr>
            <w:tcW w:type="dxa" w:w="1800"/>
            <w:tcBorders>
              <w:top w:val="single" w:color="BDD5F0" w:sz="1"/>
              <w:left w:val="single" w:color="BDD5F0" w:sz="1"/>
              <w:bottom w:val="single" w:color="BDD5F0" w:sz="1"/>
              <w:right w:val="single" w:color="BDD5F0" w:sz="1"/>
            </w:tcBorders>
            <w:shd w:fill="2D5F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Astuce</w:t>
            </w:r>
          </w:p>
        </w:tc>
        <w:tc>
          <w:tcPr>
            <w:tcW w:type="dxa" w:w="6650"/>
            <w:tcBorders>
              <w:top w:val="single" w:color="BDD5F0" w:sz="1"/>
              <w:left w:val="single" w:color="BDD5F0" w:sz="1"/>
              <w:bottom w:val="single" w:color="BDD5F0" w:sz="1"/>
              <w:right w:val="single" w:color="BDD5F0" w:sz="1"/>
            </w:tcBorders>
            <w:shd w:fill="EBF2FB" w:val="clear"/>
            <w:tcMar>
              <w:top w:type="dxa" w:w="80"/>
              <w:left w:type="dxa" w:w="160"/>
              <w:bottom w:type="dxa" w:w="80"/>
              <w:right w:type="dxa" w:w="120"/>
            </w:tcMar>
          </w:tcPr>
          <w:p>
            <w:r>
              <w:rPr>
                <w:rFonts w:ascii="Arial" w:cs="Arial" w:eastAsia="Arial" w:hAnsi="Arial"/>
                <w:color w:val="1A1A2E"/>
                <w:sz w:val="22"/>
                <w:szCs w:val="22"/>
              </w:rPr>
              <w:t xml:space="preserve">Le compteur entre parentheses indique le nombre d'elements geolocalises. Ex: "Chantiers (47)" = 47 chantiers ont des coordonnees GPS valides.</w:t>
            </w:r>
          </w:p>
        </w:tc>
      </w:tr>
    </w:tbl>
    <w:p>
      <w:pPr>
        <w:spacing w:after="16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11.4 Stades des Chantiers - Codes Couleur</w:t>
      </w:r>
    </w:p>
    <w:p>
      <w:pPr>
        <w:spacing w:after="100" w:before="60"/>
      </w:pPr>
      <w:r>
        <w:rPr>
          <w:rFonts w:ascii="Arial" w:cs="Arial" w:eastAsia="Arial" w:hAnsi="Arial"/>
          <w:color w:val="1A1A2E"/>
          <w:sz w:val="22"/>
          <w:szCs w:val="22"/>
        </w:rPr>
        <w:t xml:space="preserve">Les marqueurs Chantiers sont codes par couleur selon leur stade d'avancement dans le projet :</w:t>
      </w:r>
    </w:p>
    <w:p>
      <w:pPr>
        <w:spacing w:after="160" w:before="0"/>
      </w:pPr>
      <w:r>
        <w:t xml:space="preserve"/>
      </w:r>
    </w:p>
    <w:tbl>
      <w:tblPr>
        <w:tblW w:type="dxa" w:w="8450"/>
        <w:tblBorders>
          <w:top w:val="single" w:color="BDD5F0" w:sz="1"/>
          <w:left w:val="single" w:color="BDD5F0" w:sz="1"/>
          <w:bottom w:val="single" w:color="BDD5F0" w:sz="1"/>
          <w:right w:val="single" w:color="BDD5F0" w:sz="1"/>
          <w:insideH w:val="single" w:color="BDD5F0" w:sz="1"/>
          <w:insideV w:val="single" w:color="BDD5F0" w:sz="1"/>
        </w:tblBorders>
      </w:tblPr>
      <w:tblGrid>
        <w:gridCol w:w="2112"/>
        <w:gridCol w:w="2112"/>
        <w:gridCol w:w="2112"/>
        <w:gridCol w:w="2114"/>
      </w:tblGrid>
      <w:tr>
        <w:trPr>
          <w:tblHeader/>
        </w:trPr>
        <w:tc>
          <w:tcPr>
            <w:tcW w:type="dxa" w:w="2112"/>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Stade</w:t>
            </w:r>
          </w:p>
        </w:tc>
        <w:tc>
          <w:tcPr>
            <w:tcW w:type="dxa" w:w="2112"/>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Code Technique</w:t>
            </w:r>
          </w:p>
        </w:tc>
        <w:tc>
          <w:tcPr>
            <w:tcW w:type="dxa" w:w="2112"/>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Couleur</w:t>
            </w:r>
          </w:p>
        </w:tc>
        <w:tc>
          <w:tcPr>
            <w:tcW w:type="dxa" w:w="2114"/>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Description</w:t>
            </w:r>
          </w:p>
        </w:tc>
      </w:tr>
      <w:tr>
        <w:tc>
          <w:tcPr>
            <w:tcW w:type="dxa" w:w="2112"/>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Etude / Conception</w:t>
            </w:r>
          </w:p>
        </w:tc>
        <w:tc>
          <w:tcPr>
            <w:tcW w:type="dxa" w:w="2112"/>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ETUDE_CONCEPTION</w:t>
            </w:r>
          </w:p>
        </w:tc>
        <w:tc>
          <w:tcPr>
            <w:tcW w:type="dxa" w:w="2112"/>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Bleu (#1890ff)</w:t>
            </w:r>
          </w:p>
        </w:tc>
        <w:tc>
          <w:tcPr>
            <w:tcW w:type="dxa" w:w="2114"/>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Phase de conception et d'etudes techniques</w:t>
            </w:r>
          </w:p>
        </w:tc>
      </w:tr>
      <w:tr>
        <w:tc>
          <w:tcPr>
            <w:tcW w:type="dxa" w:w="2112"/>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Autorisation</w:t>
            </w:r>
          </w:p>
        </w:tc>
        <w:tc>
          <w:tcPr>
            <w:tcW w:type="dxa" w:w="2112"/>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AUTORISATION</w:t>
            </w:r>
          </w:p>
        </w:tc>
        <w:tc>
          <w:tcPr>
            <w:tcW w:type="dxa" w:w="2112"/>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Bleu fonce (#2f54eb)</w:t>
            </w:r>
          </w:p>
        </w:tc>
        <w:tc>
          <w:tcPr>
            <w:tcW w:type="dxa" w:w="2114"/>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Obtention des permis et autorisations administratives</w:t>
            </w:r>
          </w:p>
        </w:tc>
      </w:tr>
      <w:tr>
        <w:tc>
          <w:tcPr>
            <w:tcW w:type="dxa" w:w="2112"/>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Gros oeuvre</w:t>
            </w:r>
          </w:p>
        </w:tc>
        <w:tc>
          <w:tcPr>
            <w:tcW w:type="dxa" w:w="2112"/>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GROS_OEUVRE</w:t>
            </w:r>
          </w:p>
        </w:tc>
        <w:tc>
          <w:tcPr>
            <w:tcW w:type="dxa" w:w="2112"/>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Orange (#fa8c16)</w:t>
            </w:r>
          </w:p>
        </w:tc>
        <w:tc>
          <w:tcPr>
            <w:tcW w:type="dxa" w:w="2114"/>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Travaux de structure : fondations, murs, toiture</w:t>
            </w:r>
          </w:p>
        </w:tc>
      </w:tr>
      <w:tr>
        <w:tc>
          <w:tcPr>
            <w:tcW w:type="dxa" w:w="2112"/>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Second oeuvre</w:t>
            </w:r>
          </w:p>
        </w:tc>
        <w:tc>
          <w:tcPr>
            <w:tcW w:type="dxa" w:w="2112"/>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SECOND_OEUVRE</w:t>
            </w:r>
          </w:p>
        </w:tc>
        <w:tc>
          <w:tcPr>
            <w:tcW w:type="dxa" w:w="2112"/>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Orange clair (#faad14)</w:t>
            </w:r>
          </w:p>
        </w:tc>
        <w:tc>
          <w:tcPr>
            <w:tcW w:type="dxa" w:w="2114"/>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Amenagements interieurs et finitions</w:t>
            </w:r>
          </w:p>
        </w:tc>
      </w:tr>
      <w:tr>
        <w:tc>
          <w:tcPr>
            <w:tcW w:type="dxa" w:w="2112"/>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Phase equipement</w:t>
            </w:r>
          </w:p>
        </w:tc>
        <w:tc>
          <w:tcPr>
            <w:tcW w:type="dxa" w:w="2112"/>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PHASE_EQUIPEMENT</w:t>
            </w:r>
          </w:p>
        </w:tc>
        <w:tc>
          <w:tcPr>
            <w:tcW w:type="dxa" w:w="2112"/>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Vert clair (#a0d911)</w:t>
            </w:r>
          </w:p>
        </w:tc>
        <w:tc>
          <w:tcPr>
            <w:tcW w:type="dxa" w:w="2114"/>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Installation des equipements et systemes techniques</w:t>
            </w:r>
          </w:p>
        </w:tc>
      </w:tr>
      <w:tr>
        <w:tc>
          <w:tcPr>
            <w:tcW w:type="dxa" w:w="2112"/>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Livraison</w:t>
            </w:r>
          </w:p>
        </w:tc>
        <w:tc>
          <w:tcPr>
            <w:tcW w:type="dxa" w:w="2112"/>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LIVRAISON</w:t>
            </w:r>
          </w:p>
        </w:tc>
        <w:tc>
          <w:tcPr>
            <w:tcW w:type="dxa" w:w="2112"/>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Vert (#52c41a)</w:t>
            </w:r>
          </w:p>
        </w:tc>
        <w:tc>
          <w:tcPr>
            <w:tcW w:type="dxa" w:w="2114"/>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Chantier pret pour la livraison au client</w:t>
            </w:r>
          </w:p>
        </w:tc>
      </w:tr>
      <w:tr>
        <w:tc>
          <w:tcPr>
            <w:tcW w:type="dxa" w:w="2112"/>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Cloture</w:t>
            </w:r>
          </w:p>
        </w:tc>
        <w:tc>
          <w:tcPr>
            <w:tcW w:type="dxa" w:w="2112"/>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CLOTURE</w:t>
            </w:r>
          </w:p>
        </w:tc>
        <w:tc>
          <w:tcPr>
            <w:tcW w:type="dxa" w:w="2112"/>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Gris (#8c8c8c)</w:t>
            </w:r>
          </w:p>
        </w:tc>
        <w:tc>
          <w:tcPr>
            <w:tcW w:type="dxa" w:w="2114"/>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Chantier termine et administrativement clos</w:t>
            </w:r>
          </w:p>
        </w:tc>
      </w:tr>
    </w:tbl>
    <w:p>
      <w:pPr>
        <w:spacing w:after="160" w:before="0"/>
      </w:pPr>
      <w:r>
        <w:t xml:space="preserve"/>
      </w:r>
    </w:p>
    <w:tbl>
      <w:tblPr>
        <w:tblW w:type="dxa" w:w="8450"/>
        <w:tblBorders>
          <w:top w:val="single" w:color="BDD5F0" w:sz="1"/>
          <w:left w:val="single" w:color="BDD5F0" w:sz="1"/>
          <w:bottom w:val="single" w:color="BDD5F0" w:sz="1"/>
          <w:right w:val="single" w:color="BDD5F0" w:sz="1"/>
          <w:insideH w:val="single" w:color="BDD5F0" w:sz="1"/>
          <w:insideV w:val="single" w:color="BDD5F0" w:sz="1"/>
        </w:tblBorders>
      </w:tblPr>
      <w:tblGrid>
        <w:gridCol w:w="1800"/>
        <w:gridCol w:w="6650"/>
      </w:tblGrid>
      <w:tr>
        <w:tc>
          <w:tcPr>
            <w:tcW w:type="dxa" w:w="1800"/>
            <w:tcBorders>
              <w:top w:val="single" w:color="BDD5F0" w:sz="1"/>
              <w:left w:val="single" w:color="BDD5F0" w:sz="1"/>
              <w:bottom w:val="single" w:color="BDD5F0" w:sz="1"/>
              <w:right w:val="single" w:color="BDD5F0" w:sz="1"/>
            </w:tcBorders>
            <w:shd w:fill="2D5F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Legende</w:t>
            </w:r>
          </w:p>
        </w:tc>
        <w:tc>
          <w:tcPr>
            <w:tcW w:type="dxa" w:w="6650"/>
            <w:tcBorders>
              <w:top w:val="single" w:color="BDD5F0" w:sz="1"/>
              <w:left w:val="single" w:color="BDD5F0" w:sz="1"/>
              <w:bottom w:val="single" w:color="BDD5F0" w:sz="1"/>
              <w:right w:val="single" w:color="BDD5F0" w:sz="1"/>
            </w:tcBorders>
            <w:shd w:fill="EBF2FB" w:val="clear"/>
            <w:tcMar>
              <w:top w:type="dxa" w:w="80"/>
              <w:left w:type="dxa" w:w="160"/>
              <w:bottom w:type="dxa" w:w="80"/>
              <w:right w:type="dxa" w:w="120"/>
            </w:tcMar>
          </w:tcPr>
          <w:p>
            <w:r>
              <w:rPr>
                <w:rFonts w:ascii="Arial" w:cs="Arial" w:eastAsia="Arial" w:hAnsi="Arial"/>
                <w:color w:val="1A1A2E"/>
                <w:sz w:val="22"/>
                <w:szCs w:val="22"/>
              </w:rPr>
              <w:t xml:space="preserve">Une legende permanente en bas de la carte affiche tous les codes couleur de stades pour reference rapide lors de la navigation.</w:t>
            </w:r>
          </w:p>
        </w:tc>
      </w:tr>
    </w:tbl>
    <w:p>
      <w:pPr>
        <w:spacing w:after="16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11.5 Filtres par Stade Chantier</w:t>
      </w:r>
    </w:p>
    <w:p>
      <w:pPr>
        <w:spacing w:after="100" w:before="60"/>
      </w:pPr>
      <w:r>
        <w:rPr>
          <w:rFonts w:ascii="Arial" w:cs="Arial" w:eastAsia="Arial" w:hAnsi="Arial"/>
          <w:color w:val="1A1A2E"/>
          <w:sz w:val="22"/>
          <w:szCs w:val="22"/>
        </w:rPr>
        <w:t xml:space="preserve">Le panneau "Stade Chantier" (visible uniquement quand la couche Chantiers est activee) permet de filtrer les marqueurs affiches :</w:t>
      </w:r>
    </w:p>
    <w:p>
      <w:pPr>
        <w:numPr>
          <w:ilvl w:val="0"/>
          <w:numId w:val="1"/>
        </w:numPr>
        <w:spacing w:after="40" w:before="40"/>
      </w:pPr>
      <w:r>
        <w:rPr>
          <w:rFonts w:ascii="Arial" w:cs="Arial" w:eastAsia="Arial" w:hAnsi="Arial"/>
          <w:color w:val="1A1A2E"/>
          <w:sz w:val="22"/>
          <w:szCs w:val="22"/>
        </w:rPr>
        <w:t xml:space="preserve">Activer ou desactiver chaque stade independamment via sa case a cocher</w:t>
      </w:r>
    </w:p>
    <w:p>
      <w:pPr>
        <w:numPr>
          <w:ilvl w:val="0"/>
          <w:numId w:val="1"/>
        </w:numPr>
        <w:spacing w:after="40" w:before="40"/>
      </w:pPr>
      <w:r>
        <w:rPr>
          <w:rFonts w:ascii="Arial" w:cs="Arial" w:eastAsia="Arial" w:hAnsi="Arial"/>
          <w:color w:val="1A1A2E"/>
          <w:sz w:val="22"/>
          <w:szCs w:val="22"/>
        </w:rPr>
        <w:t xml:space="preserve">Bouton "Tous" : selectionner tous les stades en un clic</w:t>
      </w:r>
    </w:p>
    <w:p>
      <w:pPr>
        <w:numPr>
          <w:ilvl w:val="0"/>
          <w:numId w:val="1"/>
        </w:numPr>
        <w:spacing w:after="40" w:before="40"/>
      </w:pPr>
      <w:r>
        <w:rPr>
          <w:rFonts w:ascii="Arial" w:cs="Arial" w:eastAsia="Arial" w:hAnsi="Arial"/>
          <w:color w:val="1A1A2E"/>
          <w:sz w:val="22"/>
          <w:szCs w:val="22"/>
        </w:rPr>
        <w:t xml:space="preserve">Bouton "Aucun" : masquer tous les stades en un clic</w:t>
      </w:r>
    </w:p>
    <w:p>
      <w:pPr>
        <w:numPr>
          <w:ilvl w:val="0"/>
          <w:numId w:val="1"/>
        </w:numPr>
        <w:spacing w:after="40" w:before="40"/>
      </w:pPr>
      <w:r>
        <w:rPr>
          <w:rFonts w:ascii="Arial" w:cs="Arial" w:eastAsia="Arial" w:hAnsi="Arial"/>
          <w:color w:val="1A1A2E"/>
          <w:sz w:val="22"/>
          <w:szCs w:val="22"/>
        </w:rPr>
        <w:t xml:space="preserve">Badge colore affichant le nombre de chantiers par stade</w:t>
      </w:r>
    </w:p>
    <w:p>
      <w:pPr>
        <w:numPr>
          <w:ilvl w:val="0"/>
          <w:numId w:val="1"/>
        </w:numPr>
        <w:spacing w:after="40" w:before="40"/>
      </w:pPr>
      <w:r>
        <w:rPr>
          <w:rFonts w:ascii="Arial" w:cs="Arial" w:eastAsia="Arial" w:hAnsi="Arial"/>
          <w:color w:val="1A1A2E"/>
          <w:sz w:val="22"/>
          <w:szCs w:val="22"/>
        </w:rPr>
        <w:t xml:space="preserve">Les stades desactives apparaissent a 40% d'opacite dans le panneau</w:t>
      </w:r>
    </w:p>
    <w:p>
      <w:pPr>
        <w:spacing w:after="16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11.6 Statistiques en Temps Reel</w:t>
      </w:r>
    </w:p>
    <w:p>
      <w:pPr>
        <w:spacing w:after="100" w:before="60"/>
      </w:pPr>
      <w:r>
        <w:rPr>
          <w:rFonts w:ascii="Arial" w:cs="Arial" w:eastAsia="Arial" w:hAnsi="Arial"/>
          <w:color w:val="1A1A2E"/>
          <w:sz w:val="22"/>
          <w:szCs w:val="22"/>
        </w:rPr>
        <w:t xml:space="preserve">Le panneau "Statistiques" se met a jour automatiquement en fonction des filtres actifs :</w:t>
      </w:r>
    </w:p>
    <w:p>
      <w:pPr>
        <w:numPr>
          <w:ilvl w:val="0"/>
          <w:numId w:val="1"/>
        </w:numPr>
        <w:spacing w:after="40" w:before="40"/>
      </w:pPr>
      <w:r>
        <w:rPr>
          <w:rFonts w:ascii="Arial" w:cs="Arial" w:eastAsia="Arial" w:hAnsi="Arial"/>
          <w:color w:val="1A1A2E"/>
          <w:sz w:val="22"/>
          <w:szCs w:val="22"/>
        </w:rPr>
        <w:t xml:space="preserve">Nombre total de Chantiers actuellement affiches sur la carte</w:t>
      </w:r>
    </w:p>
    <w:p>
      <w:pPr>
        <w:numPr>
          <w:ilvl w:val="0"/>
          <w:numId w:val="1"/>
        </w:numPr>
        <w:spacing w:after="40" w:before="40"/>
      </w:pPr>
      <w:r>
        <w:rPr>
          <w:rFonts w:ascii="Arial" w:cs="Arial" w:eastAsia="Arial" w:hAnsi="Arial"/>
          <w:color w:val="1A1A2E"/>
          <w:sz w:val="22"/>
          <w:szCs w:val="22"/>
        </w:rPr>
        <w:t xml:space="preserve">Nombre total de comptes Distribution affiches</w:t>
      </w:r>
    </w:p>
    <w:p>
      <w:pPr>
        <w:numPr>
          <w:ilvl w:val="0"/>
          <w:numId w:val="1"/>
        </w:numPr>
        <w:spacing w:after="40" w:before="40"/>
      </w:pPr>
      <w:r>
        <w:rPr>
          <w:rFonts w:ascii="Arial" w:cs="Arial" w:eastAsia="Arial" w:hAnsi="Arial"/>
          <w:color w:val="1A1A2E"/>
          <w:sz w:val="22"/>
          <w:szCs w:val="22"/>
        </w:rPr>
        <w:t xml:space="preserve">Repartition des chantiers par stade avec barres de progression colorees</w:t>
      </w:r>
    </w:p>
    <w:p>
      <w:pPr>
        <w:spacing w:after="16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11.7 Fonctionnalite de Proximite GPS</w:t>
      </w:r>
    </w:p>
    <w:p>
      <w:pPr>
        <w:spacing w:after="100" w:before="60"/>
      </w:pPr>
      <w:r>
        <w:rPr>
          <w:rFonts w:ascii="Arial" w:cs="Arial" w:eastAsia="Arial" w:hAnsi="Arial"/>
          <w:color w:val="1A1A2E"/>
          <w:sz w:val="22"/>
          <w:szCs w:val="22"/>
        </w:rPr>
        <w:t xml:space="preserve">La section "Proximite GPS" permet de filtrer les elements geographiques en fonction de votre position actuelle. Cette fonctionnalite necessite l'autorisation de geolocalisation dans le navigateur.</w:t>
      </w:r>
    </w:p>
    <w:p>
      <w:pPr>
        <w:spacing w:after="160" w:before="0"/>
      </w:pPr>
      <w:r>
        <w:t xml:space="preserve"/>
      </w:r>
    </w:p>
    <w:p>
      <w:pPr>
        <w:pStyle w:val="Heading3"/>
        <w:spacing w:after="80" w:before="220"/>
      </w:pPr>
      <w:r>
        <w:rPr>
          <w:rFonts w:ascii="Arial" w:cs="Arial" w:eastAsia="Arial" w:hAnsi="Arial"/>
          <w:b/>
          <w:bCs/>
          <w:color w:val="2D5FA8"/>
          <w:sz w:val="24"/>
          <w:szCs w:val="24"/>
        </w:rPr>
        <w:t xml:space="preserve">Etapes d'utilisation</w:t>
      </w:r>
    </w:p>
    <w:p>
      <w:pPr>
        <w:numPr>
          <w:ilvl w:val="0"/>
          <w:numId w:val="1"/>
        </w:numPr>
        <w:spacing w:after="40" w:before="40"/>
      </w:pPr>
      <w:r>
        <w:rPr>
          <w:rFonts w:ascii="Arial" w:cs="Arial" w:eastAsia="Arial" w:hAnsi="Arial"/>
          <w:color w:val="1A1A2E"/>
          <w:sz w:val="22"/>
          <w:szCs w:val="22"/>
        </w:rPr>
        <w:t xml:space="preserve">Etape 1 : Autoriser l'acces a votre position dans la boite de dialogue du navigateur</w:t>
      </w:r>
    </w:p>
    <w:p>
      <w:pPr>
        <w:numPr>
          <w:ilvl w:val="0"/>
          <w:numId w:val="1"/>
        </w:numPr>
        <w:spacing w:after="40" w:before="40"/>
      </w:pPr>
      <w:r>
        <w:rPr>
          <w:rFonts w:ascii="Arial" w:cs="Arial" w:eastAsia="Arial" w:hAnsi="Arial"/>
          <w:color w:val="1A1A2E"/>
          <w:sz w:val="22"/>
          <w:szCs w:val="22"/>
        </w:rPr>
        <w:t xml:space="preserve">Etape 2 : Cliquer sur "Chantiers proches" ou "Distribution proche"</w:t>
      </w:r>
    </w:p>
    <w:p>
      <w:pPr>
        <w:numPr>
          <w:ilvl w:val="0"/>
          <w:numId w:val="1"/>
        </w:numPr>
        <w:spacing w:after="40" w:before="40"/>
      </w:pPr>
      <w:r>
        <w:rPr>
          <w:rFonts w:ascii="Arial" w:cs="Arial" w:eastAsia="Arial" w:hAnsi="Arial"/>
          <w:color w:val="1A1A2E"/>
          <w:sz w:val="22"/>
          <w:szCs w:val="22"/>
        </w:rPr>
        <w:t xml:space="preserve">Etape 3 : Ajuster le rayon de recherche avec le curseur (5 a 100 km, pas de 5 km)</w:t>
      </w:r>
    </w:p>
    <w:p>
      <w:pPr>
        <w:numPr>
          <w:ilvl w:val="0"/>
          <w:numId w:val="1"/>
        </w:numPr>
        <w:spacing w:after="40" w:before="40"/>
      </w:pPr>
      <w:r>
        <w:rPr>
          <w:rFonts w:ascii="Arial" w:cs="Arial" w:eastAsia="Arial" w:hAnsi="Arial"/>
          <w:color w:val="1A1A2E"/>
          <w:sz w:val="22"/>
          <w:szCs w:val="22"/>
        </w:rPr>
        <w:t xml:space="preserve">Etape 4 : La carte zoome sur votre position avec animation et affiche le cercle de rayon</w:t>
      </w:r>
    </w:p>
    <w:p>
      <w:pPr>
        <w:numPr>
          <w:ilvl w:val="0"/>
          <w:numId w:val="1"/>
        </w:numPr>
        <w:spacing w:after="40" w:before="40"/>
      </w:pPr>
      <w:r>
        <w:rPr>
          <w:rFonts w:ascii="Arial" w:cs="Arial" w:eastAsia="Arial" w:hAnsi="Arial"/>
          <w:color w:val="1A1A2E"/>
          <w:sz w:val="22"/>
          <w:szCs w:val="22"/>
        </w:rPr>
        <w:t xml:space="preserve">Etape 5 : Seuls les elements dans le rayon defini sont affiches</w:t>
      </w:r>
    </w:p>
    <w:p>
      <w:pPr>
        <w:numPr>
          <w:ilvl w:val="0"/>
          <w:numId w:val="1"/>
        </w:numPr>
        <w:spacing w:after="40" w:before="40"/>
      </w:pPr>
      <w:r>
        <w:rPr>
          <w:rFonts w:ascii="Arial" w:cs="Arial" w:eastAsia="Arial" w:hAnsi="Arial"/>
          <w:color w:val="1A1A2E"/>
          <w:sz w:val="22"/>
          <w:szCs w:val="22"/>
        </w:rPr>
        <w:t xml:space="preserve">Etape 6 : Cliquer sur "Reinitialiser" pour desactiver le mode proximite</w:t>
      </w:r>
    </w:p>
    <w:p>
      <w:pPr>
        <w:spacing w:after="160" w:before="0"/>
      </w:pPr>
      <w:r>
        <w:t xml:space="preserve"/>
      </w:r>
    </w:p>
    <w:tbl>
      <w:tblPr>
        <w:tblW w:type="dxa" w:w="8450"/>
        <w:tblBorders>
          <w:top w:val="single" w:color="BDD5F0" w:sz="1"/>
          <w:left w:val="single" w:color="BDD5F0" w:sz="1"/>
          <w:bottom w:val="single" w:color="BDD5F0" w:sz="1"/>
          <w:right w:val="single" w:color="BDD5F0" w:sz="1"/>
          <w:insideH w:val="single" w:color="BDD5F0" w:sz="1"/>
          <w:insideV w:val="single" w:color="BDD5F0" w:sz="1"/>
        </w:tblBorders>
      </w:tblPr>
      <w:tblGrid>
        <w:gridCol w:w="2816"/>
        <w:gridCol w:w="2816"/>
        <w:gridCol w:w="2818"/>
      </w:tblGrid>
      <w:tr>
        <w:trPr>
          <w:tblHeader/>
        </w:trPr>
        <w:tc>
          <w:tcPr>
            <w:tcW w:type="dxa" w:w="2816"/>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Parametre GPS</w:t>
            </w:r>
          </w:p>
        </w:tc>
        <w:tc>
          <w:tcPr>
            <w:tcW w:type="dxa" w:w="2816"/>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Valeur</w:t>
            </w:r>
          </w:p>
        </w:tc>
        <w:tc>
          <w:tcPr>
            <w:tcW w:type="dxa" w:w="2818"/>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Description</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Rayon minimum</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5 km</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Distance de recherche la plus courte disponible</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Rayon maximum</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100 km</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Distance de recherche la plus large disponible</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Pas du curseur</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5 km</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Increment de reglage du curseur de rayon</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Cercle visuel</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Bleu pointille</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Zone de proximite affichee sur la carte</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Marqueur position</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Cercle bleu pulsant anime</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Votre position geographique actuelle sur la carte</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Distance affichee</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En km depuis votre position</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Visible dans les popups des marqueurs</w:t>
            </w:r>
          </w:p>
        </w:tc>
      </w:tr>
    </w:tbl>
    <w:p>
      <w:pPr>
        <w:spacing w:after="16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11.8 Popups des Marqueurs</w:t>
      </w:r>
    </w:p>
    <w:p>
      <w:pPr>
        <w:spacing w:after="100" w:before="60"/>
      </w:pPr>
      <w:r>
        <w:rPr>
          <w:rFonts w:ascii="Arial" w:cs="Arial" w:eastAsia="Arial" w:hAnsi="Arial"/>
          <w:color w:val="1A1A2E"/>
          <w:sz w:val="22"/>
          <w:szCs w:val="22"/>
        </w:rPr>
        <w:t xml:space="preserve">Cliquez sur n'importe quel marqueur pour afficher sa fiche contextuelle. Le contenu varie selon le type :</w:t>
      </w:r>
    </w:p>
    <w:p>
      <w:pPr>
        <w:spacing w:after="160" w:before="0"/>
      </w:pPr>
      <w:r>
        <w:t xml:space="preserve"/>
      </w:r>
    </w:p>
    <w:p>
      <w:pPr>
        <w:pStyle w:val="Heading3"/>
        <w:spacing w:after="80" w:before="220"/>
      </w:pPr>
      <w:r>
        <w:rPr>
          <w:rFonts w:ascii="Arial" w:cs="Arial" w:eastAsia="Arial" w:hAnsi="Arial"/>
          <w:b/>
          <w:bCs/>
          <w:color w:val="2D5FA8"/>
          <w:sz w:val="24"/>
          <w:szCs w:val="24"/>
        </w:rPr>
        <w:t xml:space="preserve">Popup d'un Chantier</w:t>
      </w:r>
    </w:p>
    <w:tbl>
      <w:tblPr>
        <w:tblW w:type="dxa" w:w="8450"/>
        <w:tblBorders>
          <w:top w:val="single" w:color="BDD5F0" w:sz="1"/>
          <w:left w:val="single" w:color="BDD5F0" w:sz="1"/>
          <w:bottom w:val="single" w:color="BDD5F0" w:sz="1"/>
          <w:right w:val="single" w:color="BDD5F0" w:sz="1"/>
          <w:insideH w:val="single" w:color="BDD5F0" w:sz="1"/>
          <w:insideV w:val="single" w:color="BDD5F0" w:sz="1"/>
        </w:tblBorders>
      </w:tblPr>
      <w:tblGrid>
        <w:gridCol w:w="4225"/>
        <w:gridCol w:w="4225"/>
      </w:tblGrid>
      <w:tr>
        <w:trPr>
          <w:tblHeader/>
        </w:trPr>
        <w:tc>
          <w:tcPr>
            <w:tcW w:type="dxa" w:w="4225"/>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Information</w:t>
            </w:r>
          </w:p>
        </w:tc>
        <w:tc>
          <w:tcPr>
            <w:tcW w:type="dxa" w:w="4225"/>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Description</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Nom du chantier</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Intitule complet du projet</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Distance</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Distance depuis votre position GPS (si geolocalisation active)</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Ville / Prefecture</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Localisation administrative du chantier</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Stade actuel</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Badge colore indiquant l'etape du projet</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Statut</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Statut general du chantier</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Nombre d'unites</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Quantite d'unites du chantier</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Lien detail</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Lien cliquable vers la fiche complete du chantier</w:t>
            </w:r>
          </w:p>
        </w:tc>
      </w:tr>
    </w:tbl>
    <w:p>
      <w:pPr>
        <w:spacing w:after="160" w:before="0"/>
      </w:pPr>
      <w:r>
        <w:t xml:space="preserve"/>
      </w:r>
    </w:p>
    <w:p>
      <w:pPr>
        <w:pStyle w:val="Heading3"/>
        <w:spacing w:after="80" w:before="220"/>
      </w:pPr>
      <w:r>
        <w:rPr>
          <w:rFonts w:ascii="Arial" w:cs="Arial" w:eastAsia="Arial" w:hAnsi="Arial"/>
          <w:b/>
          <w:bCs/>
          <w:color w:val="2D5FA8"/>
          <w:sz w:val="24"/>
          <w:szCs w:val="24"/>
        </w:rPr>
        <w:t xml:space="preserve">Popup d'un Compte Distribution</w:t>
      </w:r>
    </w:p>
    <w:tbl>
      <w:tblPr>
        <w:tblW w:type="dxa" w:w="8450"/>
        <w:tblBorders>
          <w:top w:val="single" w:color="BDD5F0" w:sz="1"/>
          <w:left w:val="single" w:color="BDD5F0" w:sz="1"/>
          <w:bottom w:val="single" w:color="BDD5F0" w:sz="1"/>
          <w:right w:val="single" w:color="BDD5F0" w:sz="1"/>
          <w:insideH w:val="single" w:color="BDD5F0" w:sz="1"/>
          <w:insideV w:val="single" w:color="BDD5F0" w:sz="1"/>
        </w:tblBorders>
      </w:tblPr>
      <w:tblGrid>
        <w:gridCol w:w="4225"/>
        <w:gridCol w:w="4225"/>
      </w:tblGrid>
      <w:tr>
        <w:trPr>
          <w:tblHeader/>
        </w:trPr>
        <w:tc>
          <w:tcPr>
            <w:tcW w:type="dxa" w:w="4225"/>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Information</w:t>
            </w:r>
          </w:p>
        </w:tc>
        <w:tc>
          <w:tcPr>
            <w:tcW w:type="dxa" w:w="4225"/>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Description</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Nom du compte</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Raison sociale du distributeur</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Distance</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Distance depuis votre position GPS (si geolocalisation active)</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Ville / Pays</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Localisation du distributeur</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Statut du compte</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Badge colore selon le type de compte (Client, Prospect, etc.)</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Lien detail</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Lien cliquable vers la fiche complete du compte</w:t>
            </w:r>
          </w:p>
        </w:tc>
      </w:tr>
    </w:tbl>
    <w:p>
      <w:pPr>
        <w:spacing w:after="16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11.9 Navigation et Controles de la Carte</w:t>
      </w:r>
    </w:p>
    <w:tbl>
      <w:tblPr>
        <w:tblW w:type="dxa" w:w="8450"/>
        <w:tblBorders>
          <w:top w:val="single" w:color="BDD5F0" w:sz="1"/>
          <w:left w:val="single" w:color="BDD5F0" w:sz="1"/>
          <w:bottom w:val="single" w:color="BDD5F0" w:sz="1"/>
          <w:right w:val="single" w:color="BDD5F0" w:sz="1"/>
          <w:insideH w:val="single" w:color="BDD5F0" w:sz="1"/>
          <w:insideV w:val="single" w:color="BDD5F0" w:sz="1"/>
        </w:tblBorders>
      </w:tblPr>
      <w:tblGrid>
        <w:gridCol w:w="2816"/>
        <w:gridCol w:w="2816"/>
        <w:gridCol w:w="2818"/>
      </w:tblGrid>
      <w:tr>
        <w:trPr>
          <w:tblHeader/>
        </w:trPr>
        <w:tc>
          <w:tcPr>
            <w:tcW w:type="dxa" w:w="2816"/>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Action</w:t>
            </w:r>
          </w:p>
        </w:tc>
        <w:tc>
          <w:tcPr>
            <w:tcW w:type="dxa" w:w="2816"/>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Methode</w:t>
            </w:r>
          </w:p>
        </w:tc>
        <w:tc>
          <w:tcPr>
            <w:tcW w:type="dxa" w:w="2818"/>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Resultat</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Zoom avant/arriere</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Molette de la souris ou boutons +/- de la carte</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Zoome sur la zone souhaitee</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Deplacement</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Cliquer-glisser sur la carte</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Deplace la vue vers la zone souhaitee</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Centrage automatique</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Chargement initial des donnees</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La carte s'ajuste automatiquement pour inclure tous les marqueurs</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Zoom sur position GPS</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Bouton de proximite GPS</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Animation de zoom vers votre position actuelle</w:t>
            </w:r>
          </w:p>
        </w:tc>
      </w:tr>
      <w:tr>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Afficher popup</w:t>
            </w:r>
          </w:p>
        </w:tc>
        <w:tc>
          <w:tcPr>
            <w:tcW w:type="dxa" w:w="2816"/>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Clic sur un marqueur</w:t>
            </w:r>
          </w:p>
        </w:tc>
        <w:tc>
          <w:tcPr>
            <w:tcW w:type="dxa" w:w="2818"/>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Fiche contextuelle avec les informations de l'element</w:t>
            </w:r>
          </w:p>
        </w:tc>
      </w:tr>
      <w:tr>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Fermer popup</w:t>
            </w:r>
          </w:p>
        </w:tc>
        <w:tc>
          <w:tcPr>
            <w:tcW w:type="dxa" w:w="2816"/>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Clic en dehors du popup ou sur la croix</w:t>
            </w:r>
          </w:p>
        </w:tc>
        <w:tc>
          <w:tcPr>
            <w:tcW w:type="dxa" w:w="2818"/>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Ferme la fiche contextuelle</w:t>
            </w:r>
          </w:p>
        </w:tc>
      </w:tr>
    </w:tbl>
    <w:p>
      <w:pPr>
        <w:spacing w:after="16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11.10 Analyse Geographique IA</w:t>
      </w:r>
    </w:p>
    <w:p>
      <w:pPr>
        <w:spacing w:after="100" w:before="60"/>
      </w:pPr>
      <w:r>
        <w:rPr>
          <w:rFonts w:ascii="Arial" w:cs="Arial" w:eastAsia="Arial" w:hAnsi="Arial"/>
          <w:color w:val="1A1A2E"/>
          <w:sz w:val="22"/>
          <w:szCs w:val="22"/>
        </w:rPr>
        <w:t xml:space="preserve">Un bouton "Analyse IA" est disponible dans le panneau de la carte. Il ouvre un tiroir lateral avec des insights geographiques generes automatiquement par l'intelligence artificielle :</w:t>
      </w:r>
    </w:p>
    <w:p>
      <w:pPr>
        <w:spacing w:after="160" w:before="0"/>
      </w:pPr>
      <w:r>
        <w:t xml:space="preserve"/>
      </w:r>
    </w:p>
    <w:tbl>
      <w:tblPr>
        <w:tblW w:type="dxa" w:w="8450"/>
        <w:tblBorders>
          <w:top w:val="single" w:color="BDD5F0" w:sz="1"/>
          <w:left w:val="single" w:color="BDD5F0" w:sz="1"/>
          <w:bottom w:val="single" w:color="BDD5F0" w:sz="1"/>
          <w:right w:val="single" w:color="BDD5F0" w:sz="1"/>
          <w:insideH w:val="single" w:color="BDD5F0" w:sz="1"/>
          <w:insideV w:val="single" w:color="BDD5F0" w:sz="1"/>
        </w:tblBorders>
      </w:tblPr>
      <w:tblGrid>
        <w:gridCol w:w="4225"/>
        <w:gridCol w:w="4225"/>
      </w:tblGrid>
      <w:tr>
        <w:trPr>
          <w:tblHeader/>
        </w:trPr>
        <w:tc>
          <w:tcPr>
            <w:tcW w:type="dxa" w:w="4225"/>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Type d'Analyse IA</w:t>
            </w:r>
          </w:p>
        </w:tc>
        <w:tc>
          <w:tcPr>
            <w:tcW w:type="dxa" w:w="4225"/>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Description</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KPIs geographiques</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Indicateurs cles de performance par zone : concentration, couverture, densite</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Clusters detectes</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Zones de forte concentration de chantiers identifiees automatiquement</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Tournees optimisees</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Suggestions d'itineraires commerciaux efficaces pour visiter plus de chantiers</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Zones non couvertes</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Identification des zones a fort potentiel non encore prospectees par les equipes</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Recommandations</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Actions prioritaires basees sur l'analyse geographique des donnees en temps reel</w:t>
            </w:r>
          </w:p>
        </w:tc>
      </w:tr>
    </w:tbl>
    <w:p>
      <w:pPr>
        <w:spacing w:after="160" w:before="0"/>
      </w:pPr>
      <w:r>
        <w:t xml:space="preserve"/>
      </w:r>
    </w:p>
    <w:tbl>
      <w:tblPr>
        <w:tblW w:type="dxa" w:w="8450"/>
        <w:tblBorders>
          <w:top w:val="single" w:color="BDD5F0" w:sz="1"/>
          <w:left w:val="single" w:color="BDD5F0" w:sz="1"/>
          <w:bottom w:val="single" w:color="BDD5F0" w:sz="1"/>
          <w:right w:val="single" w:color="BDD5F0" w:sz="1"/>
          <w:insideH w:val="single" w:color="BDD5F0" w:sz="1"/>
          <w:insideV w:val="single" w:color="BDD5F0" w:sz="1"/>
        </w:tblBorders>
      </w:tblPr>
      <w:tblGrid>
        <w:gridCol w:w="1800"/>
        <w:gridCol w:w="6650"/>
      </w:tblGrid>
      <w:tr>
        <w:tc>
          <w:tcPr>
            <w:tcW w:type="dxa" w:w="1800"/>
            <w:tcBorders>
              <w:top w:val="single" w:color="BDD5F0" w:sz="1"/>
              <w:left w:val="single" w:color="BDD5F0" w:sz="1"/>
              <w:bottom w:val="single" w:color="BDD5F0" w:sz="1"/>
              <w:right w:val="single" w:color="BDD5F0" w:sz="1"/>
            </w:tcBorders>
            <w:shd w:fill="2D5F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Comment acceder</w:t>
            </w:r>
          </w:p>
        </w:tc>
        <w:tc>
          <w:tcPr>
            <w:tcW w:type="dxa" w:w="6650"/>
            <w:tcBorders>
              <w:top w:val="single" w:color="BDD5F0" w:sz="1"/>
              <w:left w:val="single" w:color="BDD5F0" w:sz="1"/>
              <w:bottom w:val="single" w:color="BDD5F0" w:sz="1"/>
              <w:right w:val="single" w:color="BDD5F0" w:sz="1"/>
            </w:tcBorders>
            <w:shd w:fill="EBF2FB" w:val="clear"/>
            <w:tcMar>
              <w:top w:type="dxa" w:w="80"/>
              <w:left w:type="dxa" w:w="160"/>
              <w:bottom w:type="dxa" w:w="80"/>
              <w:right w:type="dxa" w:w="120"/>
            </w:tcMar>
          </w:tcPr>
          <w:p>
            <w:r>
              <w:rPr>
                <w:rFonts w:ascii="Arial" w:cs="Arial" w:eastAsia="Arial" w:hAnsi="Arial"/>
                <w:color w:val="1A1A2E"/>
                <w:sz w:val="22"/>
                <w:szCs w:val="22"/>
              </w:rPr>
              <w:t xml:space="preserve">Cliquez sur le bouton "Analyse IA" dans la carte pour ouvrir le panneau d'analyse. Les resultats sont generes en temps reel. Un bouton "Actualiser" permet de relancer une nouvelle analyse.</w:t>
            </w:r>
          </w:p>
        </w:tc>
      </w:tr>
    </w:tbl>
    <w:p>
      <w:pPr>
        <w:spacing w:after="16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11.11 Selecteur GPS pour Formulaires</w:t>
      </w:r>
    </w:p>
    <w:p>
      <w:pPr>
        <w:spacing w:after="100" w:before="60"/>
      </w:pPr>
      <w:r>
        <w:rPr>
          <w:rFonts w:ascii="Arial" w:cs="Arial" w:eastAsia="Arial" w:hAnsi="Arial"/>
          <w:color w:val="1A1A2E"/>
          <w:sz w:val="22"/>
          <w:szCs w:val="22"/>
        </w:rPr>
        <w:t xml:space="preserve">Pour les formulaires necesitant des coordonnees GPS (creation/modification de Comptes ou de Chantiers), un selecteur GPS interactif est integre :</w:t>
      </w:r>
    </w:p>
    <w:p>
      <w:pPr>
        <w:spacing w:after="160" w:before="0"/>
      </w:pPr>
      <w:r>
        <w:t xml:space="preserve"/>
      </w:r>
    </w:p>
    <w:tbl>
      <w:tblPr>
        <w:tblW w:type="dxa" w:w="8450"/>
        <w:tblBorders>
          <w:top w:val="single" w:color="BDD5F0" w:sz="1"/>
          <w:left w:val="single" w:color="BDD5F0" w:sz="1"/>
          <w:bottom w:val="single" w:color="BDD5F0" w:sz="1"/>
          <w:right w:val="single" w:color="BDD5F0" w:sz="1"/>
          <w:insideH w:val="single" w:color="BDD5F0" w:sz="1"/>
          <w:insideV w:val="single" w:color="BDD5F0" w:sz="1"/>
        </w:tblBorders>
      </w:tblPr>
      <w:tblGrid>
        <w:gridCol w:w="4225"/>
        <w:gridCol w:w="4225"/>
      </w:tblGrid>
      <w:tr>
        <w:trPr>
          <w:tblHeader/>
        </w:trPr>
        <w:tc>
          <w:tcPr>
            <w:tcW w:type="dxa" w:w="4225"/>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Methode de Saisie</w:t>
            </w:r>
          </w:p>
        </w:tc>
        <w:tc>
          <w:tcPr>
            <w:tcW w:type="dxa" w:w="4225"/>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Description</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Capture GPS navigateur</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Bouton "Capturer GPS" pour utiliser automatiquement la geolocalisation du navigateur</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Clic sur la carte</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Cliquer sur la carte pour placer un marqueur a la position exacte choisie</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Glisser le marqueur</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Deplacer le marqueur depose pour affiner la position avec precision</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Geocodage inverse</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L'adresse est detectee automatiquement depuis les coordonnees via l'API Nominatim (OSM)</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Precision</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8 decimales pour une precision maximale des coordonnees</w:t>
            </w:r>
          </w:p>
        </w:tc>
      </w:tr>
    </w:tbl>
    <w:p>
      <w:pPr>
        <w:spacing w:after="160" w:before="0"/>
      </w:pPr>
      <w:r>
        <w:t xml:space="preserve"/>
      </w:r>
    </w:p>
    <w:tbl>
      <w:tblPr>
        <w:tblW w:type="dxa" w:w="8450"/>
        <w:tblBorders>
          <w:top w:val="single" w:color="BDD5F0" w:sz="1"/>
          <w:left w:val="single" w:color="BDD5F0" w:sz="1"/>
          <w:bottom w:val="single" w:color="BDD5F0" w:sz="1"/>
          <w:right w:val="single" w:color="BDD5F0" w:sz="1"/>
          <w:insideH w:val="single" w:color="BDD5F0" w:sz="1"/>
          <w:insideV w:val="single" w:color="BDD5F0" w:sz="1"/>
        </w:tblBorders>
      </w:tblPr>
      <w:tblGrid>
        <w:gridCol w:w="1800"/>
        <w:gridCol w:w="6650"/>
      </w:tblGrid>
      <w:tr>
        <w:tc>
          <w:tcPr>
            <w:tcW w:type="dxa" w:w="1800"/>
            <w:tcBorders>
              <w:top w:val="single" w:color="BDD5F0" w:sz="1"/>
              <w:left w:val="single" w:color="BDD5F0" w:sz="1"/>
              <w:bottom w:val="single" w:color="BDD5F0" w:sz="1"/>
              <w:right w:val="single" w:color="BDD5F0" w:sz="1"/>
            </w:tcBorders>
            <w:shd w:fill="2D5F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Pre-requis</w:t>
            </w:r>
          </w:p>
        </w:tc>
        <w:tc>
          <w:tcPr>
            <w:tcW w:type="dxa" w:w="6650"/>
            <w:tcBorders>
              <w:top w:val="single" w:color="BDD5F0" w:sz="1"/>
              <w:left w:val="single" w:color="BDD5F0" w:sz="1"/>
              <w:bottom w:val="single" w:color="BDD5F0" w:sz="1"/>
              <w:right w:val="single" w:color="BDD5F0" w:sz="1"/>
            </w:tcBorders>
            <w:shd w:fill="EBF2FB" w:val="clear"/>
            <w:tcMar>
              <w:top w:type="dxa" w:w="80"/>
              <w:left w:type="dxa" w:w="160"/>
              <w:bottom w:type="dxa" w:w="80"/>
              <w:right w:type="dxa" w:w="120"/>
            </w:tcMar>
          </w:tcPr>
          <w:p>
            <w:r>
              <w:rPr>
                <w:rFonts w:ascii="Arial" w:cs="Arial" w:eastAsia="Arial" w:hAnsi="Arial"/>
                <w:color w:val="1A1A2E"/>
                <w:sz w:val="22"/>
                <w:szCs w:val="22"/>
              </w:rPr>
              <w:t xml:space="preserve">Pour la geolocalisation automatique, autorisez l'acces a votre position dans le navigateur. En cas de refus, utilisez le clic sur la carte pour saisir les coordonnees manuellement.</w:t>
            </w:r>
          </w:p>
        </w:tc>
      </w:tr>
    </w:tbl>
    <w:p>
      <w:pPr>
        <w:spacing w:after="160" w:before="0"/>
      </w:pPr>
      <w:r>
        <w:t xml:space="preserve"/>
      </w:r>
    </w:p>
    <w:p>
      <w:pPr>
        <w:pStyle w:val="Heading2"/>
        <w:pBdr>
          <w:bottom w:val="single" w:color="4A90D9" w:sz="2" w:space="2"/>
        </w:pBdr>
        <w:spacing w:after="120" w:before="280"/>
      </w:pPr>
      <w:r>
        <w:rPr>
          <w:rFonts w:ascii="Arial" w:cs="Arial" w:eastAsia="Arial" w:hAnsi="Arial"/>
          <w:b/>
          <w:bCs/>
          <w:color w:val="1E3A5F"/>
          <w:sz w:val="28"/>
          <w:szCs w:val="28"/>
        </w:rPr>
        <w:t xml:space="preserve">11.12 Carte des Comptes (Vue Comptes)</w:t>
      </w:r>
    </w:p>
    <w:p>
      <w:pPr>
        <w:spacing w:after="100" w:before="60"/>
      </w:pPr>
      <w:r>
        <w:rPr>
          <w:rFonts w:ascii="Arial" w:cs="Arial" w:eastAsia="Arial" w:hAnsi="Arial"/>
          <w:color w:val="1A1A2E"/>
          <w:sz w:val="22"/>
          <w:szCs w:val="22"/>
        </w:rPr>
        <w:t xml:space="preserve">Une carte specifique aux Comptes Distribution est egalement accessible depuis le module Comptes. Elle offre des fonctionnalites complementaires :</w:t>
      </w:r>
    </w:p>
    <w:p>
      <w:pPr>
        <w:spacing w:after="160" w:before="0"/>
      </w:pPr>
      <w:r>
        <w:t xml:space="preserve"/>
      </w:r>
    </w:p>
    <w:tbl>
      <w:tblPr>
        <w:tblW w:type="dxa" w:w="8450"/>
        <w:tblBorders>
          <w:top w:val="single" w:color="BDD5F0" w:sz="1"/>
          <w:left w:val="single" w:color="BDD5F0" w:sz="1"/>
          <w:bottom w:val="single" w:color="BDD5F0" w:sz="1"/>
          <w:right w:val="single" w:color="BDD5F0" w:sz="1"/>
          <w:insideH w:val="single" w:color="BDD5F0" w:sz="1"/>
          <w:insideV w:val="single" w:color="BDD5F0" w:sz="1"/>
        </w:tblBorders>
      </w:tblPr>
      <w:tblGrid>
        <w:gridCol w:w="4225"/>
        <w:gridCol w:w="4225"/>
      </w:tblGrid>
      <w:tr>
        <w:trPr>
          <w:tblHeader/>
        </w:trPr>
        <w:tc>
          <w:tcPr>
            <w:tcW w:type="dxa" w:w="4225"/>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Fonctionnalite</w:t>
            </w:r>
          </w:p>
        </w:tc>
        <w:tc>
          <w:tcPr>
            <w:tcW w:type="dxa" w:w="4225"/>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Description</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Codes couleur par type</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Client (vert), Prospect (bleu), Partenaire (violet), Fournisseur (orange)</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Proximite GPS</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Filtre par rayon autour de votre position (5 a 100 km)</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Popup enrichi</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Nom, type, ville, telephone cliquable, code Sage, lien vers la fiche</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Lien direct</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Acces rapide a la fiche detail du compte depuis la popup</w:t>
            </w:r>
          </w:p>
        </w:tc>
      </w:tr>
    </w:tbl>
    <w:p>
      <w:pPr>
        <w:spacing w:after="160" w:before="0"/>
      </w:pPr>
      <w:r>
        <w:t xml:space="preserve"/>
      </w:r>
    </w:p>
    <w:p>
      <w:pPr>
        <w:spacing w:after="0" w:before="0"/>
      </w:pPr>
      <w:r>
        <w:br w:type="page"/>
      </w:r>
    </w:p>
    <w:p>
      <w:pPr>
        <w:pStyle w:val="Heading1"/>
        <w:pBdr>
          <w:bottom w:val="single" w:color="4A90D9" w:sz="3"/>
        </w:pBdr>
        <w:shd w:fill="1E3A5F" w:val="clear"/>
        <w:spacing w:after="200" w:before="360"/>
      </w:pPr>
      <w:r>
        <w:rPr>
          <w:rFonts w:ascii="Arial" w:cs="Arial" w:eastAsia="Arial" w:hAnsi="Arial"/>
          <w:b/>
          <w:bCs/>
          <w:color w:val="FFFFFF"/>
          <w:sz w:val="36"/>
          <w:szCs w:val="36"/>
        </w:rPr>
        <w:t xml:space="preserve">12. Complement Glossaire - IA et Cartographie</w:t>
      </w:r>
    </w:p>
    <w:p>
      <w:pPr>
        <w:spacing w:after="100" w:before="60"/>
      </w:pPr>
      <w:r>
        <w:rPr>
          <w:rFonts w:ascii="Arial" w:cs="Arial" w:eastAsia="Arial" w:hAnsi="Arial"/>
          <w:color w:val="1A1A2E"/>
          <w:sz w:val="22"/>
          <w:szCs w:val="22"/>
        </w:rPr>
        <w:t xml:space="preserve">Termes specifiques aux fonctionnalites d'intelligence artificielle et de cartographie interactive d'OptiCRM :</w:t>
      </w:r>
    </w:p>
    <w:p>
      <w:pPr>
        <w:spacing w:after="160" w:before="0"/>
      </w:pPr>
      <w:r>
        <w:t xml:space="preserve"/>
      </w:r>
    </w:p>
    <w:tbl>
      <w:tblPr>
        <w:tblW w:type="dxa" w:w="8450"/>
        <w:tblBorders>
          <w:top w:val="single" w:color="BDD5F0" w:sz="1"/>
          <w:left w:val="single" w:color="BDD5F0" w:sz="1"/>
          <w:bottom w:val="single" w:color="BDD5F0" w:sz="1"/>
          <w:right w:val="single" w:color="BDD5F0" w:sz="1"/>
          <w:insideH w:val="single" w:color="BDD5F0" w:sz="1"/>
          <w:insideV w:val="single" w:color="BDD5F0" w:sz="1"/>
        </w:tblBorders>
      </w:tblPr>
      <w:tblGrid>
        <w:gridCol w:w="4225"/>
        <w:gridCol w:w="4225"/>
      </w:tblGrid>
      <w:tr>
        <w:trPr>
          <w:tblHeader/>
        </w:trPr>
        <w:tc>
          <w:tcPr>
            <w:tcW w:type="dxa" w:w="4225"/>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Terme</w:t>
            </w:r>
          </w:p>
        </w:tc>
        <w:tc>
          <w:tcPr>
            <w:tcW w:type="dxa" w:w="4225"/>
            <w:tcBorders>
              <w:top w:val="single" w:color="BDD5F0" w:sz="1"/>
              <w:left w:val="single" w:color="BDD5F0" w:sz="1"/>
              <w:bottom w:val="single" w:color="BDD5F0" w:sz="1"/>
              <w:right w:val="single" w:color="BDD5F0" w:sz="1"/>
            </w:tcBorders>
            <w:shd w:fill="2D5FA8"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Definition</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IA / Intelligence Artificielle</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Technologie permettant a OptiCRM d'analyser automatiquement les donnees et de generer du contenu</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Streaming IA</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Mode de reponse ou le texte s'affiche progressivement en temps reel, mot par mot</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Lead Scoring IA</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Score de qualification d'une piste calcule automatiquement par l'IA (0 a 100)</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Analyse 360</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Rapport complet d'un compte genere par l'IA : relation, sante financiere, opportunites, actions</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Geocoordonnees</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Paire de valeurs latitude/longitude definissant une position exacte sur le globe terrestre</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Carte Interactive</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Outil de visualisation geographique des Chantiers et Comptes Distribution sur une carte</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Couche (Layer)</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Ensemble de marqueurs homogenes affichables/masquables independamment sur la carte</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Stade Chantier</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Phase d'avancement d'un projet de construction : de l'Etude jusqu'a la Cloture (7 stades)</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Proximite GPS</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Filtre geographique affichant uniquement les elements dans un rayon defini autour de l'utilisateur</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Marqueur</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Icone coloree sur la carte representant un Chantier (C) ou un Compte Distribution (D)</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Popup</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Fiche d'information contextuelle qui s'affiche au clic sur un marqueur de la carte</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Geocodage inverse</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Conversion de coordonnees GPS (lat/lng) en adresse postale lisible par un humain</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Haversine</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Formule mathematique pour calculer la distance reelle entre deux points GPS sur la Terre</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Cluster geographique</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Zone de forte concentration de chantiers ou de distributeurs detectee par l'IA</w:t>
            </w:r>
          </w:p>
        </w:tc>
      </w:tr>
      <w:tr>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Nominatim</w:t>
            </w:r>
          </w:p>
        </w:tc>
        <w:tc>
          <w:tcPr>
            <w:tcW w:type="dxa" w:w="4225"/>
            <w:tcBorders>
              <w:top w:val="single" w:color="BDD5F0" w:sz="1"/>
              <w:left w:val="single" w:color="BDD5F0" w:sz="1"/>
              <w:bottom w:val="single" w:color="BDD5F0" w:sz="1"/>
              <w:right w:val="single" w:color="BDD5F0" w:sz="1"/>
            </w:tcBorders>
            <w:shd w:fill="FFFFFF" w:val="clear"/>
            <w:tcMar>
              <w:top w:type="dxa" w:w="80"/>
              <w:left w:type="dxa" w:w="140"/>
              <w:bottom w:type="dxa" w:w="80"/>
              <w:right w:type="dxa" w:w="140"/>
            </w:tcMar>
          </w:tcPr>
          <w:p>
            <w:pPr/>
            <w:r>
              <w:rPr>
                <w:rFonts w:ascii="Arial" w:cs="Arial" w:eastAsia="Arial" w:hAnsi="Arial"/>
                <w:color w:val="1A1A2E"/>
                <w:sz w:val="20"/>
                <w:szCs w:val="20"/>
              </w:rPr>
              <w:t xml:space="preserve">Service de geocodage OpenStreetMap utilise pour convertir des coordonnees en adresses</w:t>
            </w:r>
          </w:p>
        </w:tc>
      </w:tr>
      <w:tr>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AbortController</w:t>
            </w:r>
          </w:p>
        </w:tc>
        <w:tc>
          <w:tcPr>
            <w:tcW w:type="dxa" w:w="4225"/>
            <w:tcBorders>
              <w:top w:val="single" w:color="BDD5F0" w:sz="1"/>
              <w:left w:val="single" w:color="BDD5F0" w:sz="1"/>
              <w:bottom w:val="single" w:color="BDD5F0" w:sz="1"/>
              <w:right w:val="single" w:color="BDD5F0" w:sz="1"/>
            </w:tcBorders>
            <w:shd w:fill="EBF2FB" w:val="clear"/>
            <w:tcMar>
              <w:top w:type="dxa" w:w="80"/>
              <w:left w:type="dxa" w:w="140"/>
              <w:bottom w:type="dxa" w:w="80"/>
              <w:right w:type="dxa" w:w="140"/>
            </w:tcMar>
          </w:tcPr>
          <w:p>
            <w:pPr/>
            <w:r>
              <w:rPr>
                <w:rFonts w:ascii="Arial" w:cs="Arial" w:eastAsia="Arial" w:hAnsi="Arial"/>
                <w:color w:val="1A1A2E"/>
                <w:sz w:val="20"/>
                <w:szCs w:val="20"/>
              </w:rPr>
              <w:t xml:space="preserve">Mecanisme technique permettant a l'utilisateur d'interrompre une reponse IA en cours</w:t>
            </w:r>
          </w:p>
        </w:tc>
      </w:tr>
    </w:tbl>
    <w:p>
      <w:pPr>
        <w:spacing w:after="160" w:before="0"/>
      </w:pPr>
      <w:r>
        <w:t xml:space="preserve"/>
      </w:r>
    </w:p>
    <w:sectPr>
      <w:headerReference w:type="default" r:id="rId7"/>
      <w:footerReference w:type="default" r:id="rId8"/>
      <w:pgSz w:w="11906" w:h="16838" w:orient="portrait"/>
      <w:pgMar w:top="1728" w:right="1728" w:bottom="1728" w:left="172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0D9" w:sz="2"/>
      </w:pBdr>
    </w:pPr>
    <w:r>
      <w:rPr>
        <w:rFonts w:ascii="Arial" w:cs="Arial" w:eastAsia="Arial" w:hAnsi="Arial"/>
        <w:color w:val="888888"/>
        <w:sz w:val="18"/>
        <w:szCs w:val="18"/>
      </w:rPr>
      <w:t xml:space="preserve">OptiCRM - Usage Interne  |  </w:t>
    </w:r>
    <w:r>
      <w:rPr>
        <w:rFonts w:ascii="Arial" w:cs="Arial" w:eastAsia="Arial" w:hAnsi="Arial"/>
        <w:color w:val="2D5FA8"/>
        <w:sz w:val="18"/>
        <w:szCs w:val="18"/>
      </w:rPr>
      <w:t xml:space="preserve">Page </w:t>
    </w:r>
    <w:r>
      <w:rPr>
        <w:rFonts w:ascii="Arial" w:cs="Arial" w:eastAsia="Arial" w:hAnsi="Arial"/>
        <w:color w:val="2D5FA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2"/>
      </w:pBdr>
      <w:jc w:val="right"/>
    </w:pPr>
    <w:r>
      <w:rPr>
        <w:rFonts w:ascii="Arial" w:cs="Arial" w:eastAsia="Arial" w:hAnsi="Arial"/>
        <w:color w:val="888888"/>
        <w:sz w:val="18"/>
        <w:szCs w:val="18"/>
      </w:rPr>
      <w:t xml:space="preserve">OptiCRM - Manuel CRM  |  </w:t>
    </w:r>
    <w:r>
      <w:rPr>
        <w:rFonts w:ascii="Arial" w:cs="Arial" w:eastAsia="Arial" w:hAnsi="Arial"/>
        <w:b/>
        <w:bCs/>
        <w:color w:val="2D5FA8"/>
        <w:sz w:val="18"/>
        <w:szCs w:val="18"/>
      </w:rPr>
      <w:t xml:space="preserve">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20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20"/>
      <w:outlineLvl w:val="2"/>
    </w:pPr>
    <w:rPr>
      <w:rFonts w:ascii="Arial" w:cs="Arial" w:eastAsia="Arial" w:hAnsi="Arial"/>
      <w:b/>
      <w:bCs/>
      <w:color w:val="2D5F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Chart1" Type="http://schemas.openxmlformats.org/officeDocument/2006/relationships/image" Target="media/chart_flux_principal.png"/><Relationship Id="rIdChart2" Type="http://schemas.openxmlformats.org/officeDocument/2006/relationships/image" Target="media/chart_lead_lifecycle.png"/><Relationship Id="rIdChart3" Type="http://schemas.openxmlformats.org/officeDocument/2006/relationships/image" Target="media/chart_pipeline.png"/><Relationship Id="rIdChart4" Type="http://schemas.openxmlformats.org/officeDocument/2006/relationships/image" Target="media/chart_quote_flow.png"/><Relationship Id="rIdChart5" Type="http://schemas.openxmlformats.org/officeDocument/2006/relationships/image" Target="media/chart_conversion.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2026-03-26T02:51:03.614Z</dcterms:created>
  <dcterms:modified xsi:type="dcterms:W3CDTF">2026-03-26T02:51:03.614Z</dcterms:modified>
</cp:coreProperties>
</file>

<file path=docProps/custom.xml><?xml version="1.0" encoding="utf-8"?>
<Properties xmlns="http://schemas.openxmlformats.org/officeDocument/2006/custom-properties" xmlns:vt="http://schemas.openxmlformats.org/officeDocument/2006/docPropsVTypes"/>
</file>