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60"/>
        <w:jc w:val="center"/>
      </w:pPr>
      <w:r>
        <w:rPr>
          <w:rFonts w:ascii="Arial" w:cs="Arial" w:eastAsia="Arial" w:hAnsi="Arial"/>
          <w:b/>
          <w:bCs/>
          <w:color w:val="0F6E56"/>
          <w:sz w:val="104"/>
          <w:szCs w:val="104"/>
        </w:rPr>
        <w:t xml:space="preserve">CivilBridge</w:t>
      </w:r>
    </w:p>
    <w:p>
      <w:pPr>
        <w:spacing w:after="80"/>
        <w:jc w:val="center"/>
      </w:pPr>
      <w:r>
        <w:rPr>
          <w:rFonts w:ascii="Arial" w:cs="Arial" w:eastAsia="Arial" w:hAnsi="Arial"/>
          <w:color w:val="4A4A47"/>
          <w:sz w:val="32"/>
          <w:szCs w:val="32"/>
        </w:rPr>
        <w:t xml:space="preserve">Construction Intelligence Platform · Rwanda &amp; East Africa</w:t>
      </w:r>
    </w:p>
    <w:p>
      <w:pPr>
        <w:pBdr>
          <w:bottom w:val="single" w:color="1D9E75" w:sz="4"/>
        </w:pBdr>
        <w:spacing w:after="200" w:before="200"/>
      </w:pPr>
    </w:p>
    <w:p>
      <w:pPr>
        <w:spacing w:after="60" w:before="160"/>
        <w:jc w:val="center"/>
      </w:pPr>
      <w:r>
        <w:rPr>
          <w:rFonts w:ascii="Arial" w:cs="Arial" w:eastAsia="Arial" w:hAnsi="Arial"/>
          <w:b/>
          <w:bCs/>
          <w:color w:val="1A1A18"/>
          <w:sz w:val="26"/>
          <w:szCs w:val="26"/>
        </w:rPr>
        <w:t xml:space="preserve">Project Proposal</w:t>
      </w:r>
    </w:p>
    <w:p>
      <w:pPr>
        <w:spacing w:after="60"/>
        <w:jc w:val="center"/>
      </w:pPr>
      <w:r>
        <w:rPr>
          <w:rFonts w:ascii="Arial" w:cs="Arial" w:eastAsia="Arial" w:hAnsi="Arial"/>
          <w:i/>
          <w:iCs/>
          <w:color w:val="4A4A47"/>
          <w:sz w:val="22"/>
          <w:szCs w:val="22"/>
        </w:rPr>
        <w:t xml:space="preserve">Accurate. Accessible. Built for Rwanda.</w:t>
      </w:r>
    </w:p>
    <w:p>
      <w:r>
        <w:br w:type="page"/>
      </w:r>
    </w:p>
    <w:p>
      <w:pPr>
        <w:pStyle w:val="Heading1"/>
        <w:pBdr>
          <w:bottom w:val="single" w:color="1D9E75" w:sz="6" w:space="6"/>
        </w:pBdr>
        <w:spacing w:after="120" w:before="440"/>
      </w:pPr>
      <w:r>
        <w:rPr>
          <w:rFonts w:ascii="Arial" w:cs="Arial" w:eastAsia="Arial" w:hAnsi="Arial"/>
          <w:b/>
          <w:bCs/>
          <w:color w:val="1A1A18"/>
          <w:sz w:val="38"/>
          <w:szCs w:val="38"/>
        </w:rPr>
        <w:t xml:space="preserve">1. Executive summary</w:t>
      </w:r>
    </w:p>
    <w:p>
      <w:pPr>
        <w:spacing w:after="120"/>
        <w:jc w:val="left"/>
      </w:pPr>
      <w:r>
        <w:rPr>
          <w:rFonts w:ascii="Arial" w:cs="Arial" w:eastAsia="Arial" w:hAnsi="Arial"/>
          <w:color w:val="4A4A47"/>
          <w:sz w:val="22"/>
          <w:szCs w:val="22"/>
        </w:rPr>
        <w:t xml:space="preserve">CivilBridge is Rwanda's first construction intelligence platform. It enables individuals, developers, and professionals to plan, estimate, and execute construction projects using AI-powered tools, verified expert networks, and a property marketplace — all grounded in Rwanda's real land data through direct UPI integration.</w:t>
      </w:r>
    </w:p>
    <w:p>
      <w:pPr>
        <w:spacing w:after="120"/>
        <w:jc w:val="left"/>
      </w:pPr>
      <w:r>
        <w:rPr>
          <w:rFonts w:ascii="Arial" w:cs="Arial" w:eastAsia="Arial" w:hAnsi="Arial"/>
          <w:color w:val="4A4A47"/>
          <w:sz w:val="22"/>
          <w:szCs w:val="22"/>
        </w:rPr>
        <w:t xml:space="preserve">The platform's defining characteristic is its use of Rwanda's Unique Parcel Identifier (UPI) system as the primary data input. By anchoring every service to verified land registry information, CivilBridge delivers a quality of insight — accurate, legally grounded, and locally calibrated — that no manual process or generic tool can replicate.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6"/>
              <w:bottom w:val="none" w:color="FFFFFF" w:sz="0"/>
              <w:right w:val="none" w:color="FFFFFF" w:sz="0"/>
            </w:tcBorders>
            <w:shd w:fill="E1F5EE" w:val="clear"/>
            <w:tcMar>
              <w:top w:type="dxa" w:w="160"/>
              <w:left w:type="dxa" w:w="220"/>
              <w:bottom w:type="dxa" w:w="160"/>
              <w:right w:type="dxa" w:w="200"/>
            </w:tcMar>
          </w:tcPr>
          <w:p>
            <w:pPr>
              <w:spacing w:after="50"/>
            </w:pPr>
            <w:r>
              <w:rPr>
                <w:rFonts w:ascii="Arial" w:cs="Arial" w:eastAsia="Arial" w:hAnsi="Arial"/>
                <w:b/>
                <w:bCs/>
                <w:color w:val="085041"/>
                <w:sz w:val="19"/>
                <w:szCs w:val="19"/>
              </w:rPr>
              <w:t xml:space="preserve">Platform positioning</w:t>
            </w:r>
          </w:p>
          <w:p>
            <w:pPr>
              <w:spacing w:after="0"/>
            </w:pPr>
            <w:r>
              <w:rPr>
                <w:rFonts w:ascii="Arial" w:cs="Arial" w:eastAsia="Arial" w:hAnsi="Arial"/>
                <w:color w:val="1A1A18"/>
                <w:sz w:val="22"/>
                <w:szCs w:val="22"/>
              </w:rPr>
              <w:t xml:space="preserve">CivilBridge is the only construction intelligence platform that begins with verified land data and ends with permit-ready documentation — combining Rwanda's UPI land registry, AI cost estimation, listed architectural drawings, a verified expert network, and a property marketplace into one integrated system.</w:t>
            </w:r>
          </w:p>
        </w:tc>
      </w:tr>
    </w:tbl>
    <w:p>
      <w:pPr>
        <w:spacing w:after="200"/>
      </w:pPr>
    </w:p>
    <w:p>
      <w:r>
        <w:br w:type="page"/>
      </w:r>
    </w:p>
    <w:p>
      <w:pPr>
        <w:pStyle w:val="Heading1"/>
        <w:pBdr>
          <w:bottom w:val="single" w:color="1D9E75" w:sz="6" w:space="6"/>
        </w:pBdr>
        <w:spacing w:after="120" w:before="440"/>
      </w:pPr>
      <w:r>
        <w:rPr>
          <w:rFonts w:ascii="Arial" w:cs="Arial" w:eastAsia="Arial" w:hAnsi="Arial"/>
          <w:b/>
          <w:bCs/>
          <w:color w:val="1A1A18"/>
          <w:sz w:val="38"/>
          <w:szCs w:val="38"/>
        </w:rPr>
        <w:t xml:space="preserve">2. Innovation and market potential</w:t>
      </w:r>
    </w:p>
    <w:p>
      <w:pPr>
        <w:pStyle w:val="Heading2"/>
        <w:spacing w:after="80" w:before="280"/>
      </w:pPr>
      <w:r>
        <w:rPr>
          <w:rFonts w:ascii="Arial" w:cs="Arial" w:eastAsia="Arial" w:hAnsi="Arial"/>
          <w:b/>
          <w:bCs/>
          <w:color w:val="0F6E56"/>
          <w:sz w:val="26"/>
          <w:szCs w:val="26"/>
        </w:rPr>
        <w:t xml:space="preserve">2.1 The innovation — UPI as a construction intelligence layer</w:t>
      </w:r>
    </w:p>
    <w:p>
      <w:pPr>
        <w:spacing w:after="120"/>
        <w:jc w:val="left"/>
      </w:pPr>
      <w:r>
        <w:rPr>
          <w:rFonts w:ascii="Arial" w:cs="Arial" w:eastAsia="Arial" w:hAnsi="Arial"/>
          <w:color w:val="4A4A47"/>
          <w:sz w:val="22"/>
          <w:szCs w:val="22"/>
        </w:rPr>
        <w:t xml:space="preserve">Rwanda's Unique Parcel Identifier system is one of the most advanced land management systems in Africa. Every registered parcel carries structured data: exact coordinates, plot dimensions, land-use classification, ownership records, zoning compliance, and topographic indicators. This data exists but has never been connected to construction planning tools.</w:t>
      </w:r>
    </w:p>
    <w:p>
      <w:pPr>
        <w:spacing w:after="120"/>
        <w:jc w:val="left"/>
      </w:pPr>
      <w:r>
        <w:rPr>
          <w:rFonts w:ascii="Arial" w:cs="Arial" w:eastAsia="Arial" w:hAnsi="Arial"/>
          <w:color w:val="4A4A47"/>
          <w:sz w:val="22"/>
          <w:szCs w:val="22"/>
        </w:rPr>
        <w:t xml:space="preserve">CivilBridge is the first platform to make that connection. When a user enters their UPI, the platform does not simply locate their plot — it retrieves a full data profile that drives every subsequent service: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pStyle w:val="Heading3"/>
              <w:spacing w:after="60" w:before="180"/>
            </w:pPr>
            <w:r>
              <w:rPr>
                <w:rFonts w:ascii="Arial" w:cs="Arial" w:eastAsia="Arial" w:hAnsi="Arial"/>
                <w:b/>
                <w:bCs/>
                <w:color w:val="1A1A18"/>
                <w:sz w:val="22"/>
                <w:szCs w:val="22"/>
              </w:rPr>
              <w:t xml:space="preserve">What UPI unlocks automatically</w:t>
            </w:r>
          </w:p>
          <w:p>
            <w:pPr>
              <w:pStyle w:val="ListParagraph"/>
              <w:numPr>
                <w:ilvl w:val="0"/>
                <w:numId w:val="2"/>
              </w:numPr>
              <w:spacing w:after="80"/>
            </w:pPr>
            <w:r>
              <w:rPr>
                <w:rFonts w:ascii="Arial" w:cs="Arial" w:eastAsia="Arial" w:hAnsi="Arial"/>
                <w:color w:val="4A4A47"/>
                <w:sz w:val="22"/>
                <w:szCs w:val="22"/>
              </w:rPr>
              <w:t xml:space="preserve">Exact buildable area — not an estimate, but the actual registered plot dimensions</w:t>
            </w:r>
          </w:p>
          <w:p>
            <w:pPr>
              <w:pStyle w:val="ListParagraph"/>
              <w:numPr>
                <w:ilvl w:val="0"/>
                <w:numId w:val="2"/>
              </w:numPr>
              <w:spacing w:after="80"/>
            </w:pPr>
            <w:r>
              <w:rPr>
                <w:rFonts w:ascii="Arial" w:cs="Arial" w:eastAsia="Arial" w:hAnsi="Arial"/>
                <w:color w:val="4A4A47"/>
                <w:sz w:val="22"/>
                <w:szCs w:val="22"/>
              </w:rPr>
              <w:t xml:space="preserve">Legal land-use classification — confirming what type of structure is permissible</w:t>
            </w:r>
          </w:p>
          <w:p>
            <w:pPr>
              <w:pStyle w:val="ListParagraph"/>
              <w:numPr>
                <w:ilvl w:val="0"/>
                <w:numId w:val="2"/>
              </w:numPr>
              <w:spacing w:after="80"/>
            </w:pPr>
            <w:r>
              <w:rPr>
                <w:rFonts w:ascii="Arial" w:cs="Arial" w:eastAsia="Arial" w:hAnsi="Arial"/>
                <w:color w:val="4A4A47"/>
                <w:sz w:val="22"/>
                <w:szCs w:val="22"/>
              </w:rPr>
              <w:t xml:space="preserve">District zoning rules — surfaced automatically by location, not looked up manually</w:t>
            </w:r>
          </w:p>
          <w:p>
            <w:pPr>
              <w:pStyle w:val="ListParagraph"/>
              <w:numPr>
                <w:ilvl w:val="0"/>
                <w:numId w:val="2"/>
              </w:numPr>
              <w:spacing w:after="80"/>
            </w:pPr>
            <w:r>
              <w:rPr>
                <w:rFonts w:ascii="Arial" w:cs="Arial" w:eastAsia="Arial" w:hAnsi="Arial"/>
                <w:color w:val="4A4A47"/>
                <w:sz w:val="22"/>
                <w:szCs w:val="22"/>
              </w:rPr>
              <w:t xml:space="preserve">Topographic context — slope, drainage indicators that affect foundation specification</w:t>
            </w:r>
          </w:p>
          <w:p>
            <w:pPr>
              <w:pStyle w:val="ListParagraph"/>
              <w:numPr>
                <w:ilvl w:val="0"/>
                <w:numId w:val="2"/>
              </w:numPr>
              <w:spacing w:after="80"/>
            </w:pPr>
            <w:r>
              <w:rPr>
                <w:rFonts w:ascii="Arial" w:cs="Arial" w:eastAsia="Arial" w:hAnsi="Arial"/>
                <w:color w:val="4A4A47"/>
                <w:sz w:val="22"/>
                <w:szCs w:val="22"/>
              </w:rPr>
              <w:t xml:space="preserve">Ownership verification — confirming the user's right to develop before any planning begins</w:t>
            </w:r>
          </w:p>
        </w:tc>
        <w:tc>
          <w:tcPr>
            <w:tcW w:type="dxa" w:w="24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tc>
        <w:tc>
          <w:tcPr>
            <w:tcW w:type="dxa" w:w="45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pStyle w:val="Heading3"/>
              <w:spacing w:after="60" w:before="180"/>
            </w:pPr>
            <w:r>
              <w:rPr>
                <w:rFonts w:ascii="Arial" w:cs="Arial" w:eastAsia="Arial" w:hAnsi="Arial"/>
                <w:b/>
                <w:bCs/>
                <w:color w:val="1A1A18"/>
                <w:sz w:val="22"/>
                <w:szCs w:val="22"/>
              </w:rPr>
              <w:t xml:space="preserve">Why this changes everything</w:t>
            </w:r>
          </w:p>
          <w:p>
            <w:pPr>
              <w:pStyle w:val="ListParagraph"/>
              <w:numPr>
                <w:ilvl w:val="0"/>
                <w:numId w:val="2"/>
              </w:numPr>
              <w:spacing w:after="80"/>
            </w:pPr>
            <w:r>
              <w:rPr>
                <w:rFonts w:ascii="Arial" w:cs="Arial" w:eastAsia="Arial" w:hAnsi="Arial"/>
                <w:color w:val="4A4A47"/>
                <w:sz w:val="22"/>
                <w:szCs w:val="22"/>
              </w:rPr>
              <w:t xml:space="preserve">Cost estimates are grounded in real plot constraints, not assumed dimensions</w:t>
            </w:r>
          </w:p>
          <w:p>
            <w:pPr>
              <w:pStyle w:val="ListParagraph"/>
              <w:numPr>
                <w:ilvl w:val="0"/>
                <w:numId w:val="2"/>
              </w:numPr>
              <w:spacing w:after="80"/>
            </w:pPr>
            <w:r>
              <w:rPr>
                <w:rFonts w:ascii="Arial" w:cs="Arial" w:eastAsia="Arial" w:hAnsi="Arial"/>
                <w:color w:val="4A4A47"/>
                <w:sz w:val="22"/>
                <w:szCs w:val="22"/>
              </w:rPr>
              <w:t xml:space="preserve">Listed drawings are filtered to those legally compatible with the parcel</w:t>
            </w:r>
          </w:p>
          <w:p>
            <w:pPr>
              <w:pStyle w:val="ListParagraph"/>
              <w:numPr>
                <w:ilvl w:val="0"/>
                <w:numId w:val="2"/>
              </w:numPr>
              <w:spacing w:after="80"/>
            </w:pPr>
            <w:r>
              <w:rPr>
                <w:rFonts w:ascii="Arial" w:cs="Arial" w:eastAsia="Arial" w:hAnsi="Arial"/>
                <w:color w:val="4A4A47"/>
                <w:sz w:val="22"/>
                <w:szCs w:val="22"/>
              </w:rPr>
              <w:t xml:space="preserve">BOQ materials are specified to actual structural requirements, not generics</w:t>
            </w:r>
          </w:p>
          <w:p>
            <w:pPr>
              <w:pStyle w:val="ListParagraph"/>
              <w:numPr>
                <w:ilvl w:val="0"/>
                <w:numId w:val="2"/>
              </w:numPr>
              <w:spacing w:after="80"/>
            </w:pPr>
            <w:r>
              <w:rPr>
                <w:rFonts w:ascii="Arial" w:cs="Arial" w:eastAsia="Arial" w:hAnsi="Arial"/>
                <w:color w:val="4A4A47"/>
                <w:sz w:val="22"/>
                <w:szCs w:val="22"/>
              </w:rPr>
              <w:t xml:space="preserve">Permit documentation is pre-validated against known zoning — reducing rejection risk</w:t>
            </w:r>
          </w:p>
          <w:p>
            <w:pPr>
              <w:pStyle w:val="ListParagraph"/>
              <w:numPr>
                <w:ilvl w:val="0"/>
                <w:numId w:val="2"/>
              </w:numPr>
              <w:spacing w:after="80"/>
            </w:pPr>
            <w:r>
              <w:rPr>
                <w:rFonts w:ascii="Arial" w:cs="Arial" w:eastAsia="Arial" w:hAnsi="Arial"/>
                <w:color w:val="4A4A47"/>
                <w:sz w:val="22"/>
                <w:szCs w:val="22"/>
              </w:rPr>
              <w:t xml:space="preserve">Marketplace plot listings can surface UPI-verified buildability data to prospective buyers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6"/>
              <w:bottom w:val="none" w:color="FFFFFF" w:sz="0"/>
              <w:right w:val="none" w:color="FFFFFF" w:sz="0"/>
            </w:tcBorders>
            <w:shd w:fill="E1F5EE" w:val="clear"/>
            <w:tcMar>
              <w:top w:type="dxa" w:w="160"/>
              <w:left w:type="dxa" w:w="220"/>
              <w:bottom w:type="dxa" w:w="160"/>
              <w:right w:type="dxa" w:w="200"/>
            </w:tcMar>
          </w:tcPr>
          <w:p>
            <w:pPr>
              <w:spacing w:after="50"/>
            </w:pPr>
            <w:r>
              <w:rPr>
                <w:rFonts w:ascii="Arial" w:cs="Arial" w:eastAsia="Arial" w:hAnsi="Arial"/>
                <w:b/>
                <w:bCs/>
                <w:color w:val="085041"/>
                <w:sz w:val="19"/>
                <w:szCs w:val="19"/>
              </w:rPr>
              <w:t xml:space="preserve">Why UPI is mandatory, not optional</w:t>
            </w:r>
          </w:p>
          <w:p>
            <w:pPr>
              <w:spacing w:after="0"/>
            </w:pPr>
            <w:r>
              <w:rPr>
                <w:rFonts w:ascii="Arial" w:cs="Arial" w:eastAsia="Arial" w:hAnsi="Arial"/>
                <w:color w:val="1A1A18"/>
                <w:sz w:val="22"/>
                <w:szCs w:val="22"/>
              </w:rPr>
              <w:t xml:space="preserve">Making UPI optional would fundamentally weaken the platform's value proposition. The accuracy of every CivilBridge output — cost estimates, plan compatibility, BOQ specifications — depends on real parcel data. A platform that accepts user-typed guesses instead of verified registry data would produce estimates no more reliable than a manual calculation. The UPI integration is what makes CivilBridge trustworthy.</w:t>
            </w:r>
          </w:p>
        </w:tc>
      </w:tr>
    </w:tbl>
    <w:p>
      <w:pPr>
        <w:spacing w:after="100"/>
      </w:pPr>
    </w:p>
    <w:p>
      <w:pPr>
        <w:pStyle w:val="Heading2"/>
        <w:spacing w:after="80" w:before="280"/>
      </w:pPr>
      <w:r>
        <w:rPr>
          <w:rFonts w:ascii="Arial" w:cs="Arial" w:eastAsia="Arial" w:hAnsi="Arial"/>
          <w:b/>
          <w:bCs/>
          <w:color w:val="0F6E56"/>
          <w:sz w:val="26"/>
          <w:szCs w:val="26"/>
        </w:rPr>
        <w:t xml:space="preserve">2.2 Market potential</w:t>
      </w:r>
    </w:p>
    <w:p>
      <w:pPr>
        <w:spacing w:after="120"/>
        <w:jc w:val="left"/>
      </w:pPr>
      <w:r>
        <w:rPr>
          <w:rFonts w:ascii="Arial" w:cs="Arial" w:eastAsia="Arial" w:hAnsi="Arial"/>
          <w:color w:val="4A4A47"/>
          <w:sz w:val="22"/>
          <w:szCs w:val="22"/>
        </w:rPr>
        <w:t xml:space="preserve">Rwanda's construction sector processes over 30,000 building permit applications annually across a sector valued at more than $2 billion. The overwhelming majority of individual and SME-led projects proceed without structured cost planning, verified professional engagement, or digital documentation.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D9E75" w:sz="1"/>
              <w:left w:val="single" w:color="1D9E75" w:sz="1"/>
              <w:bottom w:val="single" w:color="1D9E75" w:sz="1"/>
              <w:right w:val="single" w:color="1D9E75" w:sz="1"/>
            </w:tcBorders>
            <w:shd w:fill="E1F5EE" w:val="clear"/>
            <w:tcMar>
              <w:top w:type="dxa" w:w="180"/>
              <w:left w:type="dxa" w:w="140"/>
              <w:bottom w:type="dxa" w:w="180"/>
              <w:right w:type="dxa" w:w="140"/>
            </w:tcMar>
          </w:tcPr>
          <w:p>
            <w:pPr>
              <w:spacing w:after="30"/>
              <w:jc w:val="center"/>
            </w:pPr>
            <w:r>
              <w:rPr>
                <w:rFonts w:ascii="Arial" w:cs="Arial" w:eastAsia="Arial" w:hAnsi="Arial"/>
                <w:b/>
                <w:bCs/>
                <w:color w:val="0F6E56"/>
                <w:sz w:val="56"/>
                <w:szCs w:val="56"/>
              </w:rPr>
              <w:t xml:space="preserve">$2B+</w:t>
            </w:r>
          </w:p>
          <w:p>
            <w:pPr>
              <w:spacing w:after="0"/>
              <w:jc w:val="center"/>
            </w:pPr>
            <w:r>
              <w:rPr>
                <w:rFonts w:ascii="Arial" w:cs="Arial" w:eastAsia="Arial" w:hAnsi="Arial"/>
                <w:color w:val="4A4A47"/>
                <w:sz w:val="18"/>
                <w:szCs w:val="18"/>
              </w:rPr>
              <w:t xml:space="preserve">Construction sector annual value — Rwanda</w:t>
            </w:r>
          </w:p>
        </w:tc>
        <w:tc>
          <w:tcPr>
            <w:tcW w:type="dxa" w:w="2340"/>
            <w:tcBorders>
              <w:top w:val="single" w:color="1D9E75" w:sz="1"/>
              <w:left w:val="single" w:color="1D9E75" w:sz="1"/>
              <w:bottom w:val="single" w:color="1D9E75" w:sz="1"/>
              <w:right w:val="single" w:color="1D9E75" w:sz="1"/>
            </w:tcBorders>
            <w:shd w:fill="E1F5EE" w:val="clear"/>
            <w:tcMar>
              <w:top w:type="dxa" w:w="180"/>
              <w:left w:type="dxa" w:w="140"/>
              <w:bottom w:type="dxa" w:w="180"/>
              <w:right w:type="dxa" w:w="140"/>
            </w:tcMar>
          </w:tcPr>
          <w:p>
            <w:pPr>
              <w:spacing w:after="30"/>
              <w:jc w:val="center"/>
            </w:pPr>
            <w:r>
              <w:rPr>
                <w:rFonts w:ascii="Arial" w:cs="Arial" w:eastAsia="Arial" w:hAnsi="Arial"/>
                <w:b/>
                <w:bCs/>
                <w:color w:val="0F6E56"/>
                <w:sz w:val="56"/>
                <w:szCs w:val="56"/>
              </w:rPr>
              <w:t xml:space="preserve">30,000+</w:t>
            </w:r>
          </w:p>
          <w:p>
            <w:pPr>
              <w:spacing w:after="0"/>
              <w:jc w:val="center"/>
            </w:pPr>
            <w:r>
              <w:rPr>
                <w:rFonts w:ascii="Arial" w:cs="Arial" w:eastAsia="Arial" w:hAnsi="Arial"/>
                <w:color w:val="4A4A47"/>
                <w:sz w:val="18"/>
                <w:szCs w:val="18"/>
              </w:rPr>
              <w:t xml:space="preserve">Building permits issued per year</w:t>
            </w:r>
          </w:p>
        </w:tc>
        <w:tc>
          <w:tcPr>
            <w:tcW w:type="dxa" w:w="2340"/>
            <w:tcBorders>
              <w:top w:val="single" w:color="1D9E75" w:sz="1"/>
              <w:left w:val="single" w:color="1D9E75" w:sz="1"/>
              <w:bottom w:val="single" w:color="1D9E75" w:sz="1"/>
              <w:right w:val="single" w:color="1D9E75" w:sz="1"/>
            </w:tcBorders>
            <w:shd w:fill="E1F5EE" w:val="clear"/>
            <w:tcMar>
              <w:top w:type="dxa" w:w="180"/>
              <w:left w:type="dxa" w:w="140"/>
              <w:bottom w:type="dxa" w:w="180"/>
              <w:right w:type="dxa" w:w="140"/>
            </w:tcMar>
          </w:tcPr>
          <w:p>
            <w:pPr>
              <w:spacing w:after="30"/>
              <w:jc w:val="center"/>
            </w:pPr>
            <w:r>
              <w:rPr>
                <w:rFonts w:ascii="Arial" w:cs="Arial" w:eastAsia="Arial" w:hAnsi="Arial"/>
                <w:b/>
                <w:bCs/>
                <w:color w:val="0F6E56"/>
                <w:sz w:val="56"/>
                <w:szCs w:val="56"/>
              </w:rPr>
              <w:t xml:space="preserve">87%</w:t>
            </w:r>
          </w:p>
          <w:p>
            <w:pPr>
              <w:spacing w:after="0"/>
              <w:jc w:val="center"/>
            </w:pPr>
            <w:r>
              <w:rPr>
                <w:rFonts w:ascii="Arial" w:cs="Arial" w:eastAsia="Arial" w:hAnsi="Arial"/>
                <w:color w:val="4A4A47"/>
                <w:sz w:val="18"/>
                <w:szCs w:val="18"/>
              </w:rPr>
              <w:t xml:space="preserve">Projects with no professional cost estimation</w:t>
            </w:r>
          </w:p>
        </w:tc>
        <w:tc>
          <w:tcPr>
            <w:tcW w:type="dxa" w:w="2340"/>
            <w:tcBorders>
              <w:top w:val="single" w:color="1D9E75" w:sz="1"/>
              <w:left w:val="single" w:color="1D9E75" w:sz="1"/>
              <w:bottom w:val="single" w:color="1D9E75" w:sz="1"/>
              <w:right w:val="single" w:color="1D9E75" w:sz="1"/>
            </w:tcBorders>
            <w:shd w:fill="E1F5EE" w:val="clear"/>
            <w:tcMar>
              <w:top w:type="dxa" w:w="180"/>
              <w:left w:type="dxa" w:w="140"/>
              <w:bottom w:type="dxa" w:w="180"/>
              <w:right w:type="dxa" w:w="140"/>
            </w:tcMar>
          </w:tcPr>
          <w:p>
            <w:pPr>
              <w:spacing w:after="30"/>
              <w:jc w:val="center"/>
            </w:pPr>
            <w:r>
              <w:rPr>
                <w:rFonts w:ascii="Arial" w:cs="Arial" w:eastAsia="Arial" w:hAnsi="Arial"/>
                <w:b/>
                <w:bCs/>
                <w:color w:val="0F6E56"/>
                <w:sz w:val="56"/>
                <w:szCs w:val="56"/>
              </w:rPr>
              <w:t xml:space="preserve">0</w:t>
            </w:r>
          </w:p>
          <w:p>
            <w:pPr>
              <w:spacing w:after="0"/>
              <w:jc w:val="center"/>
            </w:pPr>
            <w:r>
              <w:rPr>
                <w:rFonts w:ascii="Arial" w:cs="Arial" w:eastAsia="Arial" w:hAnsi="Arial"/>
                <w:color w:val="4A4A47"/>
                <w:sz w:val="18"/>
                <w:szCs w:val="18"/>
              </w:rPr>
              <w:t xml:space="preserve">Rwanda-specific digital construction platforms</w:t>
            </w:r>
          </w:p>
        </w:tc>
      </w:tr>
    </w:tbl>
    <w:p>
      <w:pPr>
        <w:spacing w:after="100"/>
      </w:pPr>
    </w:p>
    <w:p>
      <w:pPr>
        <w:spacing w:after="120"/>
        <w:jc w:val="left"/>
      </w:pPr>
      <w:r>
        <w:rPr>
          <w:rFonts w:ascii="Arial" w:cs="Arial" w:eastAsia="Arial" w:hAnsi="Arial"/>
          <w:color w:val="4A4A47"/>
          <w:sz w:val="22"/>
          <w:szCs w:val="22"/>
        </w:rPr>
        <w:t xml:space="preserve">Rwanda's Vision 2050 urbanisation programme will sustain and accelerate this demand. CivilBridge is positioned as foundational infrastructure for that growth — not a peripheral tool. The East African expansion market (Kenya, Uganda, Tanzania) shares Rwanda's profile: rapid urbanisation, growing homeownership demand, and the same absence of localised digital construction services.</w:t>
      </w:r>
    </w:p>
    <w:p>
      <w:pPr>
        <w:spacing w:after="200"/>
      </w:pPr>
    </w:p>
    <w:p>
      <w:r>
        <w:br w:type="page"/>
      </w:r>
    </w:p>
    <w:p>
      <w:pPr>
        <w:pStyle w:val="Heading1"/>
        <w:pBdr>
          <w:bottom w:val="single" w:color="1D9E75" w:sz="6" w:space="6"/>
        </w:pBdr>
        <w:spacing w:after="120" w:before="440"/>
      </w:pPr>
      <w:r>
        <w:rPr>
          <w:rFonts w:ascii="Arial" w:cs="Arial" w:eastAsia="Arial" w:hAnsi="Arial"/>
          <w:b/>
          <w:bCs/>
          <w:color w:val="1A1A18"/>
          <w:sz w:val="38"/>
          <w:szCs w:val="38"/>
        </w:rPr>
        <w:t xml:space="preserve">3. Technical implementation</w:t>
      </w:r>
    </w:p>
    <w:p>
      <w:pPr>
        <w:pStyle w:val="Heading2"/>
        <w:spacing w:after="80" w:before="280"/>
      </w:pPr>
      <w:r>
        <w:rPr>
          <w:rFonts w:ascii="Arial" w:cs="Arial" w:eastAsia="Arial" w:hAnsi="Arial"/>
          <w:b/>
          <w:bCs/>
          <w:color w:val="0F6E56"/>
          <w:sz w:val="26"/>
          <w:szCs w:val="26"/>
        </w:rPr>
        <w:t xml:space="preserve">3.1 Platform architecture</w:t>
      </w:r>
    </w:p>
    <w:p>
      <w:pPr>
        <w:spacing w:after="120"/>
        <w:jc w:val="left"/>
      </w:pPr>
      <w:r>
        <w:rPr>
          <w:rFonts w:ascii="Arial" w:cs="Arial" w:eastAsia="Arial" w:hAnsi="Arial"/>
          <w:color w:val="4A4A47"/>
          <w:sz w:val="22"/>
          <w:szCs w:val="22"/>
        </w:rPr>
        <w:t xml:space="preserve">CivilBridge is built as a full-stack web platform with five interconnected service layers. The architecture is stateless, horizontally scalable, and designed for production deployment from initial launch.</w:t>
      </w:r>
    </w:p>
    <w:p>
      <w:pPr>
        <w:spacing w:after="100"/>
      </w:pP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720"/>
      </w:tblGrid>
      <w:tr>
        <w:tc>
          <w:tcPr>
            <w:tcW w:type="dxa" w:w="2600"/>
            <w:tcBorders>
              <w:top w:val="single" w:color="0F6E56" w:sz="1"/>
              <w:left w:val="single" w:color="0F6E56" w:sz="1"/>
              <w:bottom w:val="single" w:color="0F6E56" w:sz="1"/>
              <w:right w:val="single" w:color="0F6E56" w:sz="1"/>
            </w:tcBorders>
            <w:shd w:fill="0F6E56" w:val="clear"/>
            <w:tcMar>
              <w:top w:type="dxa" w:w="110"/>
              <w:left w:type="dxa" w:w="160"/>
              <w:bottom w:type="dxa" w:w="110"/>
              <w:right w:type="dxa" w:w="120"/>
            </w:tcMar>
          </w:tcPr>
          <w:p>
            <w:r>
              <w:rPr>
                <w:rFonts w:ascii="Arial" w:cs="Arial" w:eastAsia="Arial" w:hAnsi="Arial"/>
                <w:b/>
                <w:bCs/>
                <w:color w:val="FFFFFF"/>
                <w:sz w:val="19"/>
                <w:szCs w:val="19"/>
              </w:rPr>
              <w:t xml:space="preserve">Layer</w:t>
            </w:r>
          </w:p>
        </w:tc>
        <w:tc>
          <w:tcPr>
            <w:tcW w:type="dxa" w:w="2800"/>
            <w:tcBorders>
              <w:top w:val="single" w:color="0F6E56" w:sz="1"/>
              <w:left w:val="single" w:color="0F6E56" w:sz="1"/>
              <w:bottom w:val="single" w:color="0F6E56" w:sz="1"/>
              <w:right w:val="single" w:color="0F6E56" w:sz="1"/>
            </w:tcBorders>
            <w:shd w:fill="0F6E56" w:val="clear"/>
            <w:tcMar>
              <w:top w:type="dxa" w:w="110"/>
              <w:left w:type="dxa" w:w="160"/>
              <w:bottom w:type="dxa" w:w="110"/>
              <w:right w:type="dxa" w:w="120"/>
            </w:tcMar>
          </w:tcPr>
          <w:p>
            <w:r>
              <w:rPr>
                <w:rFonts w:ascii="Arial" w:cs="Arial" w:eastAsia="Arial" w:hAnsi="Arial"/>
                <w:b/>
                <w:bCs/>
                <w:color w:val="FFFFFF"/>
                <w:sz w:val="19"/>
                <w:szCs w:val="19"/>
              </w:rPr>
              <w:t xml:space="preserve">Technology</w:t>
            </w:r>
          </w:p>
        </w:tc>
        <w:tc>
          <w:tcPr>
            <w:tcW w:type="dxa" w:w="3720"/>
            <w:tcBorders>
              <w:top w:val="single" w:color="0F6E56" w:sz="1"/>
              <w:left w:val="single" w:color="0F6E56" w:sz="1"/>
              <w:bottom w:val="single" w:color="0F6E56" w:sz="1"/>
              <w:right w:val="single" w:color="0F6E56" w:sz="1"/>
            </w:tcBorders>
            <w:shd w:fill="0F6E56" w:val="clear"/>
            <w:tcMar>
              <w:top w:type="dxa" w:w="110"/>
              <w:left w:type="dxa" w:w="160"/>
              <w:bottom w:type="dxa" w:w="110"/>
              <w:right w:type="dxa" w:w="120"/>
            </w:tcMar>
          </w:tcPr>
          <w:p>
            <w:r>
              <w:rPr>
                <w:rFonts w:ascii="Arial" w:cs="Arial" w:eastAsia="Arial" w:hAnsi="Arial"/>
                <w:b/>
                <w:bCs/>
                <w:color w:val="FFFFFF"/>
                <w:sz w:val="19"/>
                <w:szCs w:val="19"/>
              </w:rPr>
              <w:t xml:space="preserve">Purpose</w:t>
            </w:r>
          </w:p>
        </w:tc>
      </w:tr>
      <w:tr>
        <w:tc>
          <w:tcPr>
            <w:tcW w:type="dxa" w:w="260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bCs/>
                <w:color w:val="0F6E56"/>
                <w:sz w:val="19"/>
                <w:szCs w:val="19"/>
              </w:rPr>
              <w:t xml:space="preserve">Frontend</w:t>
            </w:r>
          </w:p>
        </w:tc>
        <w:tc>
          <w:tcPr>
            <w:tcW w:type="dxa" w:w="280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Next.js + Tailwind CSS</w:t>
            </w:r>
          </w:p>
        </w:tc>
        <w:tc>
          <w:tcPr>
            <w:tcW w:type="dxa" w:w="372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Responsive interface; server-side rendering for performance and SEO</w:t>
            </w:r>
          </w:p>
        </w:tc>
      </w:tr>
      <w:tr>
        <w:tc>
          <w:tcPr>
            <w:tcW w:type="dxa" w:w="260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bCs/>
                <w:color w:val="0F6E56"/>
                <w:sz w:val="19"/>
                <w:szCs w:val="19"/>
              </w:rPr>
              <w:t xml:space="preserve">Backend</w:t>
            </w:r>
          </w:p>
        </w:tc>
        <w:tc>
          <w:tcPr>
            <w:tcW w:type="dxa" w:w="280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Node.js API + PostgreSQL</w:t>
            </w:r>
          </w:p>
        </w:tc>
        <w:tc>
          <w:tcPr>
            <w:tcW w:type="dxa" w:w="372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Business logic, role-based access control, data persistence</w:t>
            </w:r>
          </w:p>
        </w:tc>
      </w:tr>
      <w:tr>
        <w:tc>
          <w:tcPr>
            <w:tcW w:type="dxa" w:w="260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bCs/>
                <w:color w:val="0F6E56"/>
                <w:sz w:val="19"/>
                <w:szCs w:val="19"/>
              </w:rPr>
              <w:t xml:space="preserve">Database hosting</w:t>
            </w:r>
          </w:p>
        </w:tc>
        <w:tc>
          <w:tcPr>
            <w:tcW w:type="dxa" w:w="280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Supabase</w:t>
            </w:r>
          </w:p>
        </w:tc>
        <w:tc>
          <w:tcPr>
            <w:tcW w:type="dxa" w:w="372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Managed PostgreSQL with real-time capabilities and built-in auth</w:t>
            </w:r>
          </w:p>
        </w:tc>
      </w:tr>
      <w:tr>
        <w:tc>
          <w:tcPr>
            <w:tcW w:type="dxa" w:w="260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bCs/>
                <w:color w:val="0F6E56"/>
                <w:sz w:val="19"/>
                <w:szCs w:val="19"/>
              </w:rPr>
              <w:t xml:space="preserve">AI estimation</w:t>
            </w:r>
          </w:p>
        </w:tc>
        <w:tc>
          <w:tcPr>
            <w:tcW w:type="dxa" w:w="280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Claude API (Anthropic)</w:t>
            </w:r>
          </w:p>
        </w:tc>
        <w:tc>
          <w:tcPr>
            <w:tcW w:type="dxa" w:w="372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Conversational cost analysis and plan compatibility assessment</w:t>
            </w:r>
          </w:p>
        </w:tc>
      </w:tr>
      <w:tr>
        <w:tc>
          <w:tcPr>
            <w:tcW w:type="dxa" w:w="260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bCs/>
                <w:color w:val="0F6E56"/>
                <w:sz w:val="19"/>
                <w:szCs w:val="19"/>
              </w:rPr>
              <w:t xml:space="preserve">Document storage</w:t>
            </w:r>
          </w:p>
        </w:tc>
        <w:tc>
          <w:tcPr>
            <w:tcW w:type="dxa" w:w="280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Cloudinary</w:t>
            </w:r>
          </w:p>
        </w:tc>
        <w:tc>
          <w:tcPr>
            <w:tcW w:type="dxa" w:w="372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Architectural drawings, BOQ PDFs, uploaded plans</w:t>
            </w:r>
          </w:p>
        </w:tc>
      </w:tr>
      <w:tr>
        <w:tc>
          <w:tcPr>
            <w:tcW w:type="dxa" w:w="260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bCs/>
                <w:color w:val="0F6E56"/>
                <w:sz w:val="19"/>
                <w:szCs w:val="19"/>
              </w:rPr>
              <w:t xml:space="preserve">Payments</w:t>
            </w:r>
          </w:p>
        </w:tc>
        <w:tc>
          <w:tcPr>
            <w:tcW w:type="dxa" w:w="280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MTN MoMo + Stripe</w:t>
            </w:r>
          </w:p>
        </w:tc>
        <w:tc>
          <w:tcPr>
            <w:tcW w:type="dxa" w:w="372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Rwanda mobile money (primary) and card payments (secondary)</w:t>
            </w:r>
          </w:p>
        </w:tc>
      </w:tr>
      <w:tr>
        <w:tc>
          <w:tcPr>
            <w:tcW w:type="dxa" w:w="260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bCs/>
                <w:color w:val="0F6E56"/>
                <w:sz w:val="19"/>
                <w:szCs w:val="19"/>
              </w:rPr>
              <w:t xml:space="preserve">PDF generation</w:t>
            </w:r>
          </w:p>
        </w:tc>
        <w:tc>
          <w:tcPr>
            <w:tcW w:type="dxa" w:w="280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pdf-lib / Puppeteer</w:t>
            </w:r>
          </w:p>
        </w:tc>
        <w:tc>
          <w:tcPr>
            <w:tcW w:type="dxa" w:w="372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Professional BOQ and project package document output</w:t>
            </w:r>
          </w:p>
        </w:tc>
      </w:tr>
      <w:tr>
        <w:tc>
          <w:tcPr>
            <w:tcW w:type="dxa" w:w="260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bCs/>
                <w:color w:val="0F6E56"/>
                <w:sz w:val="19"/>
                <w:szCs w:val="19"/>
              </w:rPr>
              <w:t xml:space="preserve">UPI integration</w:t>
            </w:r>
          </w:p>
        </w:tc>
        <w:tc>
          <w:tcPr>
            <w:tcW w:type="dxa" w:w="280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Rwanda Land Management API</w:t>
            </w:r>
          </w:p>
        </w:tc>
        <w:tc>
          <w:tcPr>
            <w:tcW w:type="dxa" w:w="372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Real-time parcel data retrieval by UPI reference</w:t>
            </w:r>
          </w:p>
        </w:tc>
      </w:tr>
    </w:tbl>
    <w:p>
      <w:pPr>
        <w:spacing w:after="100"/>
      </w:pPr>
    </w:p>
    <w:p>
      <w:pPr>
        <w:pStyle w:val="Heading2"/>
        <w:spacing w:after="80" w:before="280"/>
      </w:pPr>
      <w:r>
        <w:rPr>
          <w:rFonts w:ascii="Arial" w:cs="Arial" w:eastAsia="Arial" w:hAnsi="Arial"/>
          <w:b/>
          <w:bCs/>
          <w:color w:val="0F6E56"/>
          <w:sz w:val="26"/>
          <w:szCs w:val="26"/>
        </w:rPr>
        <w:t xml:space="preserve">3.2 Core feature implementation</w:t>
      </w:r>
    </w:p>
    <w:p>
      <w:pPr>
        <w:pStyle w:val="Heading3"/>
        <w:spacing w:after="60" w:before="180"/>
      </w:pPr>
      <w:r>
        <w:rPr>
          <w:rFonts w:ascii="Arial" w:cs="Arial" w:eastAsia="Arial" w:hAnsi="Arial"/>
          <w:b/>
          <w:bCs/>
          <w:color w:val="1A1A18"/>
          <w:sz w:val="22"/>
          <w:szCs w:val="22"/>
        </w:rPr>
        <w:t xml:space="preserve">UPI-driven feasibility engine</w:t>
      </w:r>
    </w:p>
    <w:p>
      <w:pPr>
        <w:spacing w:after="120"/>
        <w:jc w:val="left"/>
      </w:pPr>
      <w:r>
        <w:rPr>
          <w:rFonts w:ascii="Arial" w:cs="Arial" w:eastAsia="Arial" w:hAnsi="Arial"/>
          <w:color w:val="4A4A47"/>
          <w:sz w:val="22"/>
          <w:szCs w:val="22"/>
        </w:rPr>
        <w:t xml:space="preserve">The UPI retrieval layer connects to the Rwanda Land Management and Use Authority data infrastructure. On UPI entry, the platform fetches plot dimensions, land-use classification, and zoning context. This data populates the feasibility model, which cross-references plot constraints with Rwanda construction cost benchmarks by Province and District. The output is a structured feasibility assessment — not a generic estimate.</w:t>
      </w:r>
    </w:p>
    <w:p>
      <w:pPr>
        <w:pStyle w:val="Heading3"/>
        <w:spacing w:after="60" w:before="180"/>
      </w:pPr>
      <w:r>
        <w:rPr>
          <w:rFonts w:ascii="Arial" w:cs="Arial" w:eastAsia="Arial" w:hAnsi="Arial"/>
          <w:b/>
          <w:bCs/>
          <w:color w:val="1A1A18"/>
          <w:sz w:val="22"/>
          <w:szCs w:val="22"/>
        </w:rPr>
        <w:t xml:space="preserve">Cost estimation engine</w:t>
      </w:r>
    </w:p>
    <w:p>
      <w:pPr>
        <w:spacing w:after="120"/>
        <w:jc w:val="left"/>
      </w:pPr>
      <w:r>
        <w:rPr>
          <w:rFonts w:ascii="Arial" w:cs="Arial" w:eastAsia="Arial" w:hAnsi="Arial"/>
          <w:color w:val="4A4A47"/>
          <w:sz w:val="22"/>
          <w:szCs w:val="22"/>
        </w:rPr>
        <w:t xml:space="preserve">The estimation engine is built on an admin-maintained table of Rwanda construction costs, structured by material category, Province, District, and construction type. These benchmarks are updatable without code changes. The AI layer (Claude API) handles conversational refinement — allowing users to describe variations in natural language and receive recalculated estimates in real time. Every estimate is reviewed by an assigned licensed engineer before it is marked as approved.</w:t>
      </w:r>
    </w:p>
    <w:p>
      <w:pPr>
        <w:pStyle w:val="Heading3"/>
        <w:spacing w:after="60" w:before="180"/>
      </w:pPr>
      <w:r>
        <w:rPr>
          <w:rFonts w:ascii="Arial" w:cs="Arial" w:eastAsia="Arial" w:hAnsi="Arial"/>
          <w:b/>
          <w:bCs/>
          <w:color w:val="1A1A18"/>
          <w:sz w:val="22"/>
          <w:szCs w:val="22"/>
        </w:rPr>
        <w:t xml:space="preserve">Listed drawings and plan library</w:t>
      </w:r>
    </w:p>
    <w:p>
      <w:pPr>
        <w:spacing w:after="120"/>
        <w:jc w:val="left"/>
      </w:pPr>
      <w:r>
        <w:rPr>
          <w:rFonts w:ascii="Arial" w:cs="Arial" w:eastAsia="Arial" w:hAnsi="Arial"/>
          <w:color w:val="4A4A47"/>
          <w:sz w:val="22"/>
          <w:szCs w:val="22"/>
        </w:rPr>
        <w:t xml:space="preserve">The platform hosts a searchable catalogue of architectural drawings, pre-filtered by UPI compatibility. When a user's plot data is loaded, the drawing library automatically surfaces plans that are feasible for their parcel — correct size, compatible land-use classification, appropriate structural approach for the site. Users can preview, compare, and download drawings once they identify a compatible option. AI-generated custom plans are produced for users whose requirements fall outside the standard library.</w:t>
      </w:r>
    </w:p>
    <w:p>
      <w:pPr>
        <w:pStyle w:val="Heading3"/>
        <w:spacing w:after="60" w:before="180"/>
      </w:pPr>
      <w:r>
        <w:rPr>
          <w:rFonts w:ascii="Arial" w:cs="Arial" w:eastAsia="Arial" w:hAnsi="Arial"/>
          <w:b/>
          <w:bCs/>
          <w:color w:val="1A1A18"/>
          <w:sz w:val="22"/>
          <w:szCs w:val="22"/>
        </w:rPr>
        <w:t xml:space="preserve">Marketplace — properties and plot land</w:t>
      </w:r>
    </w:p>
    <w:p>
      <w:pPr>
        <w:spacing w:after="120"/>
        <w:jc w:val="left"/>
      </w:pPr>
      <w:r>
        <w:rPr>
          <w:rFonts w:ascii="Arial" w:cs="Arial" w:eastAsia="Arial" w:hAnsi="Arial"/>
          <w:color w:val="4A4A47"/>
          <w:sz w:val="22"/>
          <w:szCs w:val="22"/>
        </w:rPr>
        <w:t xml:space="preserve">The marketplace operates with a strict location privacy protocol. Property and plot listings show Province and District only — no exact coordinates, addresses, or GPS data are exposed publicly. Full location details are released only to verified, engaged parties through the platform's controlled inquiry system. Plot listings connect to the UPI system, allowing prospective buyers to surface parcel buildability data before making contact — a capability no existing Rwanda property listing platform offers.</w:t>
      </w:r>
    </w:p>
    <w:p>
      <w:pPr>
        <w:pStyle w:val="Heading2"/>
        <w:spacing w:after="80" w:before="280"/>
      </w:pPr>
      <w:r>
        <w:rPr>
          <w:rFonts w:ascii="Arial" w:cs="Arial" w:eastAsia="Arial" w:hAnsi="Arial"/>
          <w:b/>
          <w:bCs/>
          <w:color w:val="0F6E56"/>
          <w:sz w:val="26"/>
          <w:szCs w:val="26"/>
        </w:rPr>
        <w:t xml:space="preserve">3.3 Quality and security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pStyle w:val="Heading3"/>
              <w:spacing w:after="60" w:before="180"/>
            </w:pPr>
            <w:r>
              <w:rPr>
                <w:rFonts w:ascii="Arial" w:cs="Arial" w:eastAsia="Arial" w:hAnsi="Arial"/>
                <w:b/>
                <w:bCs/>
                <w:color w:val="1A1A18"/>
                <w:sz w:val="22"/>
                <w:szCs w:val="22"/>
              </w:rPr>
              <w:t xml:space="preserve">Security</w:t>
            </w:r>
          </w:p>
          <w:p>
            <w:pPr>
              <w:pStyle w:val="ListParagraph"/>
              <w:numPr>
                <w:ilvl w:val="0"/>
                <w:numId w:val="2"/>
              </w:numPr>
              <w:spacing w:after="80"/>
            </w:pPr>
            <w:r>
              <w:rPr>
                <w:rFonts w:ascii="Arial" w:cs="Arial" w:eastAsia="Arial" w:hAnsi="Arial"/>
                <w:color w:val="4A4A47"/>
                <w:sz w:val="22"/>
                <w:szCs w:val="22"/>
              </w:rPr>
              <w:t xml:space="preserve">Role-based access across five user types (Super Admin, Admin, Engineer, Client, Guest)</w:t>
            </w:r>
          </w:p>
          <w:p>
            <w:pPr>
              <w:pStyle w:val="ListParagraph"/>
              <w:numPr>
                <w:ilvl w:val="0"/>
                <w:numId w:val="2"/>
              </w:numPr>
              <w:spacing w:after="80"/>
            </w:pPr>
            <w:r>
              <w:rPr>
                <w:rFonts w:ascii="Arial" w:cs="Arial" w:eastAsia="Arial" w:hAnsi="Arial"/>
                <w:color w:val="4A4A47"/>
                <w:sz w:val="22"/>
                <w:szCs w:val="22"/>
              </w:rPr>
              <w:t xml:space="preserve">JWT authentication with refresh tokens</w:t>
            </w:r>
          </w:p>
          <w:p>
            <w:pPr>
              <w:pStyle w:val="ListParagraph"/>
              <w:numPr>
                <w:ilvl w:val="0"/>
                <w:numId w:val="2"/>
              </w:numPr>
              <w:spacing w:after="80"/>
            </w:pPr>
            <w:r>
              <w:rPr>
                <w:rFonts w:ascii="Arial" w:cs="Arial" w:eastAsia="Arial" w:hAnsi="Arial"/>
                <w:color w:val="4A4A47"/>
                <w:sz w:val="22"/>
                <w:szCs w:val="22"/>
              </w:rPr>
              <w:t xml:space="preserve">No sensitive parcel or personal data exposed in public APIs</w:t>
            </w:r>
          </w:p>
          <w:p>
            <w:pPr>
              <w:pStyle w:val="ListParagraph"/>
              <w:numPr>
                <w:ilvl w:val="0"/>
                <w:numId w:val="2"/>
              </w:numPr>
              <w:spacing w:after="80"/>
            </w:pPr>
            <w:r>
              <w:rPr>
                <w:rFonts w:ascii="Arial" w:cs="Arial" w:eastAsia="Arial" w:hAnsi="Arial"/>
                <w:color w:val="4A4A47"/>
                <w:sz w:val="22"/>
                <w:szCs w:val="22"/>
              </w:rPr>
              <w:t xml:space="preserve">HTTPS enforced; rate limiting on all public endpoints</w:t>
            </w:r>
          </w:p>
          <w:p>
            <w:pPr>
              <w:pStyle w:val="ListParagraph"/>
              <w:numPr>
                <w:ilvl w:val="0"/>
                <w:numId w:val="2"/>
              </w:numPr>
              <w:spacing w:after="80"/>
            </w:pPr>
            <w:r>
              <w:rPr>
                <w:rFonts w:ascii="Arial" w:cs="Arial" w:eastAsia="Arial" w:hAnsi="Arial"/>
                <w:color w:val="4A4A47"/>
                <w:sz w:val="22"/>
                <w:szCs w:val="22"/>
              </w:rPr>
              <w:t xml:space="preserve">Input validation and sanitisation on all forms</w:t>
            </w:r>
          </w:p>
        </w:tc>
        <w:tc>
          <w:tcPr>
            <w:tcW w:type="dxa" w:w="24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tc>
        <w:tc>
          <w:tcPr>
            <w:tcW w:type="dxa" w:w="45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pStyle w:val="Heading3"/>
              <w:spacing w:after="60" w:before="180"/>
            </w:pPr>
            <w:r>
              <w:rPr>
                <w:rFonts w:ascii="Arial" w:cs="Arial" w:eastAsia="Arial" w:hAnsi="Arial"/>
                <w:b/>
                <w:bCs/>
                <w:color w:val="1A1A18"/>
                <w:sz w:val="22"/>
                <w:szCs w:val="22"/>
              </w:rPr>
              <w:t xml:space="preserve">Performance</w:t>
            </w:r>
          </w:p>
          <w:p>
            <w:pPr>
              <w:pStyle w:val="ListParagraph"/>
              <w:numPr>
                <w:ilvl w:val="0"/>
                <w:numId w:val="2"/>
              </w:numPr>
              <w:spacing w:after="80"/>
            </w:pPr>
            <w:r>
              <w:rPr>
                <w:rFonts w:ascii="Arial" w:cs="Arial" w:eastAsia="Arial" w:hAnsi="Arial"/>
                <w:color w:val="4A4A47"/>
                <w:sz w:val="22"/>
                <w:szCs w:val="22"/>
              </w:rPr>
              <w:t xml:space="preserve">Page load target: under 2 seconds (LCP)</w:t>
            </w:r>
          </w:p>
          <w:p>
            <w:pPr>
              <w:pStyle w:val="ListParagraph"/>
              <w:numPr>
                <w:ilvl w:val="0"/>
                <w:numId w:val="2"/>
              </w:numPr>
              <w:spacing w:after="80"/>
            </w:pPr>
            <w:r>
              <w:rPr>
                <w:rFonts w:ascii="Arial" w:cs="Arial" w:eastAsia="Arial" w:hAnsi="Arial"/>
                <w:color w:val="4A4A47"/>
                <w:sz w:val="22"/>
                <w:szCs w:val="22"/>
              </w:rPr>
              <w:t xml:space="preserve">API response target: under 500ms for standard requests</w:t>
            </w:r>
          </w:p>
          <w:p>
            <w:pPr>
              <w:pStyle w:val="ListParagraph"/>
              <w:numPr>
                <w:ilvl w:val="0"/>
                <w:numId w:val="2"/>
              </w:numPr>
              <w:spacing w:after="80"/>
            </w:pPr>
            <w:r>
              <w:rPr>
                <w:rFonts w:ascii="Arial" w:cs="Arial" w:eastAsia="Arial" w:hAnsi="Arial"/>
                <w:color w:val="4A4A47"/>
                <w:sz w:val="22"/>
                <w:szCs w:val="22"/>
              </w:rPr>
              <w:t xml:space="preserve">CDN-distributed static assets; lazy loading for documents and images</w:t>
            </w:r>
          </w:p>
          <w:p>
            <w:pPr>
              <w:pStyle w:val="ListParagraph"/>
              <w:numPr>
                <w:ilvl w:val="0"/>
                <w:numId w:val="2"/>
              </w:numPr>
              <w:spacing w:after="80"/>
            </w:pPr>
            <w:r>
              <w:rPr>
                <w:rFonts w:ascii="Arial" w:cs="Arial" w:eastAsia="Arial" w:hAnsi="Arial"/>
                <w:color w:val="4A4A47"/>
                <w:sz w:val="22"/>
                <w:szCs w:val="22"/>
              </w:rPr>
              <w:t xml:space="preserve">Database queries indexed and optimised for concurrent access</w:t>
            </w:r>
          </w:p>
          <w:p>
            <w:pPr>
              <w:pStyle w:val="ListParagraph"/>
              <w:numPr>
                <w:ilvl w:val="0"/>
                <w:numId w:val="2"/>
              </w:numPr>
              <w:spacing w:after="80"/>
            </w:pPr>
            <w:r>
              <w:rPr>
                <w:rFonts w:ascii="Arial" w:cs="Arial" w:eastAsia="Arial" w:hAnsi="Arial"/>
                <w:color w:val="4A4A47"/>
                <w:sz w:val="22"/>
                <w:szCs w:val="22"/>
              </w:rPr>
              <w:t xml:space="preserve">Object storage for all documents — no local disk dependency</w:t>
            </w:r>
          </w:p>
        </w:tc>
      </w:tr>
    </w:tbl>
    <w:p>
      <w:pPr>
        <w:spacing w:after="200"/>
      </w:pPr>
    </w:p>
    <w:p>
      <w:r>
        <w:br w:type="page"/>
      </w:r>
    </w:p>
    <w:p>
      <w:pPr>
        <w:pStyle w:val="Heading1"/>
        <w:pBdr>
          <w:bottom w:val="single" w:color="1D9E75" w:sz="6" w:space="6"/>
        </w:pBdr>
        <w:spacing w:after="120" w:before="440"/>
      </w:pPr>
      <w:r>
        <w:rPr>
          <w:rFonts w:ascii="Arial" w:cs="Arial" w:eastAsia="Arial" w:hAnsi="Arial"/>
          <w:b/>
          <w:bCs/>
          <w:color w:val="1A1A18"/>
          <w:sz w:val="38"/>
          <w:szCs w:val="38"/>
        </w:rPr>
        <w:t xml:space="preserve">4. Practical impact</w:t>
      </w:r>
    </w:p>
    <w:p>
      <w:pPr>
        <w:pStyle w:val="Heading2"/>
        <w:spacing w:after="80" w:before="280"/>
      </w:pPr>
      <w:r>
        <w:rPr>
          <w:rFonts w:ascii="Arial" w:cs="Arial" w:eastAsia="Arial" w:hAnsi="Arial"/>
          <w:b/>
          <w:bCs/>
          <w:color w:val="0F6E56"/>
          <w:sz w:val="26"/>
          <w:szCs w:val="26"/>
        </w:rPr>
        <w:t xml:space="preserve">4.1 Who it helps and 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pStyle w:val="Heading3"/>
              <w:spacing w:after="60" w:before="180"/>
            </w:pPr>
            <w:r>
              <w:rPr>
                <w:rFonts w:ascii="Arial" w:cs="Arial" w:eastAsia="Arial" w:hAnsi="Arial"/>
                <w:b/>
                <w:bCs/>
                <w:color w:val="1A1A18"/>
                <w:sz w:val="22"/>
                <w:szCs w:val="22"/>
              </w:rPr>
              <w:t xml:space="preserve">Individual homeowners</w:t>
            </w:r>
          </w:p>
          <w:p>
            <w:pPr>
              <w:spacing w:after="120"/>
              <w:jc w:val="left"/>
            </w:pPr>
            <w:r>
              <w:rPr>
                <w:rFonts w:ascii="Arial" w:cs="Arial" w:eastAsia="Arial" w:hAnsi="Arial"/>
                <w:color w:val="4A4A47"/>
                <w:sz w:val="22"/>
                <w:szCs w:val="22"/>
              </w:rPr>
              <w:t xml:space="preserve">A family in Kicukiro with savings and a plot of land can enter their UPI, describe what they want to build, and receive within minutes: an honest assessment of what their budget will achieve on their specific plot, a filtered list of compatible architectural drawings to browse, and a connection to a verified engineer to review the plan. They proceed with confidence — not guesswork.</w:t>
            </w:r>
          </w:p>
        </w:tc>
        <w:tc>
          <w:tcPr>
            <w:tcW w:type="dxa" w:w="24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tc>
        <w:tc>
          <w:tcPr>
            <w:tcW w:type="dxa" w:w="45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pStyle w:val="Heading3"/>
              <w:spacing w:after="60" w:before="180"/>
            </w:pPr>
            <w:r>
              <w:rPr>
                <w:rFonts w:ascii="Arial" w:cs="Arial" w:eastAsia="Arial" w:hAnsi="Arial"/>
                <w:b/>
                <w:bCs/>
                <w:color w:val="1A1A18"/>
                <w:sz w:val="22"/>
                <w:szCs w:val="22"/>
              </w:rPr>
              <w:t xml:space="preserve">Plot land buyers</w:t>
            </w:r>
          </w:p>
          <w:p>
            <w:pPr>
              <w:spacing w:after="120"/>
              <w:jc w:val="left"/>
            </w:pPr>
            <w:r>
              <w:rPr>
                <w:rFonts w:ascii="Arial" w:cs="Arial" w:eastAsia="Arial" w:hAnsi="Arial"/>
                <w:color w:val="4A4A47"/>
                <w:sz w:val="22"/>
                <w:szCs w:val="22"/>
              </w:rPr>
              <w:t xml:space="preserve">A buyer browsing the marketplace can view any listed plot and immediately see its UPI-derived buildability profile — what can legally be built, how much it would cost, and which listed drawings are compatible — before making an inquiry. This transforms how land is evaluated and transacted in Rwanda.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pStyle w:val="Heading3"/>
              <w:spacing w:after="60" w:before="180"/>
            </w:pPr>
            <w:r>
              <w:rPr>
                <w:rFonts w:ascii="Arial" w:cs="Arial" w:eastAsia="Arial" w:hAnsi="Arial"/>
                <w:b/>
                <w:bCs/>
                <w:color w:val="1A1A18"/>
                <w:sz w:val="22"/>
                <w:szCs w:val="22"/>
              </w:rPr>
              <w:t xml:space="preserve">Engineers and architects</w:t>
            </w:r>
          </w:p>
          <w:p>
            <w:pPr>
              <w:spacing w:after="120"/>
              <w:jc w:val="left"/>
            </w:pPr>
            <w:r>
              <w:rPr>
                <w:rFonts w:ascii="Arial" w:cs="Arial" w:eastAsia="Arial" w:hAnsi="Arial"/>
                <w:color w:val="4A4A47"/>
                <w:sz w:val="22"/>
                <w:szCs w:val="22"/>
              </w:rPr>
              <w:t xml:space="preserve">Verified professionals receive pre-qualified project referrals through the platform. AI has already done the initial estimation; the engineer's role is to review, refine, and approve — a workflow that multiplies their capacity without reducing quality. Every approval carries their professional identity and is logged with a full audit trail.</w:t>
            </w:r>
          </w:p>
        </w:tc>
        <w:tc>
          <w:tcPr>
            <w:tcW w:type="dxa" w:w="24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tc>
        <w:tc>
          <w:tcPr>
            <w:tcW w:type="dxa" w:w="45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pStyle w:val="Heading3"/>
              <w:spacing w:after="60" w:before="180"/>
            </w:pPr>
            <w:r>
              <w:rPr>
                <w:rFonts w:ascii="Arial" w:cs="Arial" w:eastAsia="Arial" w:hAnsi="Arial"/>
                <w:b/>
                <w:bCs/>
                <w:color w:val="1A1A18"/>
                <w:sz w:val="22"/>
                <w:szCs w:val="22"/>
              </w:rPr>
              <w:t xml:space="preserve">District authorities</w:t>
            </w:r>
          </w:p>
          <w:p>
            <w:pPr>
              <w:spacing w:after="120"/>
              <w:jc w:val="left"/>
            </w:pPr>
            <w:r>
              <w:rPr>
                <w:rFonts w:ascii="Arial" w:cs="Arial" w:eastAsia="Arial" w:hAnsi="Arial"/>
                <w:color w:val="4A4A47"/>
                <w:sz w:val="22"/>
                <w:szCs w:val="22"/>
              </w:rPr>
              <w:t xml:space="preserve">Project packages generated by CivilBridge are structured to Rwanda district permit submission standards. This reduces incomplete or non-compliant applications, accelerates processing, and creates a documented record of pre-approval feasibility assessment for each project.</w:t>
            </w:r>
          </w:p>
        </w:tc>
      </w:tr>
    </w:tbl>
    <w:p>
      <w:pPr>
        <w:spacing w:after="100"/>
      </w:pPr>
    </w:p>
    <w:p>
      <w:pPr>
        <w:pStyle w:val="Heading2"/>
        <w:spacing w:after="80" w:before="280"/>
      </w:pPr>
      <w:r>
        <w:rPr>
          <w:rFonts w:ascii="Arial" w:cs="Arial" w:eastAsia="Arial" w:hAnsi="Arial"/>
          <w:b/>
          <w:bCs/>
          <w:color w:val="0F6E56"/>
          <w:sz w:val="26"/>
          <w:szCs w:val="26"/>
        </w:rPr>
        <w:t xml:space="preserve">4.2 Why this matters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6"/>
              <w:bottom w:val="none" w:color="FFFFFF" w:sz="0"/>
              <w:right w:val="none" w:color="FFFFFF" w:sz="0"/>
            </w:tcBorders>
            <w:shd w:fill="E1F5EE" w:val="clear"/>
            <w:tcMar>
              <w:top w:type="dxa" w:w="160"/>
              <w:left w:type="dxa" w:w="220"/>
              <w:bottom w:type="dxa" w:w="160"/>
              <w:right w:type="dxa" w:w="200"/>
            </w:tcMar>
          </w:tcPr>
          <w:p>
            <w:pPr>
              <w:spacing w:after="50"/>
            </w:pPr>
            <w:r>
              <w:rPr>
                <w:rFonts w:ascii="Arial" w:cs="Arial" w:eastAsia="Arial" w:hAnsi="Arial"/>
                <w:b/>
                <w:bCs/>
                <w:color w:val="085041"/>
                <w:sz w:val="19"/>
                <w:szCs w:val="19"/>
              </w:rPr>
              <w:t xml:space="preserve">The construction failure problem</w:t>
            </w:r>
          </w:p>
          <w:p>
            <w:pPr>
              <w:spacing w:after="0"/>
            </w:pPr>
            <w:r>
              <w:rPr>
                <w:rFonts w:ascii="Arial" w:cs="Arial" w:eastAsia="Arial" w:hAnsi="Arial"/>
                <w:color w:val="1A1A18"/>
                <w:sz w:val="22"/>
                <w:szCs w:val="22"/>
              </w:rPr>
              <w:t xml:space="preserve">In Rwanda, a significant proportion of self-built residential projects stall mid-construction — foundations poured, walls begun, then halted when money runs out. The root cause is almost always the same: the owner began building without accurate cost information. CivilBridge eliminates this failure mode by making accurate, parcel-specific cost intelligence accessible before any money is spent.</w:t>
            </w:r>
          </w:p>
        </w:tc>
      </w:tr>
    </w:tbl>
    <w:p>
      <w:pPr>
        <w:spacing w:after="200"/>
      </w:pPr>
    </w:p>
    <w:p>
      <w:r>
        <w:br w:type="page"/>
      </w:r>
    </w:p>
    <w:p>
      <w:pPr>
        <w:pStyle w:val="Heading1"/>
        <w:pBdr>
          <w:bottom w:val="single" w:color="1D9E75" w:sz="6" w:space="6"/>
        </w:pBdr>
        <w:spacing w:after="120" w:before="440"/>
      </w:pPr>
      <w:r>
        <w:rPr>
          <w:rFonts w:ascii="Arial" w:cs="Arial" w:eastAsia="Arial" w:hAnsi="Arial"/>
          <w:b/>
          <w:bCs/>
          <w:color w:val="1A1A18"/>
          <w:sz w:val="38"/>
          <w:szCs w:val="38"/>
        </w:rPr>
        <w:t xml:space="preserve">5. Sustainability potential</w:t>
      </w:r>
    </w:p>
    <w:p>
      <w:pPr>
        <w:pStyle w:val="Heading2"/>
        <w:spacing w:after="80" w:before="280"/>
      </w:pPr>
      <w:r>
        <w:rPr>
          <w:rFonts w:ascii="Arial" w:cs="Arial" w:eastAsia="Arial" w:hAnsi="Arial"/>
          <w:b/>
          <w:bCs/>
          <w:color w:val="0F6E56"/>
          <w:sz w:val="26"/>
          <w:szCs w:val="26"/>
        </w:rPr>
        <w:t xml:space="preserve">5.1 Commercial sustainability</w:t>
      </w:r>
    </w:p>
    <w:p>
      <w:pPr>
        <w:spacing w:after="120"/>
        <w:jc w:val="left"/>
      </w:pPr>
      <w:r>
        <w:rPr>
          <w:rFonts w:ascii="Arial" w:cs="Arial" w:eastAsia="Arial" w:hAnsi="Arial"/>
          <w:color w:val="4A4A47"/>
          <w:sz w:val="22"/>
          <w:szCs w:val="22"/>
        </w:rPr>
        <w:t xml:space="preserve">CivilBridge operates a multi-sided platform model with revenue from both client and professional participants. The structure is designed to be accessible to individual clients — the primary impact market — while generating sustainable professional-side revenue from the outset.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pStyle w:val="Heading3"/>
              <w:spacing w:after="60" w:before="180"/>
            </w:pPr>
            <w:r>
              <w:rPr>
                <w:rFonts w:ascii="Arial" w:cs="Arial" w:eastAsia="Arial" w:hAnsi="Arial"/>
                <w:b/>
                <w:bCs/>
                <w:color w:val="1A1A18"/>
                <w:sz w:val="22"/>
                <w:szCs w:val="22"/>
              </w:rPr>
              <w:t xml:space="preserve">Client side</w:t>
            </w:r>
          </w:p>
          <w:p>
            <w:pPr>
              <w:pStyle w:val="ListParagraph"/>
              <w:numPr>
                <w:ilvl w:val="0"/>
                <w:numId w:val="2"/>
              </w:numPr>
              <w:spacing w:after="80"/>
            </w:pPr>
            <w:r>
              <w:rPr>
                <w:rFonts w:ascii="Arial" w:cs="Arial" w:eastAsia="Arial" w:hAnsi="Arial"/>
                <w:color w:val="4A4A47"/>
                <w:sz w:val="22"/>
                <w:szCs w:val="22"/>
              </w:rPr>
              <w:t xml:space="preserve">Free access to budget analysis and drawing library browsing</w:t>
            </w:r>
          </w:p>
          <w:p>
            <w:pPr>
              <w:pStyle w:val="ListParagraph"/>
              <w:numPr>
                <w:ilvl w:val="0"/>
                <w:numId w:val="2"/>
              </w:numPr>
              <w:spacing w:after="80"/>
            </w:pPr>
            <w:r>
              <w:rPr>
                <w:rFonts w:ascii="Arial" w:cs="Arial" w:eastAsia="Arial" w:hAnsi="Arial"/>
                <w:color w:val="4A4A47"/>
                <w:sz w:val="22"/>
                <w:szCs w:val="22"/>
              </w:rPr>
              <w:t xml:space="preserve">Project package generation (BOQ, feasibility report, permit documents) is a paid service</w:t>
            </w:r>
          </w:p>
          <w:p>
            <w:pPr>
              <w:pStyle w:val="ListParagraph"/>
              <w:numPr>
                <w:ilvl w:val="0"/>
                <w:numId w:val="2"/>
              </w:numPr>
              <w:spacing w:after="80"/>
            </w:pPr>
            <w:r>
              <w:rPr>
                <w:rFonts w:ascii="Arial" w:cs="Arial" w:eastAsia="Arial" w:hAnsi="Arial"/>
                <w:color w:val="4A4A47"/>
                <w:sz w:val="22"/>
                <w:szCs w:val="22"/>
              </w:rPr>
              <w:t xml:space="preserve">Per-project pricing keeps the service accessible to individual homeowners</w:t>
            </w:r>
          </w:p>
        </w:tc>
        <w:tc>
          <w:tcPr>
            <w:tcW w:type="dxa" w:w="24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tc>
        <w:tc>
          <w:tcPr>
            <w:tcW w:type="dxa" w:w="45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pStyle w:val="Heading3"/>
              <w:spacing w:after="60" w:before="180"/>
            </w:pPr>
            <w:r>
              <w:rPr>
                <w:rFonts w:ascii="Arial" w:cs="Arial" w:eastAsia="Arial" w:hAnsi="Arial"/>
                <w:b/>
                <w:bCs/>
                <w:color w:val="1A1A18"/>
                <w:sz w:val="22"/>
                <w:szCs w:val="22"/>
              </w:rPr>
              <w:t xml:space="preserve">Professional side</w:t>
            </w:r>
          </w:p>
          <w:p>
            <w:pPr>
              <w:pStyle w:val="ListParagraph"/>
              <w:numPr>
                <w:ilvl w:val="0"/>
                <w:numId w:val="2"/>
              </w:numPr>
              <w:spacing w:after="80"/>
            </w:pPr>
            <w:r>
              <w:rPr>
                <w:rFonts w:ascii="Arial" w:cs="Arial" w:eastAsia="Arial" w:hAnsi="Arial"/>
                <w:color w:val="4A4A47"/>
                <w:sz w:val="22"/>
                <w:szCs w:val="22"/>
              </w:rPr>
              <w:t xml:space="preserve">Verified professionals participate in a project referral system</w:t>
            </w:r>
          </w:p>
          <w:p>
            <w:pPr>
              <w:pStyle w:val="ListParagraph"/>
              <w:numPr>
                <w:ilvl w:val="0"/>
                <w:numId w:val="2"/>
              </w:numPr>
              <w:spacing w:after="80"/>
            </w:pPr>
            <w:r>
              <w:rPr>
                <w:rFonts w:ascii="Arial" w:cs="Arial" w:eastAsia="Arial" w:hAnsi="Arial"/>
                <w:color w:val="4A4A47"/>
                <w:sz w:val="22"/>
                <w:szCs w:val="22"/>
              </w:rPr>
              <w:t xml:space="preserve">Commercial arrangement reflects value delivered through qualified introductions</w:t>
            </w:r>
          </w:p>
          <w:p>
            <w:pPr>
              <w:pStyle w:val="ListParagraph"/>
              <w:numPr>
                <w:ilvl w:val="0"/>
                <w:numId w:val="2"/>
              </w:numPr>
              <w:spacing w:after="80"/>
            </w:pPr>
            <w:r>
              <w:rPr>
                <w:rFonts w:ascii="Arial" w:cs="Arial" w:eastAsia="Arial" w:hAnsi="Arial"/>
                <w:color w:val="4A4A47"/>
                <w:sz w:val="22"/>
                <w:szCs w:val="22"/>
              </w:rPr>
              <w:t xml:space="preserve">Marketplace listing revenue as volume scales</w:t>
            </w:r>
          </w:p>
        </w:tc>
      </w:tr>
    </w:tbl>
    <w:p>
      <w:pPr>
        <w:spacing w:after="100"/>
      </w:pPr>
    </w:p>
    <w:p>
      <w:pPr>
        <w:pStyle w:val="Heading2"/>
        <w:spacing w:after="80" w:before="280"/>
      </w:pPr>
      <w:r>
        <w:rPr>
          <w:rFonts w:ascii="Arial" w:cs="Arial" w:eastAsia="Arial" w:hAnsi="Arial"/>
          <w:b/>
          <w:bCs/>
          <w:color w:val="0F6E56"/>
          <w:sz w:val="26"/>
          <w:szCs w:val="26"/>
        </w:rPr>
        <w:t xml:space="preserve">5.2 Data and network sustainability</w:t>
      </w:r>
    </w:p>
    <w:p>
      <w:pPr>
        <w:spacing w:after="120"/>
        <w:jc w:val="left"/>
      </w:pPr>
      <w:r>
        <w:rPr>
          <w:rFonts w:ascii="Arial" w:cs="Arial" w:eastAsia="Arial" w:hAnsi="Arial"/>
          <w:color w:val="4A4A47"/>
          <w:sz w:val="22"/>
          <w:szCs w:val="22"/>
        </w:rPr>
        <w:t xml:space="preserve">CivilBridge becomes more valuable as it scales. Each project adds to the Rwanda construction cost dataset, improving estimate accuracy. Each verified professional strengthens the expert network. Each marketplace transaction builds the platform's credibility with land buyers and sellers. The data assets compound in a way that makes the platform progressively harder to replicate.</w:t>
      </w:r>
    </w:p>
    <w:p>
      <w:pPr>
        <w:pStyle w:val="Heading2"/>
        <w:spacing w:after="80" w:before="280"/>
      </w:pPr>
      <w:r>
        <w:rPr>
          <w:rFonts w:ascii="Arial" w:cs="Arial" w:eastAsia="Arial" w:hAnsi="Arial"/>
          <w:b/>
          <w:bCs/>
          <w:color w:val="0F6E56"/>
          <w:sz w:val="26"/>
          <w:szCs w:val="26"/>
        </w:rPr>
        <w:t xml:space="preserve">5.3 Institutional and public sector sustainability</w:t>
      </w:r>
    </w:p>
    <w:p>
      <w:pPr>
        <w:spacing w:after="120"/>
        <w:jc w:val="left"/>
      </w:pPr>
      <w:r>
        <w:rPr>
          <w:rFonts w:ascii="Arial" w:cs="Arial" w:eastAsia="Arial" w:hAnsi="Arial"/>
          <w:color w:val="4A4A47"/>
          <w:sz w:val="22"/>
          <w:szCs w:val="22"/>
        </w:rPr>
        <w:t xml:space="preserve">As platform volume grows, institutional relationships with banks offering construction financing, insurance providers underwriting building projects, and Rwanda district authorities processing permit applications represent a significant secondary revenue stream. These relationships also embed CivilBridge into the formal construction regulatory process — creating a form of structural sustainability that goes beyond commercial revenue.</w:t>
      </w:r>
    </w:p>
    <w:p>
      <w:pPr>
        <w:pStyle w:val="Heading2"/>
        <w:spacing w:after="80" w:before="280"/>
      </w:pPr>
      <w:r>
        <w:rPr>
          <w:rFonts w:ascii="Arial" w:cs="Arial" w:eastAsia="Arial" w:hAnsi="Arial"/>
          <w:b/>
          <w:bCs/>
          <w:color w:val="0F6E56"/>
          <w:sz w:val="26"/>
          <w:szCs w:val="26"/>
        </w:rPr>
        <w:t xml:space="preserve">5.4 Expansion sustainability</w:t>
      </w:r>
    </w:p>
    <w:p>
      <w:pPr>
        <w:spacing w:after="120"/>
        <w:jc w:val="left"/>
      </w:pPr>
      <w:r>
        <w:rPr>
          <w:rFonts w:ascii="Arial" w:cs="Arial" w:eastAsia="Arial" w:hAnsi="Arial"/>
          <w:color w:val="4A4A47"/>
          <w:sz w:val="22"/>
          <w:szCs w:val="22"/>
        </w:rPr>
        <w:t xml:space="preserve">The platform architecture is designed for regional extension. Rwanda-specific cost benchmarks, UPI integration, and professional networks are the local layer. The underlying platform — estimation engine, drawing library, marketplace, expert directory — is replicable to Kenya, Uganda, and Tanzania with localised data. The expansion path is structural, not speculative.</w:t>
      </w:r>
    </w:p>
    <w:p>
      <w:pPr>
        <w:spacing w:after="200"/>
      </w:pPr>
    </w:p>
    <w:p>
      <w:r>
        <w:br w:type="page"/>
      </w:r>
    </w:p>
    <w:p>
      <w:pPr>
        <w:pStyle w:val="Heading1"/>
        <w:pBdr>
          <w:bottom w:val="single" w:color="1D9E75" w:sz="6" w:space="6"/>
        </w:pBdr>
        <w:spacing w:after="120" w:before="440"/>
      </w:pPr>
      <w:r>
        <w:rPr>
          <w:rFonts w:ascii="Arial" w:cs="Arial" w:eastAsia="Arial" w:hAnsi="Arial"/>
          <w:b/>
          <w:bCs/>
          <w:color w:val="1A1A18"/>
          <w:sz w:val="38"/>
          <w:szCs w:val="38"/>
        </w:rPr>
        <w:t xml:space="preserve">6. Competitive positioning</w:t>
      </w:r>
    </w:p>
    <w:p>
      <w:pPr>
        <w:spacing w:after="120"/>
        <w:jc w:val="left"/>
      </w:pPr>
      <w:r>
        <w:rPr>
          <w:rFonts w:ascii="Arial" w:cs="Arial" w:eastAsia="Arial" w:hAnsi="Arial"/>
          <w:color w:val="4A4A47"/>
          <w:sz w:val="22"/>
          <w:szCs w:val="22"/>
        </w:rPr>
        <w:t xml:space="preserve">CivilBridge competes in a space currently served by fragmented partial solutions. The table below shows how the platform compares across the dimensions that matter to its primary users.</w:t>
      </w:r>
    </w:p>
    <w:p>
      <w:pPr>
        <w:spacing w:after="100"/>
      </w:pP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600"/>
        <w:gridCol w:w="1720"/>
        <w:gridCol w:w="1720"/>
        <w:gridCol w:w="1720"/>
        <w:gridCol w:w="1720"/>
      </w:tblGrid>
      <w:tr>
        <w:tc>
          <w:tcPr>
            <w:tcW w:type="dxa" w:w="2600"/>
            <w:tcBorders>
              <w:top w:val="single" w:color="0F6E56" w:sz="1"/>
              <w:left w:val="single" w:color="0F6E56" w:sz="1"/>
              <w:bottom w:val="single" w:color="0F6E56" w:sz="1"/>
              <w:right w:val="single" w:color="0F6E56" w:sz="1"/>
            </w:tcBorders>
            <w:shd w:fill="0F6E56" w:val="clear"/>
            <w:tcMar>
              <w:top w:type="dxa" w:w="110"/>
              <w:left w:type="dxa" w:w="160"/>
              <w:bottom w:type="dxa" w:w="110"/>
              <w:right w:type="dxa" w:w="120"/>
            </w:tcMar>
          </w:tcPr>
          <w:p>
            <w:r>
              <w:rPr>
                <w:rFonts w:ascii="Arial" w:cs="Arial" w:eastAsia="Arial" w:hAnsi="Arial"/>
                <w:b/>
                <w:bCs/>
                <w:color w:val="FFFFFF"/>
                <w:sz w:val="19"/>
                <w:szCs w:val="19"/>
              </w:rPr>
              <w:t xml:space="preserve">Dimension</w:t>
            </w:r>
          </w:p>
        </w:tc>
        <w:tc>
          <w:tcPr>
            <w:tcW w:type="dxa" w:w="1720"/>
            <w:tcBorders>
              <w:top w:val="single" w:color="0F6E56" w:sz="1"/>
              <w:left w:val="single" w:color="0F6E56" w:sz="1"/>
              <w:bottom w:val="single" w:color="0F6E56" w:sz="1"/>
              <w:right w:val="single" w:color="0F6E56" w:sz="1"/>
            </w:tcBorders>
            <w:shd w:fill="0F6E56" w:val="clear"/>
            <w:tcMar>
              <w:top w:type="dxa" w:w="110"/>
              <w:left w:type="dxa" w:w="160"/>
              <w:bottom w:type="dxa" w:w="110"/>
              <w:right w:type="dxa" w:w="120"/>
            </w:tcMar>
          </w:tcPr>
          <w:p>
            <w:r>
              <w:rPr>
                <w:rFonts w:ascii="Arial" w:cs="Arial" w:eastAsia="Arial" w:hAnsi="Arial"/>
                <w:b/>
                <w:bCs/>
                <w:color w:val="FFFFFF"/>
                <w:sz w:val="19"/>
                <w:szCs w:val="19"/>
              </w:rPr>
              <w:t xml:space="preserve">Generic SaaS tools</w:t>
            </w:r>
          </w:p>
        </w:tc>
        <w:tc>
          <w:tcPr>
            <w:tcW w:type="dxa" w:w="1720"/>
            <w:tcBorders>
              <w:top w:val="single" w:color="0F6E56" w:sz="1"/>
              <w:left w:val="single" w:color="0F6E56" w:sz="1"/>
              <w:bottom w:val="single" w:color="0F6E56" w:sz="1"/>
              <w:right w:val="single" w:color="0F6E56" w:sz="1"/>
            </w:tcBorders>
            <w:shd w:fill="0F6E56" w:val="clear"/>
            <w:tcMar>
              <w:top w:type="dxa" w:w="110"/>
              <w:left w:type="dxa" w:w="160"/>
              <w:bottom w:type="dxa" w:w="110"/>
              <w:right w:type="dxa" w:w="120"/>
            </w:tcMar>
          </w:tcPr>
          <w:p>
            <w:r>
              <w:rPr>
                <w:rFonts w:ascii="Arial" w:cs="Arial" w:eastAsia="Arial" w:hAnsi="Arial"/>
                <w:b/>
                <w:bCs/>
                <w:color w:val="FFFFFF"/>
                <w:sz w:val="19"/>
                <w:szCs w:val="19"/>
              </w:rPr>
              <w:t xml:space="preserve">Local consultants</w:t>
            </w:r>
          </w:p>
        </w:tc>
        <w:tc>
          <w:tcPr>
            <w:tcW w:type="dxa" w:w="1720"/>
            <w:tcBorders>
              <w:top w:val="single" w:color="0F6E56" w:sz="1"/>
              <w:left w:val="single" w:color="0F6E56" w:sz="1"/>
              <w:bottom w:val="single" w:color="0F6E56" w:sz="1"/>
              <w:right w:val="single" w:color="0F6E56" w:sz="1"/>
            </w:tcBorders>
            <w:shd w:fill="0F6E56" w:val="clear"/>
            <w:tcMar>
              <w:top w:type="dxa" w:w="110"/>
              <w:left w:type="dxa" w:w="160"/>
              <w:bottom w:type="dxa" w:w="110"/>
              <w:right w:type="dxa" w:w="120"/>
            </w:tcMar>
          </w:tcPr>
          <w:p>
            <w:r>
              <w:rPr>
                <w:rFonts w:ascii="Arial" w:cs="Arial" w:eastAsia="Arial" w:hAnsi="Arial"/>
                <w:b/>
                <w:bCs/>
                <w:color w:val="FFFFFF"/>
                <w:sz w:val="19"/>
                <w:szCs w:val="19"/>
              </w:rPr>
              <w:t xml:space="preserve">Manual process</w:t>
            </w:r>
          </w:p>
        </w:tc>
        <w:tc>
          <w:tcPr>
            <w:tcW w:type="dxa" w:w="1720"/>
            <w:tcBorders>
              <w:top w:val="single" w:color="0F6E56" w:sz="1"/>
              <w:left w:val="single" w:color="0F6E56" w:sz="1"/>
              <w:bottom w:val="single" w:color="0F6E56" w:sz="1"/>
              <w:right w:val="single" w:color="0F6E56" w:sz="1"/>
            </w:tcBorders>
            <w:shd w:fill="0F6E56" w:val="clear"/>
            <w:tcMar>
              <w:top w:type="dxa" w:w="110"/>
              <w:left w:type="dxa" w:w="160"/>
              <w:bottom w:type="dxa" w:w="110"/>
              <w:right w:type="dxa" w:w="120"/>
            </w:tcMar>
          </w:tcPr>
          <w:p>
            <w:r>
              <w:rPr>
                <w:rFonts w:ascii="Arial" w:cs="Arial" w:eastAsia="Arial" w:hAnsi="Arial"/>
                <w:b/>
                <w:bCs/>
                <w:color w:val="FFFFFF"/>
                <w:sz w:val="19"/>
                <w:szCs w:val="19"/>
              </w:rPr>
              <w:t xml:space="preserve">CivilBridge</w:t>
            </w:r>
          </w:p>
        </w:tc>
      </w:tr>
      <w:tr>
        <w:tc>
          <w:tcPr>
            <w:tcW w:type="dxa" w:w="260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bCs/>
                <w:color w:val="0F6E56"/>
                <w:sz w:val="19"/>
                <w:szCs w:val="19"/>
              </w:rPr>
              <w:t xml:space="preserve">UPI land data integration</w:t>
            </w:r>
          </w:p>
        </w:tc>
        <w:tc>
          <w:tcPr>
            <w:tcW w:type="dxa" w:w="172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None</w:t>
            </w:r>
          </w:p>
        </w:tc>
        <w:tc>
          <w:tcPr>
            <w:tcW w:type="dxa" w:w="172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None</w:t>
            </w:r>
          </w:p>
        </w:tc>
        <w:tc>
          <w:tcPr>
            <w:tcW w:type="dxa" w:w="172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None</w:t>
            </w:r>
          </w:p>
        </w:tc>
        <w:tc>
          <w:tcPr>
            <w:tcW w:type="dxa" w:w="172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Full — mandatory entry point</w:t>
            </w:r>
          </w:p>
        </w:tc>
      </w:tr>
      <w:tr>
        <w:tc>
          <w:tcPr>
            <w:tcW w:type="dxa" w:w="260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bCs/>
                <w:color w:val="0F6E56"/>
                <w:sz w:val="19"/>
                <w:szCs w:val="19"/>
              </w:rPr>
              <w:t xml:space="preserve">Rwanda cost benchmarks</w:t>
            </w:r>
          </w:p>
        </w:tc>
        <w:tc>
          <w:tcPr>
            <w:tcW w:type="dxa" w:w="172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None</w:t>
            </w:r>
          </w:p>
        </w:tc>
        <w:tc>
          <w:tcPr>
            <w:tcW w:type="dxa" w:w="172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Informal / variable</w:t>
            </w:r>
          </w:p>
        </w:tc>
        <w:tc>
          <w:tcPr>
            <w:tcW w:type="dxa" w:w="172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Variable</w:t>
            </w:r>
          </w:p>
        </w:tc>
        <w:tc>
          <w:tcPr>
            <w:tcW w:type="dxa" w:w="172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Built-in; district-level; updatable</w:t>
            </w:r>
          </w:p>
        </w:tc>
      </w:tr>
      <w:tr>
        <w:tc>
          <w:tcPr>
            <w:tcW w:type="dxa" w:w="260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bCs/>
                <w:color w:val="0F6E56"/>
                <w:sz w:val="19"/>
                <w:szCs w:val="19"/>
              </w:rPr>
              <w:t xml:space="preserve">Listed drawings library</w:t>
            </w:r>
          </w:p>
        </w:tc>
        <w:tc>
          <w:tcPr>
            <w:tcW w:type="dxa" w:w="172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None</w:t>
            </w:r>
          </w:p>
        </w:tc>
        <w:tc>
          <w:tcPr>
            <w:tcW w:type="dxa" w:w="172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Manual sharing</w:t>
            </w:r>
          </w:p>
        </w:tc>
        <w:tc>
          <w:tcPr>
            <w:tcW w:type="dxa" w:w="172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None</w:t>
            </w:r>
          </w:p>
        </w:tc>
        <w:tc>
          <w:tcPr>
            <w:tcW w:type="dxa" w:w="172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Searchable; UPI-filtered; downloadable</w:t>
            </w:r>
          </w:p>
        </w:tc>
      </w:tr>
      <w:tr>
        <w:tc>
          <w:tcPr>
            <w:tcW w:type="dxa" w:w="260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bCs/>
                <w:color w:val="0F6E56"/>
                <w:sz w:val="19"/>
                <w:szCs w:val="19"/>
              </w:rPr>
              <w:t xml:space="preserve">BOQ generation</w:t>
            </w:r>
          </w:p>
        </w:tc>
        <w:tc>
          <w:tcPr>
            <w:tcW w:type="dxa" w:w="172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Generic</w:t>
            </w:r>
          </w:p>
        </w:tc>
        <w:tc>
          <w:tcPr>
            <w:tcW w:type="dxa" w:w="172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Manual</w:t>
            </w:r>
          </w:p>
        </w:tc>
        <w:tc>
          <w:tcPr>
            <w:tcW w:type="dxa" w:w="172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Manual</w:t>
            </w:r>
          </w:p>
        </w:tc>
        <w:tc>
          <w:tcPr>
            <w:tcW w:type="dxa" w:w="172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AI-generated; engineer-reviewed</w:t>
            </w:r>
          </w:p>
        </w:tc>
      </w:tr>
      <w:tr>
        <w:tc>
          <w:tcPr>
            <w:tcW w:type="dxa" w:w="260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bCs/>
                <w:color w:val="0F6E56"/>
                <w:sz w:val="19"/>
                <w:szCs w:val="19"/>
              </w:rPr>
              <w:t xml:space="preserve">Engineer verification</w:t>
            </w:r>
          </w:p>
        </w:tc>
        <w:tc>
          <w:tcPr>
            <w:tcW w:type="dxa" w:w="172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None</w:t>
            </w:r>
          </w:p>
        </w:tc>
        <w:tc>
          <w:tcPr>
            <w:tcW w:type="dxa" w:w="172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Informal</w:t>
            </w:r>
          </w:p>
        </w:tc>
        <w:tc>
          <w:tcPr>
            <w:tcW w:type="dxa" w:w="172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N/A</w:t>
            </w:r>
          </w:p>
        </w:tc>
        <w:tc>
          <w:tcPr>
            <w:tcW w:type="dxa" w:w="172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Independent credential verification</w:t>
            </w:r>
          </w:p>
        </w:tc>
      </w:tr>
      <w:tr>
        <w:tc>
          <w:tcPr>
            <w:tcW w:type="dxa" w:w="260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bCs/>
                <w:color w:val="0F6E56"/>
                <w:sz w:val="19"/>
                <w:szCs w:val="19"/>
              </w:rPr>
              <w:t xml:space="preserve">Property + plot marketplace</w:t>
            </w:r>
          </w:p>
        </w:tc>
        <w:tc>
          <w:tcPr>
            <w:tcW w:type="dxa" w:w="172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None</w:t>
            </w:r>
          </w:p>
        </w:tc>
        <w:tc>
          <w:tcPr>
            <w:tcW w:type="dxa" w:w="172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None</w:t>
            </w:r>
          </w:p>
        </w:tc>
        <w:tc>
          <w:tcPr>
            <w:tcW w:type="dxa" w:w="172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Agents only</w:t>
            </w:r>
          </w:p>
        </w:tc>
        <w:tc>
          <w:tcPr>
            <w:tcW w:type="dxa" w:w="172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Integrated; UPI buildability data on plots</w:t>
            </w:r>
          </w:p>
        </w:tc>
      </w:tr>
      <w:tr>
        <w:tc>
          <w:tcPr>
            <w:tcW w:type="dxa" w:w="260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bCs/>
                <w:color w:val="0F6E56"/>
                <w:sz w:val="19"/>
                <w:szCs w:val="19"/>
              </w:rPr>
              <w:t xml:space="preserve">Permit-ready documentation</w:t>
            </w:r>
          </w:p>
        </w:tc>
        <w:tc>
          <w:tcPr>
            <w:tcW w:type="dxa" w:w="172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None</w:t>
            </w:r>
          </w:p>
        </w:tc>
        <w:tc>
          <w:tcPr>
            <w:tcW w:type="dxa" w:w="172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Occasional</w:t>
            </w:r>
          </w:p>
        </w:tc>
        <w:tc>
          <w:tcPr>
            <w:tcW w:type="dxa" w:w="172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Manual</w:t>
            </w:r>
          </w:p>
        </w:tc>
        <w:tc>
          <w:tcPr>
            <w:tcW w:type="dxa" w:w="172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Structured; district-submission standard</w:t>
            </w:r>
          </w:p>
        </w:tc>
      </w:tr>
      <w:tr>
        <w:tc>
          <w:tcPr>
            <w:tcW w:type="dxa" w:w="260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bCs/>
                <w:color w:val="0F6E56"/>
                <w:sz w:val="19"/>
                <w:szCs w:val="19"/>
              </w:rPr>
              <w:t xml:space="preserve">Accessibility</w:t>
            </w:r>
          </w:p>
        </w:tc>
        <w:tc>
          <w:tcPr>
            <w:tcW w:type="dxa" w:w="172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High cost SaaS</w:t>
            </w:r>
          </w:p>
        </w:tc>
        <w:tc>
          <w:tcPr>
            <w:tcW w:type="dxa" w:w="172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High professional fees</w:t>
            </w:r>
          </w:p>
        </w:tc>
        <w:tc>
          <w:tcPr>
            <w:tcW w:type="dxa" w:w="172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Varies</w:t>
            </w:r>
          </w:p>
        </w:tc>
        <w:tc>
          <w:tcPr>
            <w:tcW w:type="dxa" w:w="172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Per-project; accessible pricing</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6"/>
              <w:bottom w:val="none" w:color="FFFFFF" w:sz="0"/>
              <w:right w:val="none" w:color="FFFFFF" w:sz="0"/>
            </w:tcBorders>
            <w:shd w:fill="E1F5EE" w:val="clear"/>
            <w:tcMar>
              <w:top w:type="dxa" w:w="160"/>
              <w:left w:type="dxa" w:w="220"/>
              <w:bottom w:type="dxa" w:w="160"/>
              <w:right w:type="dxa" w:w="200"/>
            </w:tcMar>
          </w:tcPr>
          <w:p>
            <w:pPr>
              <w:spacing w:after="50"/>
            </w:pPr>
            <w:r>
              <w:rPr>
                <w:rFonts w:ascii="Arial" w:cs="Arial" w:eastAsia="Arial" w:hAnsi="Arial"/>
                <w:b/>
                <w:bCs/>
                <w:color w:val="085041"/>
                <w:sz w:val="19"/>
                <w:szCs w:val="19"/>
              </w:rPr>
              <w:t xml:space="preserve">The structural moat</w:t>
            </w:r>
          </w:p>
          <w:p>
            <w:pPr>
              <w:spacing w:after="0"/>
            </w:pPr>
            <w:r>
              <w:rPr>
                <w:rFonts w:ascii="Arial" w:cs="Arial" w:eastAsia="Arial" w:hAnsi="Arial"/>
                <w:color w:val="1A1A18"/>
                <w:sz w:val="22"/>
                <w:szCs w:val="22"/>
              </w:rPr>
              <w:t xml:space="preserve">CivilBridge's competitive advantage is not primarily technological — it is data and network. The Rwanda construction cost benchmarks by district, the UPI integration, the verified professional network, and the local regulatory knowledge are assets that require sustained local presence to build. They cannot be replicated by an international tool entering the market or by digitising what existing local practitioners already do manually.</w:t>
            </w:r>
          </w:p>
        </w:tc>
      </w:tr>
    </w:tbl>
    <w:p>
      <w:pPr>
        <w:spacing w:after="200"/>
      </w:pPr>
    </w:p>
    <w:p>
      <w:r>
        <w:br w:type="page"/>
      </w:r>
    </w:p>
    <w:p>
      <w:pPr>
        <w:pStyle w:val="Heading1"/>
        <w:pBdr>
          <w:bottom w:val="single" w:color="1D9E75" w:sz="6" w:space="6"/>
        </w:pBdr>
        <w:spacing w:after="120" w:before="440"/>
      </w:pPr>
      <w:r>
        <w:rPr>
          <w:rFonts w:ascii="Arial" w:cs="Arial" w:eastAsia="Arial" w:hAnsi="Arial"/>
          <w:b/>
          <w:bCs/>
          <w:color w:val="1A1A18"/>
          <w:sz w:val="38"/>
          <w:szCs w:val="38"/>
        </w:rPr>
        <w:t xml:space="preserve">7. Platform quality and delivery standard</w:t>
      </w:r>
    </w:p>
    <w:p>
      <w:pPr>
        <w:spacing w:after="120"/>
        <w:jc w:val="left"/>
      </w:pPr>
      <w:r>
        <w:rPr>
          <w:rFonts w:ascii="Arial" w:cs="Arial" w:eastAsia="Arial" w:hAnsi="Arial"/>
          <w:color w:val="4A4A47"/>
          <w:sz w:val="22"/>
          <w:szCs w:val="22"/>
        </w:rPr>
        <w:t xml:space="preserve">CivilBridge is designed and built to production quality from its first deployment. The following standards govern every aspect of the platform.</w:t>
      </w:r>
    </w:p>
    <w:p>
      <w:pPr>
        <w:spacing w:after="100"/>
      </w:pP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200"/>
        <w:gridCol w:w="2880"/>
        <w:gridCol w:w="4040"/>
      </w:tblGrid>
      <w:tr>
        <w:tc>
          <w:tcPr>
            <w:tcW w:type="dxa" w:w="2200"/>
            <w:tcBorders>
              <w:top w:val="single" w:color="0F6E56" w:sz="1"/>
              <w:left w:val="single" w:color="0F6E56" w:sz="1"/>
              <w:bottom w:val="single" w:color="0F6E56" w:sz="1"/>
              <w:right w:val="single" w:color="0F6E56" w:sz="1"/>
            </w:tcBorders>
            <w:shd w:fill="0F6E56" w:val="clear"/>
            <w:tcMar>
              <w:top w:type="dxa" w:w="110"/>
              <w:left w:type="dxa" w:w="160"/>
              <w:bottom w:type="dxa" w:w="110"/>
              <w:right w:type="dxa" w:w="120"/>
            </w:tcMar>
          </w:tcPr>
          <w:p>
            <w:r>
              <w:rPr>
                <w:rFonts w:ascii="Arial" w:cs="Arial" w:eastAsia="Arial" w:hAnsi="Arial"/>
                <w:b/>
                <w:bCs/>
                <w:color w:val="FFFFFF"/>
                <w:sz w:val="19"/>
                <w:szCs w:val="19"/>
              </w:rPr>
              <w:t xml:space="preserve">Standard</w:t>
            </w:r>
          </w:p>
        </w:tc>
        <w:tc>
          <w:tcPr>
            <w:tcW w:type="dxa" w:w="2880"/>
            <w:tcBorders>
              <w:top w:val="single" w:color="0F6E56" w:sz="1"/>
              <w:left w:val="single" w:color="0F6E56" w:sz="1"/>
              <w:bottom w:val="single" w:color="0F6E56" w:sz="1"/>
              <w:right w:val="single" w:color="0F6E56" w:sz="1"/>
            </w:tcBorders>
            <w:shd w:fill="0F6E56" w:val="clear"/>
            <w:tcMar>
              <w:top w:type="dxa" w:w="110"/>
              <w:left w:type="dxa" w:w="160"/>
              <w:bottom w:type="dxa" w:w="110"/>
              <w:right w:type="dxa" w:w="120"/>
            </w:tcMar>
          </w:tcPr>
          <w:p>
            <w:r>
              <w:rPr>
                <w:rFonts w:ascii="Arial" w:cs="Arial" w:eastAsia="Arial" w:hAnsi="Arial"/>
                <w:b/>
                <w:bCs/>
                <w:color w:val="FFFFFF"/>
                <w:sz w:val="19"/>
                <w:szCs w:val="19"/>
              </w:rPr>
              <w:t xml:space="preserve">Requirement</w:t>
            </w:r>
          </w:p>
        </w:tc>
        <w:tc>
          <w:tcPr>
            <w:tcW w:type="dxa" w:w="4040"/>
            <w:tcBorders>
              <w:top w:val="single" w:color="0F6E56" w:sz="1"/>
              <w:left w:val="single" w:color="0F6E56" w:sz="1"/>
              <w:bottom w:val="single" w:color="0F6E56" w:sz="1"/>
              <w:right w:val="single" w:color="0F6E56" w:sz="1"/>
            </w:tcBorders>
            <w:shd w:fill="0F6E56" w:val="clear"/>
            <w:tcMar>
              <w:top w:type="dxa" w:w="110"/>
              <w:left w:type="dxa" w:w="160"/>
              <w:bottom w:type="dxa" w:w="110"/>
              <w:right w:type="dxa" w:w="120"/>
            </w:tcMar>
          </w:tcPr>
          <w:p>
            <w:r>
              <w:rPr>
                <w:rFonts w:ascii="Arial" w:cs="Arial" w:eastAsia="Arial" w:hAnsi="Arial"/>
                <w:b/>
                <w:bCs/>
                <w:color w:val="FFFFFF"/>
                <w:sz w:val="19"/>
                <w:szCs w:val="19"/>
              </w:rPr>
              <w:t xml:space="preserve">Implementation</w:t>
            </w:r>
          </w:p>
        </w:tc>
      </w:tr>
      <w:tr>
        <w:tc>
          <w:tcPr>
            <w:tcW w:type="dxa" w:w="220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bCs/>
                <w:color w:val="0F6E56"/>
                <w:sz w:val="19"/>
                <w:szCs w:val="19"/>
              </w:rPr>
              <w:t xml:space="preserve">Visual quality</w:t>
            </w:r>
          </w:p>
        </w:tc>
        <w:tc>
          <w:tcPr>
            <w:tcW w:type="dxa" w:w="288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Premium, accessible UI responsive across all devices</w:t>
            </w:r>
          </w:p>
        </w:tc>
        <w:tc>
          <w:tcPr>
            <w:tcW w:type="dxa" w:w="404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Next.js + Tailwind; mobile-first design; Core Web Vitals optimised</w:t>
            </w:r>
          </w:p>
        </w:tc>
      </w:tr>
      <w:tr>
        <w:tc>
          <w:tcPr>
            <w:tcW w:type="dxa" w:w="220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bCs/>
                <w:color w:val="0F6E56"/>
                <w:sz w:val="19"/>
                <w:szCs w:val="19"/>
              </w:rPr>
              <w:t xml:space="preserve">Performance</w:t>
            </w:r>
          </w:p>
        </w:tc>
        <w:tc>
          <w:tcPr>
            <w:tcW w:type="dxa" w:w="288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Page load under 2 seconds; API responses under 500ms</w:t>
            </w:r>
          </w:p>
        </w:tc>
        <w:tc>
          <w:tcPr>
            <w:tcW w:type="dxa" w:w="404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CDN assets; lazy loading; indexed queries; connection pooling</w:t>
            </w:r>
          </w:p>
        </w:tc>
      </w:tr>
      <w:tr>
        <w:tc>
          <w:tcPr>
            <w:tcW w:type="dxa" w:w="220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bCs/>
                <w:color w:val="0F6E56"/>
                <w:sz w:val="19"/>
                <w:szCs w:val="19"/>
              </w:rPr>
              <w:t xml:space="preserve">Accuracy</w:t>
            </w:r>
          </w:p>
        </w:tc>
        <w:tc>
          <w:tcPr>
            <w:tcW w:type="dxa" w:w="288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All AI outputs reviewed by licensed engineer before delivery</w:t>
            </w:r>
          </w:p>
        </w:tc>
        <w:tc>
          <w:tcPr>
            <w:tcW w:type="dxa" w:w="404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Engineer approval workflow mandatory for all project documents</w:t>
            </w:r>
          </w:p>
        </w:tc>
      </w:tr>
      <w:tr>
        <w:tc>
          <w:tcPr>
            <w:tcW w:type="dxa" w:w="220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bCs/>
                <w:color w:val="0F6E56"/>
                <w:sz w:val="19"/>
                <w:szCs w:val="19"/>
              </w:rPr>
              <w:t xml:space="preserve">Data integrity</w:t>
            </w:r>
          </w:p>
        </w:tc>
        <w:tc>
          <w:tcPr>
            <w:tcW w:type="dxa" w:w="288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UPI-grounded inputs; Rwanda Bureau of Standards pricing reference</w:t>
            </w:r>
          </w:p>
        </w:tc>
        <w:tc>
          <w:tcPr>
            <w:tcW w:type="dxa" w:w="404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Admin-updatable benchmark tables; parcel data from official registry</w:t>
            </w:r>
          </w:p>
        </w:tc>
      </w:tr>
      <w:tr>
        <w:tc>
          <w:tcPr>
            <w:tcW w:type="dxa" w:w="220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bCs/>
                <w:color w:val="0F6E56"/>
                <w:sz w:val="19"/>
                <w:szCs w:val="19"/>
              </w:rPr>
              <w:t xml:space="preserve">Security</w:t>
            </w:r>
          </w:p>
        </w:tc>
        <w:tc>
          <w:tcPr>
            <w:tcW w:type="dxa" w:w="288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Role-based access; no sensitive data in public APIs</w:t>
            </w:r>
          </w:p>
        </w:tc>
        <w:tc>
          <w:tcPr>
            <w:tcW w:type="dxa" w:w="404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JWT auth; middleware on all protected routes; rate limiting</w:t>
            </w:r>
          </w:p>
        </w:tc>
      </w:tr>
      <w:tr>
        <w:tc>
          <w:tcPr>
            <w:tcW w:type="dxa" w:w="220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bCs/>
                <w:color w:val="0F6E56"/>
                <w:sz w:val="19"/>
                <w:szCs w:val="19"/>
              </w:rPr>
              <w:t xml:space="preserve">Document quality</w:t>
            </w:r>
          </w:p>
        </w:tc>
        <w:tc>
          <w:tcPr>
            <w:tcW w:type="dxa" w:w="288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BOQ and packages formatted to district permit standards</w:t>
            </w:r>
          </w:p>
        </w:tc>
        <w:tc>
          <w:tcPr>
            <w:tcW w:type="dxa" w:w="404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Structured PDF generation; consistent template across all outputs</w:t>
            </w:r>
          </w:p>
        </w:tc>
      </w:tr>
      <w:tr>
        <w:tc>
          <w:tcPr>
            <w:tcW w:type="dxa" w:w="220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bCs/>
                <w:color w:val="0F6E56"/>
                <w:sz w:val="19"/>
                <w:szCs w:val="19"/>
              </w:rPr>
              <w:t xml:space="preserve">Error handling</w:t>
            </w:r>
          </w:p>
        </w:tc>
        <w:tc>
          <w:tcPr>
            <w:tcW w:type="dxa" w:w="288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No silent failures; user-facing errors are actionable</w:t>
            </w:r>
          </w:p>
        </w:tc>
        <w:tc>
          <w:tcPr>
            <w:tcW w:type="dxa" w:w="404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Server-side logging; real-time form validation; graceful fallbacks</w:t>
            </w:r>
          </w:p>
        </w:tc>
      </w:tr>
    </w:tbl>
    <w:p>
      <w:pPr>
        <w:spacing w:after="200"/>
      </w:pPr>
    </w:p>
    <w:p>
      <w:r>
        <w:br w:type="page"/>
      </w:r>
    </w:p>
    <w:p>
      <w:pPr>
        <w:pStyle w:val="Heading1"/>
        <w:pBdr>
          <w:bottom w:val="single" w:color="1D9E75" w:sz="6" w:space="6"/>
        </w:pBdr>
        <w:spacing w:after="120" w:before="440"/>
      </w:pPr>
      <w:r>
        <w:rPr>
          <w:rFonts w:ascii="Arial" w:cs="Arial" w:eastAsia="Arial" w:hAnsi="Arial"/>
          <w:b/>
          <w:bCs/>
          <w:color w:val="1A1A18"/>
          <w:sz w:val="38"/>
          <w:szCs w:val="38"/>
        </w:rPr>
        <w:t xml:space="preserve">8. Development roadmap</w:t>
      </w:r>
    </w:p>
    <w:p>
      <w:pPr>
        <w:spacing w:after="120"/>
        <w:jc w:val="left"/>
      </w:pPr>
      <w:r>
        <w:rPr>
          <w:rFonts w:ascii="Arial" w:cs="Arial" w:eastAsia="Arial" w:hAnsi="Arial"/>
          <w:color w:val="4A4A47"/>
          <w:sz w:val="22"/>
          <w:szCs w:val="22"/>
        </w:rPr>
        <w:t xml:space="preserve">The platform is currently 55–65% complete. Core authentication, project dashboard, and estimation logic are operational. The roadmap below covers the path from current state to full regional deployment.</w:t>
      </w:r>
    </w:p>
    <w:p>
      <w:pPr>
        <w:spacing w:after="100"/>
      </w:pP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120"/>
      </w:tblGrid>
      <w:tr>
        <w:tc>
          <w:tcPr>
            <w:tcW w:type="dxa" w:w="1800"/>
            <w:tcBorders>
              <w:top w:val="single" w:color="0F6E56" w:sz="1"/>
              <w:left w:val="single" w:color="0F6E56" w:sz="1"/>
              <w:bottom w:val="single" w:color="0F6E56" w:sz="1"/>
              <w:right w:val="single" w:color="0F6E56" w:sz="1"/>
            </w:tcBorders>
            <w:shd w:fill="0F6E56" w:val="clear"/>
            <w:tcMar>
              <w:top w:type="dxa" w:w="110"/>
              <w:left w:type="dxa" w:w="160"/>
              <w:bottom w:type="dxa" w:w="110"/>
              <w:right w:type="dxa" w:w="120"/>
            </w:tcMar>
          </w:tcPr>
          <w:p>
            <w:r>
              <w:rPr>
                <w:rFonts w:ascii="Arial" w:cs="Arial" w:eastAsia="Arial" w:hAnsi="Arial"/>
                <w:b/>
                <w:bCs/>
                <w:color w:val="FFFFFF"/>
                <w:sz w:val="19"/>
                <w:szCs w:val="19"/>
              </w:rPr>
              <w:t xml:space="preserve">Phase</w:t>
            </w:r>
          </w:p>
        </w:tc>
        <w:tc>
          <w:tcPr>
            <w:tcW w:type="dxa" w:w="2200"/>
            <w:tcBorders>
              <w:top w:val="single" w:color="0F6E56" w:sz="1"/>
              <w:left w:val="single" w:color="0F6E56" w:sz="1"/>
              <w:bottom w:val="single" w:color="0F6E56" w:sz="1"/>
              <w:right w:val="single" w:color="0F6E56" w:sz="1"/>
            </w:tcBorders>
            <w:shd w:fill="0F6E56" w:val="clear"/>
            <w:tcMar>
              <w:top w:type="dxa" w:w="110"/>
              <w:left w:type="dxa" w:w="160"/>
              <w:bottom w:type="dxa" w:w="110"/>
              <w:right w:type="dxa" w:w="120"/>
            </w:tcMar>
          </w:tcPr>
          <w:p>
            <w:r>
              <w:rPr>
                <w:rFonts w:ascii="Arial" w:cs="Arial" w:eastAsia="Arial" w:hAnsi="Arial"/>
                <w:b/>
                <w:bCs/>
                <w:color w:val="FFFFFF"/>
                <w:sz w:val="19"/>
                <w:szCs w:val="19"/>
              </w:rPr>
              <w:t xml:space="preserve">Horizon</w:t>
            </w:r>
          </w:p>
        </w:tc>
        <w:tc>
          <w:tcPr>
            <w:tcW w:type="dxa" w:w="5120"/>
            <w:tcBorders>
              <w:top w:val="single" w:color="0F6E56" w:sz="1"/>
              <w:left w:val="single" w:color="0F6E56" w:sz="1"/>
              <w:bottom w:val="single" w:color="0F6E56" w:sz="1"/>
              <w:right w:val="single" w:color="0F6E56" w:sz="1"/>
            </w:tcBorders>
            <w:shd w:fill="0F6E56" w:val="clear"/>
            <w:tcMar>
              <w:top w:type="dxa" w:w="110"/>
              <w:left w:type="dxa" w:w="160"/>
              <w:bottom w:type="dxa" w:w="110"/>
              <w:right w:type="dxa" w:w="120"/>
            </w:tcMar>
          </w:tcPr>
          <w:p>
            <w:r>
              <w:rPr>
                <w:rFonts w:ascii="Arial" w:cs="Arial" w:eastAsia="Arial" w:hAnsi="Arial"/>
                <w:b/>
                <w:bCs/>
                <w:color w:val="FFFFFF"/>
                <w:sz w:val="19"/>
                <w:szCs w:val="19"/>
              </w:rPr>
              <w:t xml:space="preserve">Deliverables</w:t>
            </w:r>
          </w:p>
        </w:tc>
      </w:tr>
      <w:tr>
        <w:tc>
          <w:tcPr>
            <w:tcW w:type="dxa" w:w="180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bCs/>
                <w:color w:val="0F6E56"/>
                <w:sz w:val="19"/>
                <w:szCs w:val="19"/>
              </w:rPr>
              <w:t xml:space="preserve">Foundation</w:t>
            </w:r>
          </w:p>
        </w:tc>
        <w:tc>
          <w:tcPr>
            <w:tcW w:type="dxa" w:w="220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Current — Month 2</w:t>
            </w:r>
          </w:p>
        </w:tc>
        <w:tc>
          <w:tcPr>
            <w:tcW w:type="dxa" w:w="512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UPI integration live; budget analyzer end-to-end; 10 verified engineer profiles; listed drawings catalogue; project package generation; payment processing</w:t>
            </w:r>
          </w:p>
        </w:tc>
      </w:tr>
      <w:tr>
        <w:tc>
          <w:tcPr>
            <w:tcW w:type="dxa" w:w="180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bCs/>
                <w:color w:val="0F6E56"/>
                <w:sz w:val="19"/>
                <w:szCs w:val="19"/>
              </w:rPr>
              <w:t xml:space="preserve">Core platform</w:t>
            </w:r>
          </w:p>
        </w:tc>
        <w:tc>
          <w:tcPr>
            <w:tcW w:type="dxa" w:w="220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Months 3–5</w:t>
            </w:r>
          </w:p>
        </w:tc>
        <w:tc>
          <w:tcPr>
            <w:tcW w:type="dxa" w:w="512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Full BOQ engine with plan upload; complete drawing library; property and plot marketplace; in-platform messaging; enhanced project tracking dashboard</w:t>
            </w:r>
          </w:p>
        </w:tc>
      </w:tr>
      <w:tr>
        <w:tc>
          <w:tcPr>
            <w:tcW w:type="dxa" w:w="180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bCs/>
                <w:color w:val="0F6E56"/>
                <w:sz w:val="19"/>
                <w:szCs w:val="19"/>
              </w:rPr>
              <w:t xml:space="preserve">Scale</w:t>
            </w:r>
          </w:p>
        </w:tc>
        <w:tc>
          <w:tcPr>
            <w:tcW w:type="dxa" w:w="220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Months 6–12</w:t>
            </w:r>
          </w:p>
        </w:tc>
        <w:tc>
          <w:tcPr>
            <w:tcW w:type="dxa" w:w="5120"/>
            <w:tcBorders>
              <w:top w:val="single" w:color="D8D6CE" w:sz="1"/>
              <w:left w:val="single" w:color="D8D6CE" w:sz="1"/>
              <w:bottom w:val="single" w:color="D8D6CE" w:sz="1"/>
              <w:right w:val="single" w:color="D8D6CE" w:sz="1"/>
            </w:tcBorders>
            <w:shd w:fill="F4F3EF" w:val="clear"/>
            <w:tcMar>
              <w:top w:type="dxa" w:w="90"/>
              <w:left w:type="dxa" w:w="160"/>
              <w:bottom w:type="dxa" w:w="90"/>
              <w:right w:type="dxa" w:w="120"/>
            </w:tcMar>
          </w:tcPr>
          <w:p>
            <w:r>
              <w:rPr>
                <w:rFonts w:ascii="Arial" w:cs="Arial" w:eastAsia="Arial" w:hAnsi="Arial"/>
                <w:b w:val="false"/>
                <w:bCs w:val="false"/>
                <w:color w:val="4A4A47"/>
                <w:sz w:val="19"/>
                <w:szCs w:val="19"/>
              </w:rPr>
              <w:t xml:space="preserve">Mobile application; Kinyarwanda interface; secondary cities expansion; institutional partnerships; expanded professional network across all provinces</w:t>
            </w:r>
          </w:p>
        </w:tc>
      </w:tr>
      <w:tr>
        <w:tc>
          <w:tcPr>
            <w:tcW w:type="dxa" w:w="180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bCs/>
                <w:color w:val="0F6E56"/>
                <w:sz w:val="19"/>
                <w:szCs w:val="19"/>
              </w:rPr>
              <w:t xml:space="preserve">East Africa</w:t>
            </w:r>
          </w:p>
        </w:tc>
        <w:tc>
          <w:tcPr>
            <w:tcW w:type="dxa" w:w="220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Year 2</w:t>
            </w:r>
          </w:p>
        </w:tc>
        <w:tc>
          <w:tcPr>
            <w:tcW w:type="dxa" w:w="5120"/>
            <w:tcBorders>
              <w:top w:val="single" w:color="D8D6CE" w:sz="1"/>
              <w:left w:val="single" w:color="D8D6CE" w:sz="1"/>
              <w:bottom w:val="single" w:color="D8D6CE" w:sz="1"/>
              <w:right w:val="single" w:color="D8D6CE" w:sz="1"/>
            </w:tcBorders>
            <w:shd w:fill="FFFFFF" w:val="clear"/>
            <w:tcMar>
              <w:top w:type="dxa" w:w="90"/>
              <w:left w:type="dxa" w:w="160"/>
              <w:bottom w:type="dxa" w:w="90"/>
              <w:right w:type="dxa" w:w="120"/>
            </w:tcMar>
          </w:tcPr>
          <w:p>
            <w:r>
              <w:rPr>
                <w:rFonts w:ascii="Arial" w:cs="Arial" w:eastAsia="Arial" w:hAnsi="Arial"/>
                <w:b w:val="false"/>
                <w:bCs w:val="false"/>
                <w:color w:val="4A4A47"/>
                <w:sz w:val="19"/>
                <w:szCs w:val="19"/>
              </w:rPr>
              <w:t xml:space="preserve">Market entry in Kenya and Uganda; localised cost databases; regional professional directory; Series A capital raise</w:t>
            </w:r>
          </w:p>
        </w:tc>
      </w:tr>
    </w:tbl>
    <w:p>
      <w:pPr>
        <w:spacing w:after="200"/>
      </w:pPr>
    </w:p>
    <w:p>
      <w:r>
        <w:br w:type="page"/>
      </w:r>
    </w:p>
    <w:p>
      <w:pPr>
        <w:pBdr>
          <w:top w:val="single" w:color="1D9E75" w:sz="4"/>
        </w:pBdr>
        <w:spacing w:after="120" w:before="400"/>
      </w:pPr>
    </w:p>
    <w:p>
      <w:pPr>
        <w:spacing w:after="60" w:before="160"/>
        <w:jc w:val="center"/>
      </w:pPr>
      <w:r>
        <w:rPr>
          <w:rFonts w:ascii="Arial" w:cs="Arial" w:eastAsia="Arial" w:hAnsi="Arial"/>
          <w:b/>
          <w:bCs/>
          <w:color w:val="0F6E56"/>
          <w:sz w:val="56"/>
          <w:szCs w:val="56"/>
        </w:rPr>
        <w:t xml:space="preserve">CivilBridge</w:t>
      </w:r>
    </w:p>
    <w:p>
      <w:pPr>
        <w:spacing w:after="60"/>
        <w:jc w:val="center"/>
      </w:pPr>
      <w:r>
        <w:rPr>
          <w:rFonts w:ascii="Arial" w:cs="Arial" w:eastAsia="Arial" w:hAnsi="Arial"/>
          <w:i/>
          <w:iCs/>
          <w:color w:val="4A4A47"/>
          <w:sz w:val="22"/>
          <w:szCs w:val="22"/>
        </w:rPr>
        <w:t xml:space="preserve">Built for Rwanda. Designed for East Africa.</w:t>
      </w:r>
    </w:p>
    <w:p>
      <w:pPr>
        <w:spacing w:after="40"/>
        <w:jc w:val="center"/>
      </w:pPr>
      <w:r>
        <w:rPr>
          <w:rFonts w:ascii="Arial" w:cs="Arial" w:eastAsia="Arial" w:hAnsi="Arial"/>
          <w:color w:val="4A4A47"/>
          <w:sz w:val="20"/>
          <w:szCs w:val="20"/>
        </w:rPr>
        <w:t xml:space="preserve">civilbridge.rw · contact@civilbridge.rw · Kigali, Rwanda</w:t>
      </w:r>
    </w:p>
    <w:sectPr>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80"/>
      </w:pPr>
      <w:rPr>
        <w:rFonts w:ascii="Arial" w:cs="Arial" w:eastAsia="Arial" w:hAnsi="Arial"/>
        <w:color w:val="1D9E7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40"/>
      <w:outlineLvl w:val="0"/>
    </w:pPr>
    <w:rPr>
      <w:rFonts w:ascii="Arial" w:cs="Arial" w:eastAsia="Arial" w:hAnsi="Arial"/>
      <w:b/>
      <w:bCs/>
      <w:color w:val="1A1A18"/>
      <w:sz w:val="38"/>
      <w:szCs w:val="38"/>
    </w:rPr>
  </w:style>
  <w:style w:type="paragraph" w:styleId="Heading2">
    <w:name w:val="Heading 2"/>
    <w:basedOn w:val="Normal"/>
    <w:next w:val="Normal"/>
    <w:qFormat/>
    <w:pPr>
      <w:spacing w:after="80" w:before="280"/>
      <w:outlineLvl w:val="1"/>
    </w:pPr>
    <w:rPr>
      <w:rFonts w:ascii="Arial" w:cs="Arial" w:eastAsia="Arial" w:hAnsi="Arial"/>
      <w:b/>
      <w:bCs/>
      <w:color w:val="0F6E5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1A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2026-04-07T09:48:11.200Z</dcterms:created>
  <dcterms:modified xsi:type="dcterms:W3CDTF">2026-04-07T09:48:11.201Z</dcterms:modified>
</cp:coreProperties>
</file>

<file path=docProps/custom.xml><?xml version="1.0" encoding="utf-8"?>
<Properties xmlns="http://schemas.openxmlformats.org/officeDocument/2006/custom-properties" xmlns:vt="http://schemas.openxmlformats.org/officeDocument/2006/docPropsVTypes"/>
</file>