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plain agreement without clear section headings or numbering styles.</w:t>
      </w:r>
    </w:p>
    <w:p>
      <w:r>
        <w:t>The parties agree to keep information confidential for two years from the date of disclosure.</w:t>
      </w:r>
    </w:p>
    <w:p>
      <w:r>
        <w:t>Liability is limited to fees paid in the twelve months preceding the claim.</w:t>
      </w:r>
    </w:p>
    <w:p>
      <w:r>
        <w:t>Notices may be delivered by email with read receipt.</w:t>
      </w:r>
    </w:p>
    <w:p>
      <w:r>
        <w:t>The agreement constitutes the entire understanding between the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