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Malgun Gothic" w:hAnsi="Malgun Gothic" w:eastAsia="Malgun Gothic"/>
          <w:b/>
          <w:color w:val="203864"/>
          <w:sz w:val="44"/>
        </w:rPr>
        <w:t>항공권 구매 의사결정 보조 시스템</w:t>
      </w:r>
    </w:p>
    <w:p>
      <w:pPr>
        <w:jc w:val="center"/>
      </w:pPr>
      <w:r>
        <w:rPr>
          <w:rFonts w:ascii="Malgun Gothic" w:hAnsi="Malgun Gothic" w:eastAsia="Malgun Gothic"/>
          <w:color w:val="5A5A5A"/>
          <w:sz w:val="24"/>
        </w:rPr>
        <w:t>주제 베이스라인 문서 v3</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9746"/>
      </w:tblGrid>
      <w:tr>
        <w:tc>
          <w:tcPr>
            <w:tcW w:type="dxa" w:w="9746"/>
            <w:shd w:fill="F5F9FF"/>
            <w:tcMar>
              <w:top w:w="140" w:type="dxa"/>
              <w:start w:w="140" w:type="dxa"/>
              <w:bottom w:w="140" w:type="dxa"/>
              <w:end w:w="140" w:type="dxa"/>
            </w:tcMar>
            <w:vAlign w:val="center"/>
          </w:tcPr>
          <w:p>
            <w:pPr>
              <w:jc w:val="left"/>
            </w:pPr>
            <w:r>
              <w:rPr>
                <w:rFonts w:ascii="Malgun Gothic" w:hAnsi="Malgun Gothic" w:eastAsia="Malgun Gothic"/>
                <w:sz w:val="21"/>
              </w:rPr>
              <w:t>문서 성격: 장기 기준 문서</w:t>
              <w:br/>
              <w:t>작성 목적: 이후 체크리스트 수행, 바운더리 검증, MVP 설계 전 참고용</w:t>
              <w:br/>
              <w:t>주의: 본 문서는 사실·근거·남은 질문을 정리하는 기준 문서이며 최종 설계안 확정문서는 아님</w:t>
            </w:r>
          </w:p>
        </w:tc>
      </w:tr>
    </w:tbl>
    <w:p>
      <w:r>
        <w:br w:type="page"/>
      </w:r>
    </w:p>
    <w:p>
      <w:pPr>
        <w:pStyle w:val="Heading1"/>
      </w:pPr>
      <w:r>
        <w:t>1. 문서 목적과 역할</w:t>
      </w:r>
    </w:p>
    <w:p>
      <w:r>
        <w:t>본 문서는 항공권 구매 의사결정 보조 시스템 주제의 기준선을 정리하는 베이스라인 문서이다. 역할은 세 가지다. 첫째, 처음 보는 사람도 주제의 문제의식과 흐름을 이해할 수 있도록 한다. 둘째, 이후 체크리스트 수행 과정에서 무엇이 이미 확인된 사실이고 무엇이 아직 열린 질문인지 구분하게 한다. 셋째, 향후 MVP 설계 문서를 만들 때 어떤 근거를 다시 확인해야 하는지 역추적 가능하도록 만든다.</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9746"/>
      </w:tblGrid>
      <w:tr>
        <w:tc>
          <w:tcPr>
            <w:tcW w:type="dxa" w:w="9746"/>
            <w:shd w:fill="F7FBFF"/>
            <w:tcMar>
              <w:top w:w="120" w:type="dxa"/>
              <w:start w:w="120" w:type="dxa"/>
              <w:bottom w:w="120" w:type="dxa"/>
              <w:end w:w="120" w:type="dxa"/>
            </w:tcMar>
          </w:tcPr>
          <w:p>
            <w:pPr>
              <w:jc w:val="left"/>
            </w:pPr>
            <w:r>
              <w:rPr>
                <w:b/>
                <w:color w:val="203864"/>
                <w:sz w:val="23"/>
              </w:rPr>
              <w:t>현재 문서의 위치</w:t>
              <w:br/>
            </w:r>
            <w:r>
              <w:rPr>
                <w:sz w:val="21"/>
              </w:rPr>
              <w:t>앵커 문서보다 무겁고, 설계 확정문서보다는 가벼운 중간 기준 문서</w:t>
              <w:br/>
            </w:r>
            <w:r>
              <w:rPr>
                <w:sz w:val="21"/>
              </w:rPr>
              <w:t>지금 단계의 목표는 '무엇을 만들지' 확정보다 '무엇을 어떻게 확인할지' 정렬</w:t>
              <w:br/>
            </w:r>
            <w:r>
              <w:rPr>
                <w:sz w:val="21"/>
              </w:rPr>
              <w:t>모든 강한 주장에는 근거 자료 ID 또는 출처 유형을 붙여 추적 가능하게 유지</w:t>
            </w:r>
          </w:p>
        </w:tc>
      </w:tr>
    </w:tbl>
    <w:p>
      <w:pPr>
        <w:pStyle w:val="Heading1"/>
      </w:pPr>
      <w:r>
        <w:t>2. 문제의식과 주제 해석</w:t>
      </w:r>
    </w:p>
    <w:p>
      <w:r>
        <w:t>이 주제의 핵심은 항공권 가격을 정확히 예언하는 시스템을 만드는 데 있지 않다. 사용자가 실제 구매 시점에서 던지는 질문, 즉 '지금 예약해야 하는가, 조금 더 기다려도 되는가'에 대한 판단 보조를 제공하는 데 있다. 이 해석은 기존 상용 서비스가 가격 추적, 가격 그래프, wait/buy 류의 판단 보조 기능을 이미 제공하고 있다는 점(S1~S4)과, 관련 연구가 항공권 문제를 buy/wait 의사결정 문제로 재정의할 수 있음을 보여준다는 점(P1)을 함께 반영한 결과다.</w:t>
      </w:r>
    </w:p>
    <w:p>
      <w:pPr>
        <w:ind w:left="227" w:hanging="198"/>
      </w:pPr>
      <w:r>
        <w:rPr>
          <w:rFonts w:ascii="Malgun Gothic" w:hAnsi="Malgun Gothic" w:eastAsia="Malgun Gothic"/>
        </w:rPr>
        <w:t>• 핵심 사용자 질문: 지금 예약 / 관망 / 날짜 조정 중 무엇이 합리적인가</w:t>
      </w:r>
    </w:p>
    <w:p>
      <w:pPr>
        <w:ind w:left="227" w:hanging="198"/>
      </w:pPr>
      <w:r>
        <w:rPr>
          <w:rFonts w:ascii="Malgun Gothic" w:hAnsi="Malgun Gothic" w:eastAsia="Malgun Gothic"/>
        </w:rPr>
        <w:t>• 예상 결과물 성격: 가격 수준 + 리드타임 + 단기 위험도 + 설명 가능한 근거</w:t>
      </w:r>
    </w:p>
    <w:p>
      <w:pPr>
        <w:ind w:left="227" w:hanging="198"/>
      </w:pPr>
      <w:r>
        <w:rPr>
          <w:rFonts w:ascii="Malgun Gothic" w:hAnsi="Malgun Gothic" w:eastAsia="Malgun Gothic"/>
        </w:rPr>
        <w:t>• 현재 단계: 데이터 바운더리와 분석 단위 가능 범위를 확인하는 단계</w:t>
      </w:r>
    </w:p>
    <w:p>
      <w:pPr>
        <w:pStyle w:val="Heading1"/>
      </w:pPr>
      <w:r>
        <w:t>3. 주제 흐름을 이해하기 위한 외부 기준</w:t>
      </w:r>
    </w:p>
    <w:p>
      <w:pPr>
        <w:pStyle w:val="Heading2"/>
      </w:pPr>
      <w:r>
        <w:t>자료 인벤토리</w:t>
      </w:r>
    </w:p>
    <w:tbl>
      <w:tblPr>
        <w:tblStyle w:val="TableGrid"/>
        <w:tblW w:type="auto" w:w="0"/>
        <w:jc w:val="center"/>
        <w:tblLook w:firstColumn="1" w:firstRow="1" w:lastColumn="0" w:lastRow="0" w:noHBand="0" w:noVBand="1" w:val="04A0"/>
        <w:tblBorders>
          <w:top w:val="single" w:sz="8" w:space="0" w:color="B9CDE5"/>
          <w:left w:val="single" w:sz="8" w:space="0" w:color="B9CDE5"/>
          <w:bottom w:val="single" w:sz="8" w:space="0" w:color="B9CDE5"/>
          <w:right w:val="single" w:sz="8" w:space="0" w:color="B9CDE5"/>
          <w:insideH w:val="single" w:sz="8" w:space="0" w:color="B9CDE5"/>
          <w:insideV w:val="single" w:sz="8" w:space="0" w:color="B9CDE5"/>
        </w:tblBorders>
      </w:tblPr>
      <w:tblGrid>
        <w:gridCol w:w="1392"/>
        <w:gridCol w:w="1392"/>
        <w:gridCol w:w="1392"/>
        <w:gridCol w:w="1392"/>
        <w:gridCol w:w="1392"/>
        <w:gridCol w:w="1392"/>
        <w:gridCol w:w="1392"/>
      </w:tblGrid>
      <w:tr>
        <w:trPr>
          <w:tblHeader w:val="true"/>
        </w:trPr>
        <w:tc>
          <w:tcPr>
            <w:tcW w:type="dxa" w:w="454"/>
            <w:shd w:fill="DCE6F1"/>
            <w:tcMar>
              <w:top w:w="120" w:type="dxa"/>
              <w:start w:w="100" w:type="dxa"/>
              <w:bottom w:w="120" w:type="dxa"/>
              <w:end w:w="100" w:type="dxa"/>
            </w:tcMar>
            <w:vAlign w:val="center"/>
          </w:tcPr>
          <w:p>
            <w:pPr>
              <w:jc w:val="center"/>
            </w:pPr>
            <w:r>
              <w:rPr>
                <w:b/>
              </w:rPr>
              <w:t>ID</w:t>
            </w:r>
          </w:p>
        </w:tc>
        <w:tc>
          <w:tcPr>
            <w:tcW w:type="dxa" w:w="737"/>
            <w:shd w:fill="DCE6F1"/>
            <w:tcMar>
              <w:top w:w="120" w:type="dxa"/>
              <w:start w:w="100" w:type="dxa"/>
              <w:bottom w:w="120" w:type="dxa"/>
              <w:end w:w="100" w:type="dxa"/>
            </w:tcMar>
            <w:vAlign w:val="center"/>
          </w:tcPr>
          <w:p>
            <w:pPr>
              <w:jc w:val="center"/>
            </w:pPr>
            <w:r>
              <w:rPr>
                <w:b/>
              </w:rPr>
              <w:t>유형</w:t>
            </w:r>
          </w:p>
        </w:tc>
        <w:tc>
          <w:tcPr>
            <w:tcW w:type="dxa" w:w="2268"/>
            <w:shd w:fill="DCE6F1"/>
            <w:tcMar>
              <w:top w:w="120" w:type="dxa"/>
              <w:start w:w="100" w:type="dxa"/>
              <w:bottom w:w="120" w:type="dxa"/>
              <w:end w:w="100" w:type="dxa"/>
            </w:tcMar>
            <w:vAlign w:val="center"/>
          </w:tcPr>
          <w:p>
            <w:pPr>
              <w:jc w:val="center"/>
            </w:pPr>
            <w:r>
              <w:rPr>
                <w:b/>
              </w:rPr>
              <w:t>자료명</w:t>
            </w:r>
          </w:p>
        </w:tc>
        <w:tc>
          <w:tcPr>
            <w:tcW w:type="dxa" w:w="1928"/>
            <w:shd w:fill="DCE6F1"/>
            <w:tcMar>
              <w:top w:w="120" w:type="dxa"/>
              <w:start w:w="100" w:type="dxa"/>
              <w:bottom w:w="120" w:type="dxa"/>
              <w:end w:w="100" w:type="dxa"/>
            </w:tcMar>
            <w:vAlign w:val="center"/>
          </w:tcPr>
          <w:p>
            <w:pPr>
              <w:jc w:val="center"/>
            </w:pPr>
            <w:r>
              <w:rPr>
                <w:b/>
              </w:rPr>
              <w:t>핵심 주제</w:t>
            </w:r>
          </w:p>
        </w:tc>
        <w:tc>
          <w:tcPr>
            <w:tcW w:type="dxa" w:w="1928"/>
            <w:shd w:fill="DCE6F1"/>
            <w:tcMar>
              <w:top w:w="120" w:type="dxa"/>
              <w:start w:w="100" w:type="dxa"/>
              <w:bottom w:w="120" w:type="dxa"/>
              <w:end w:w="100" w:type="dxa"/>
            </w:tcMar>
            <w:vAlign w:val="center"/>
          </w:tcPr>
          <w:p>
            <w:pPr>
              <w:jc w:val="center"/>
            </w:pPr>
            <w:r>
              <w:rPr>
                <w:b/>
              </w:rPr>
              <w:t>추출 키워드</w:t>
            </w:r>
          </w:p>
        </w:tc>
        <w:tc>
          <w:tcPr>
            <w:tcW w:type="dxa" w:w="907"/>
            <w:shd w:fill="DCE6F1"/>
            <w:tcMar>
              <w:top w:w="120" w:type="dxa"/>
              <w:start w:w="100" w:type="dxa"/>
              <w:bottom w:w="120" w:type="dxa"/>
              <w:end w:w="100" w:type="dxa"/>
            </w:tcMar>
            <w:vAlign w:val="center"/>
          </w:tcPr>
          <w:p>
            <w:pPr>
              <w:jc w:val="center"/>
            </w:pPr>
            <w:r>
              <w:rPr>
                <w:b/>
              </w:rPr>
              <w:t>활용 장</w:t>
            </w:r>
          </w:p>
        </w:tc>
        <w:tc>
          <w:tcPr>
            <w:tcW w:type="dxa" w:w="567"/>
            <w:shd w:fill="DCE6F1"/>
            <w:tcMar>
              <w:top w:w="120" w:type="dxa"/>
              <w:start w:w="100" w:type="dxa"/>
              <w:bottom w:w="120" w:type="dxa"/>
              <w:end w:w="100" w:type="dxa"/>
            </w:tcMar>
            <w:vAlign w:val="center"/>
          </w:tcPr>
          <w:p>
            <w:pPr>
              <w:jc w:val="center"/>
            </w:pPr>
            <w:r>
              <w:rPr>
                <w:b/>
              </w:rPr>
              <w:t>신뢰도</w:t>
            </w:r>
          </w:p>
        </w:tc>
      </w:tr>
      <w:tr>
        <w:tc>
          <w:tcPr>
            <w:tcW w:type="dxa" w:w="454"/>
            <w:tcMar>
              <w:top w:w="120" w:type="dxa"/>
              <w:start w:w="100" w:type="dxa"/>
              <w:bottom w:w="120" w:type="dxa"/>
              <w:end w:w="100" w:type="dxa"/>
            </w:tcMar>
            <w:vAlign w:val="center"/>
          </w:tcPr>
          <w:p>
            <w:pPr>
              <w:jc w:val="center"/>
            </w:pPr>
            <w:r>
              <w:t>S1</w:t>
            </w:r>
          </w:p>
        </w:tc>
        <w:tc>
          <w:tcPr>
            <w:tcW w:type="dxa" w:w="737"/>
            <w:tcMar>
              <w:top w:w="120" w:type="dxa"/>
              <w:start w:w="100" w:type="dxa"/>
              <w:bottom w:w="120" w:type="dxa"/>
              <w:end w:w="100" w:type="dxa"/>
            </w:tcMar>
            <w:vAlign w:val="center"/>
          </w:tcPr>
          <w:p>
            <w:pPr>
              <w:jc w:val="center"/>
            </w:pPr>
            <w:r>
              <w:t>서비스</w:t>
            </w:r>
          </w:p>
        </w:tc>
        <w:tc>
          <w:tcPr>
            <w:tcW w:type="dxa" w:w="2268"/>
            <w:tcMar>
              <w:top w:w="120" w:type="dxa"/>
              <w:start w:w="100" w:type="dxa"/>
              <w:bottom w:w="120" w:type="dxa"/>
              <w:end w:w="100" w:type="dxa"/>
            </w:tcMar>
            <w:vAlign w:val="center"/>
          </w:tcPr>
          <w:p>
            <w:pPr>
              <w:jc w:val="left"/>
            </w:pPr>
            <w:r>
              <w:t>Google Flights 공식 도움말</w:t>
            </w:r>
          </w:p>
        </w:tc>
        <w:tc>
          <w:tcPr>
            <w:tcW w:type="dxa" w:w="1928"/>
            <w:tcMar>
              <w:top w:w="120" w:type="dxa"/>
              <w:start w:w="100" w:type="dxa"/>
              <w:bottom w:w="120" w:type="dxa"/>
              <w:end w:w="100" w:type="dxa"/>
            </w:tcMar>
            <w:vAlign w:val="center"/>
          </w:tcPr>
          <w:p>
            <w:pPr>
              <w:jc w:val="left"/>
            </w:pPr>
            <w:r>
              <w:t>가격 추적·가격 그래프·가격 비교</w:t>
            </w:r>
          </w:p>
        </w:tc>
        <w:tc>
          <w:tcPr>
            <w:tcW w:type="dxa" w:w="1928"/>
            <w:tcMar>
              <w:top w:w="120" w:type="dxa"/>
              <w:start w:w="100" w:type="dxa"/>
              <w:bottom w:w="120" w:type="dxa"/>
              <w:end w:w="100" w:type="dxa"/>
            </w:tcMar>
            <w:vAlign w:val="center"/>
          </w:tcPr>
          <w:p>
            <w:pPr>
              <w:jc w:val="left"/>
            </w:pPr>
            <w:r>
              <w:t>price tracking, price graph</w:t>
            </w:r>
          </w:p>
        </w:tc>
        <w:tc>
          <w:tcPr>
            <w:tcW w:type="dxa" w:w="907"/>
            <w:tcMar>
              <w:top w:w="120" w:type="dxa"/>
              <w:start w:w="100" w:type="dxa"/>
              <w:bottom w:w="120" w:type="dxa"/>
              <w:end w:w="100" w:type="dxa"/>
            </w:tcMar>
            <w:vAlign w:val="center"/>
          </w:tcPr>
          <w:p>
            <w:pPr>
              <w:jc w:val="center"/>
            </w:pPr>
            <w:r>
              <w:t>2,3</w:t>
            </w:r>
          </w:p>
        </w:tc>
        <w:tc>
          <w:tcPr>
            <w:tcW w:type="dxa" w:w="567"/>
            <w:tcMar>
              <w:top w:w="120" w:type="dxa"/>
              <w:start w:w="100" w:type="dxa"/>
              <w:bottom w:w="120" w:type="dxa"/>
              <w:end w:w="100" w:type="dxa"/>
            </w:tcMar>
            <w:vAlign w:val="center"/>
          </w:tcPr>
          <w:p>
            <w:pPr>
              <w:jc w:val="center"/>
            </w:pPr>
            <w:r>
              <w:t>A</w:t>
            </w:r>
          </w:p>
        </w:tc>
      </w:tr>
      <w:tr>
        <w:tc>
          <w:tcPr>
            <w:tcW w:type="dxa" w:w="454"/>
            <w:tcMar>
              <w:top w:w="120" w:type="dxa"/>
              <w:start w:w="100" w:type="dxa"/>
              <w:bottom w:w="120" w:type="dxa"/>
              <w:end w:w="100" w:type="dxa"/>
            </w:tcMar>
            <w:vAlign w:val="center"/>
          </w:tcPr>
          <w:p>
            <w:pPr>
              <w:jc w:val="center"/>
            </w:pPr>
            <w:r>
              <w:t>S2</w:t>
            </w:r>
          </w:p>
        </w:tc>
        <w:tc>
          <w:tcPr>
            <w:tcW w:type="dxa" w:w="737"/>
            <w:tcMar>
              <w:top w:w="120" w:type="dxa"/>
              <w:start w:w="100" w:type="dxa"/>
              <w:bottom w:w="120" w:type="dxa"/>
              <w:end w:w="100" w:type="dxa"/>
            </w:tcMar>
            <w:vAlign w:val="center"/>
          </w:tcPr>
          <w:p>
            <w:pPr>
              <w:jc w:val="center"/>
            </w:pPr>
            <w:r>
              <w:t>서비스</w:t>
            </w:r>
          </w:p>
        </w:tc>
        <w:tc>
          <w:tcPr>
            <w:tcW w:type="dxa" w:w="2268"/>
            <w:tcMar>
              <w:top w:w="120" w:type="dxa"/>
              <w:start w:w="100" w:type="dxa"/>
              <w:bottom w:w="120" w:type="dxa"/>
              <w:end w:w="100" w:type="dxa"/>
            </w:tcMar>
            <w:vAlign w:val="center"/>
          </w:tcPr>
          <w:p>
            <w:pPr>
              <w:jc w:val="left"/>
            </w:pPr>
            <w:r>
              <w:t>Skyscanner 공식 안내</w:t>
            </w:r>
          </w:p>
        </w:tc>
        <w:tc>
          <w:tcPr>
            <w:tcW w:type="dxa" w:w="1928"/>
            <w:tcMar>
              <w:top w:w="120" w:type="dxa"/>
              <w:start w:w="100" w:type="dxa"/>
              <w:bottom w:w="120" w:type="dxa"/>
              <w:end w:w="100" w:type="dxa"/>
            </w:tcMar>
            <w:vAlign w:val="center"/>
          </w:tcPr>
          <w:p>
            <w:pPr>
              <w:jc w:val="left"/>
            </w:pPr>
            <w:r>
              <w:t>Price Alert·유연 날짜 탐색</w:t>
            </w:r>
          </w:p>
        </w:tc>
        <w:tc>
          <w:tcPr>
            <w:tcW w:type="dxa" w:w="1928"/>
            <w:tcMar>
              <w:top w:w="120" w:type="dxa"/>
              <w:start w:w="100" w:type="dxa"/>
              <w:bottom w:w="120" w:type="dxa"/>
              <w:end w:w="100" w:type="dxa"/>
            </w:tcMar>
            <w:vAlign w:val="center"/>
          </w:tcPr>
          <w:p>
            <w:pPr>
              <w:jc w:val="left"/>
            </w:pPr>
            <w:r>
              <w:t>price alert, whole month</w:t>
            </w:r>
          </w:p>
        </w:tc>
        <w:tc>
          <w:tcPr>
            <w:tcW w:type="dxa" w:w="907"/>
            <w:tcMar>
              <w:top w:w="120" w:type="dxa"/>
              <w:start w:w="100" w:type="dxa"/>
              <w:bottom w:w="120" w:type="dxa"/>
              <w:end w:w="100" w:type="dxa"/>
            </w:tcMar>
            <w:vAlign w:val="center"/>
          </w:tcPr>
          <w:p>
            <w:pPr>
              <w:jc w:val="center"/>
            </w:pPr>
            <w:r>
              <w:t>2,3</w:t>
            </w:r>
          </w:p>
        </w:tc>
        <w:tc>
          <w:tcPr>
            <w:tcW w:type="dxa" w:w="567"/>
            <w:tcMar>
              <w:top w:w="120" w:type="dxa"/>
              <w:start w:w="100" w:type="dxa"/>
              <w:bottom w:w="120" w:type="dxa"/>
              <w:end w:w="100" w:type="dxa"/>
            </w:tcMar>
            <w:vAlign w:val="center"/>
          </w:tcPr>
          <w:p>
            <w:pPr>
              <w:jc w:val="center"/>
            </w:pPr>
            <w:r>
              <w:t>A/B</w:t>
            </w:r>
          </w:p>
        </w:tc>
      </w:tr>
      <w:tr>
        <w:tc>
          <w:tcPr>
            <w:tcW w:type="dxa" w:w="454"/>
            <w:tcMar>
              <w:top w:w="120" w:type="dxa"/>
              <w:start w:w="100" w:type="dxa"/>
              <w:bottom w:w="120" w:type="dxa"/>
              <w:end w:w="100" w:type="dxa"/>
            </w:tcMar>
            <w:vAlign w:val="center"/>
          </w:tcPr>
          <w:p>
            <w:pPr>
              <w:jc w:val="center"/>
            </w:pPr>
            <w:r>
              <w:t>S3</w:t>
            </w:r>
          </w:p>
        </w:tc>
        <w:tc>
          <w:tcPr>
            <w:tcW w:type="dxa" w:w="737"/>
            <w:tcMar>
              <w:top w:w="120" w:type="dxa"/>
              <w:start w:w="100" w:type="dxa"/>
              <w:bottom w:w="120" w:type="dxa"/>
              <w:end w:w="100" w:type="dxa"/>
            </w:tcMar>
            <w:vAlign w:val="center"/>
          </w:tcPr>
          <w:p>
            <w:pPr>
              <w:jc w:val="center"/>
            </w:pPr>
            <w:r>
              <w:t>서비스</w:t>
            </w:r>
          </w:p>
        </w:tc>
        <w:tc>
          <w:tcPr>
            <w:tcW w:type="dxa" w:w="2268"/>
            <w:tcMar>
              <w:top w:w="120" w:type="dxa"/>
              <w:start w:w="100" w:type="dxa"/>
              <w:bottom w:w="120" w:type="dxa"/>
              <w:end w:w="100" w:type="dxa"/>
            </w:tcMar>
            <w:vAlign w:val="center"/>
          </w:tcPr>
          <w:p>
            <w:pPr>
              <w:jc w:val="left"/>
            </w:pPr>
            <w:r>
              <w:t>KAYAK 공식 도움말</w:t>
            </w:r>
          </w:p>
        </w:tc>
        <w:tc>
          <w:tcPr>
            <w:tcW w:type="dxa" w:w="1928"/>
            <w:tcMar>
              <w:top w:w="120" w:type="dxa"/>
              <w:start w:w="100" w:type="dxa"/>
              <w:bottom w:w="120" w:type="dxa"/>
              <w:end w:w="100" w:type="dxa"/>
            </w:tcMar>
            <w:vAlign w:val="center"/>
          </w:tcPr>
          <w:p>
            <w:pPr>
              <w:jc w:val="left"/>
            </w:pPr>
            <w:r>
              <w:t>Price Forecast·7일 상승/하락 예측</w:t>
            </w:r>
          </w:p>
        </w:tc>
        <w:tc>
          <w:tcPr>
            <w:tcW w:type="dxa" w:w="1928"/>
            <w:tcMar>
              <w:top w:w="120" w:type="dxa"/>
              <w:start w:w="100" w:type="dxa"/>
              <w:bottom w:w="120" w:type="dxa"/>
              <w:end w:w="100" w:type="dxa"/>
            </w:tcMar>
            <w:vAlign w:val="center"/>
          </w:tcPr>
          <w:p>
            <w:pPr>
              <w:jc w:val="left"/>
            </w:pPr>
            <w:r>
              <w:t>price forecast, historical and real-time data</w:t>
            </w:r>
          </w:p>
        </w:tc>
        <w:tc>
          <w:tcPr>
            <w:tcW w:type="dxa" w:w="907"/>
            <w:tcMar>
              <w:top w:w="120" w:type="dxa"/>
              <w:start w:w="100" w:type="dxa"/>
              <w:bottom w:w="120" w:type="dxa"/>
              <w:end w:w="100" w:type="dxa"/>
            </w:tcMar>
            <w:vAlign w:val="center"/>
          </w:tcPr>
          <w:p>
            <w:pPr>
              <w:jc w:val="center"/>
            </w:pPr>
            <w:r>
              <w:t>2,3</w:t>
            </w:r>
          </w:p>
        </w:tc>
        <w:tc>
          <w:tcPr>
            <w:tcW w:type="dxa" w:w="567"/>
            <w:tcMar>
              <w:top w:w="120" w:type="dxa"/>
              <w:start w:w="100" w:type="dxa"/>
              <w:bottom w:w="120" w:type="dxa"/>
              <w:end w:w="100" w:type="dxa"/>
            </w:tcMar>
            <w:vAlign w:val="center"/>
          </w:tcPr>
          <w:p>
            <w:pPr>
              <w:jc w:val="center"/>
            </w:pPr>
            <w:r>
              <w:t>A</w:t>
            </w:r>
          </w:p>
        </w:tc>
      </w:tr>
      <w:tr>
        <w:tc>
          <w:tcPr>
            <w:tcW w:type="dxa" w:w="454"/>
            <w:tcMar>
              <w:top w:w="120" w:type="dxa"/>
              <w:start w:w="100" w:type="dxa"/>
              <w:bottom w:w="120" w:type="dxa"/>
              <w:end w:w="100" w:type="dxa"/>
            </w:tcMar>
            <w:vAlign w:val="center"/>
          </w:tcPr>
          <w:p>
            <w:pPr>
              <w:jc w:val="center"/>
            </w:pPr>
            <w:r>
              <w:t>S4</w:t>
            </w:r>
          </w:p>
        </w:tc>
        <w:tc>
          <w:tcPr>
            <w:tcW w:type="dxa" w:w="737"/>
            <w:tcMar>
              <w:top w:w="120" w:type="dxa"/>
              <w:start w:w="100" w:type="dxa"/>
              <w:bottom w:w="120" w:type="dxa"/>
              <w:end w:w="100" w:type="dxa"/>
            </w:tcMar>
            <w:vAlign w:val="center"/>
          </w:tcPr>
          <w:p>
            <w:pPr>
              <w:jc w:val="center"/>
            </w:pPr>
            <w:r>
              <w:t>서비스</w:t>
            </w:r>
          </w:p>
        </w:tc>
        <w:tc>
          <w:tcPr>
            <w:tcW w:type="dxa" w:w="2268"/>
            <w:tcMar>
              <w:top w:w="120" w:type="dxa"/>
              <w:start w:w="100" w:type="dxa"/>
              <w:bottom w:w="120" w:type="dxa"/>
              <w:end w:w="100" w:type="dxa"/>
            </w:tcMar>
            <w:vAlign w:val="center"/>
          </w:tcPr>
          <w:p>
            <w:pPr>
              <w:jc w:val="left"/>
            </w:pPr>
            <w:r>
              <w:t>Hopper 공식 도움말</w:t>
            </w:r>
          </w:p>
        </w:tc>
        <w:tc>
          <w:tcPr>
            <w:tcW w:type="dxa" w:w="1928"/>
            <w:tcMar>
              <w:top w:w="120" w:type="dxa"/>
              <w:start w:w="100" w:type="dxa"/>
              <w:bottom w:w="120" w:type="dxa"/>
              <w:end w:w="100" w:type="dxa"/>
            </w:tcMar>
            <w:vAlign w:val="center"/>
          </w:tcPr>
          <w:p>
            <w:pPr>
              <w:jc w:val="left"/>
            </w:pPr>
            <w:r>
              <w:t>Price Prediction·watch/book 판단</w:t>
            </w:r>
          </w:p>
        </w:tc>
        <w:tc>
          <w:tcPr>
            <w:tcW w:type="dxa" w:w="1928"/>
            <w:tcMar>
              <w:top w:w="120" w:type="dxa"/>
              <w:start w:w="100" w:type="dxa"/>
              <w:bottom w:w="120" w:type="dxa"/>
              <w:end w:w="100" w:type="dxa"/>
            </w:tcMar>
            <w:vAlign w:val="center"/>
          </w:tcPr>
          <w:p>
            <w:pPr>
              <w:jc w:val="left"/>
            </w:pPr>
            <w:r>
              <w:t>price predictions, watch trip</w:t>
            </w:r>
          </w:p>
        </w:tc>
        <w:tc>
          <w:tcPr>
            <w:tcW w:type="dxa" w:w="907"/>
            <w:tcMar>
              <w:top w:w="120" w:type="dxa"/>
              <w:start w:w="100" w:type="dxa"/>
              <w:bottom w:w="120" w:type="dxa"/>
              <w:end w:w="100" w:type="dxa"/>
            </w:tcMar>
            <w:vAlign w:val="center"/>
          </w:tcPr>
          <w:p>
            <w:pPr>
              <w:jc w:val="center"/>
            </w:pPr>
            <w:r>
              <w:t>2,3</w:t>
            </w:r>
          </w:p>
        </w:tc>
        <w:tc>
          <w:tcPr>
            <w:tcW w:type="dxa" w:w="567"/>
            <w:tcMar>
              <w:top w:w="120" w:type="dxa"/>
              <w:start w:w="100" w:type="dxa"/>
              <w:bottom w:w="120" w:type="dxa"/>
              <w:end w:w="100" w:type="dxa"/>
            </w:tcMar>
            <w:vAlign w:val="center"/>
          </w:tcPr>
          <w:p>
            <w:pPr>
              <w:jc w:val="center"/>
            </w:pPr>
            <w:r>
              <w:t>A</w:t>
            </w:r>
          </w:p>
        </w:tc>
      </w:tr>
      <w:tr>
        <w:tc>
          <w:tcPr>
            <w:tcW w:type="dxa" w:w="454"/>
            <w:tcMar>
              <w:top w:w="120" w:type="dxa"/>
              <w:start w:w="100" w:type="dxa"/>
              <w:bottom w:w="120" w:type="dxa"/>
              <w:end w:w="100" w:type="dxa"/>
            </w:tcMar>
            <w:vAlign w:val="center"/>
          </w:tcPr>
          <w:p>
            <w:pPr>
              <w:jc w:val="center"/>
            </w:pPr>
            <w:r>
              <w:t>P1</w:t>
            </w:r>
          </w:p>
        </w:tc>
        <w:tc>
          <w:tcPr>
            <w:tcW w:type="dxa" w:w="737"/>
            <w:tcMar>
              <w:top w:w="120" w:type="dxa"/>
              <w:start w:w="100" w:type="dxa"/>
              <w:bottom w:w="120" w:type="dxa"/>
              <w:end w:w="100" w:type="dxa"/>
            </w:tcMar>
            <w:vAlign w:val="center"/>
          </w:tcPr>
          <w:p>
            <w:pPr>
              <w:jc w:val="center"/>
            </w:pPr>
            <w:r>
              <w:t>논문</w:t>
            </w:r>
          </w:p>
        </w:tc>
        <w:tc>
          <w:tcPr>
            <w:tcW w:type="dxa" w:w="2268"/>
            <w:tcMar>
              <w:top w:w="120" w:type="dxa"/>
              <w:start w:w="100" w:type="dxa"/>
              <w:bottom w:w="120" w:type="dxa"/>
              <w:end w:w="100" w:type="dxa"/>
            </w:tcMar>
            <w:vAlign w:val="center"/>
          </w:tcPr>
          <w:p>
            <w:pPr>
              <w:jc w:val="left"/>
            </w:pPr>
            <w:r>
              <w:t>Jun Lu (2017)</w:t>
            </w:r>
          </w:p>
        </w:tc>
        <w:tc>
          <w:tcPr>
            <w:tcW w:type="dxa" w:w="1928"/>
            <w:tcMar>
              <w:top w:w="120" w:type="dxa"/>
              <w:start w:w="100" w:type="dxa"/>
              <w:bottom w:w="120" w:type="dxa"/>
              <w:end w:w="100" w:type="dxa"/>
            </w:tcMar>
            <w:vAlign w:val="center"/>
          </w:tcPr>
          <w:p>
            <w:pPr>
              <w:jc w:val="left"/>
            </w:pPr>
            <w:r>
              <w:t>buy/wait 문제 정의</w:t>
            </w:r>
          </w:p>
        </w:tc>
        <w:tc>
          <w:tcPr>
            <w:tcW w:type="dxa" w:w="1928"/>
            <w:tcMar>
              <w:top w:w="120" w:type="dxa"/>
              <w:start w:w="100" w:type="dxa"/>
              <w:bottom w:w="120" w:type="dxa"/>
              <w:end w:w="100" w:type="dxa"/>
            </w:tcMar>
            <w:vAlign w:val="center"/>
          </w:tcPr>
          <w:p>
            <w:pPr>
              <w:jc w:val="left"/>
            </w:pPr>
            <w:r>
              <w:t>historical price, current price</w:t>
            </w:r>
          </w:p>
        </w:tc>
        <w:tc>
          <w:tcPr>
            <w:tcW w:type="dxa" w:w="907"/>
            <w:tcMar>
              <w:top w:w="120" w:type="dxa"/>
              <w:start w:w="100" w:type="dxa"/>
              <w:bottom w:w="120" w:type="dxa"/>
              <w:end w:w="100" w:type="dxa"/>
            </w:tcMar>
            <w:vAlign w:val="center"/>
          </w:tcPr>
          <w:p>
            <w:pPr>
              <w:jc w:val="center"/>
            </w:pPr>
            <w:r>
              <w:t>4</w:t>
            </w:r>
          </w:p>
        </w:tc>
        <w:tc>
          <w:tcPr>
            <w:tcW w:type="dxa" w:w="567"/>
            <w:tcMar>
              <w:top w:w="120" w:type="dxa"/>
              <w:start w:w="100" w:type="dxa"/>
              <w:bottom w:w="120" w:type="dxa"/>
              <w:end w:w="100" w:type="dxa"/>
            </w:tcMar>
            <w:vAlign w:val="center"/>
          </w:tcPr>
          <w:p>
            <w:pPr>
              <w:jc w:val="center"/>
            </w:pPr>
            <w:r>
              <w:t>A</w:t>
            </w:r>
          </w:p>
        </w:tc>
      </w:tr>
      <w:tr>
        <w:tc>
          <w:tcPr>
            <w:tcW w:type="dxa" w:w="454"/>
            <w:tcMar>
              <w:top w:w="120" w:type="dxa"/>
              <w:start w:w="100" w:type="dxa"/>
              <w:bottom w:w="120" w:type="dxa"/>
              <w:end w:w="100" w:type="dxa"/>
            </w:tcMar>
            <w:vAlign w:val="center"/>
          </w:tcPr>
          <w:p>
            <w:pPr>
              <w:jc w:val="center"/>
            </w:pPr>
            <w:r>
              <w:t>P2</w:t>
            </w:r>
          </w:p>
        </w:tc>
        <w:tc>
          <w:tcPr>
            <w:tcW w:type="dxa" w:w="737"/>
            <w:tcMar>
              <w:top w:w="120" w:type="dxa"/>
              <w:start w:w="100" w:type="dxa"/>
              <w:bottom w:w="120" w:type="dxa"/>
              <w:end w:w="100" w:type="dxa"/>
            </w:tcMar>
            <w:vAlign w:val="center"/>
          </w:tcPr>
          <w:p>
            <w:pPr>
              <w:jc w:val="center"/>
            </w:pPr>
            <w:r>
              <w:t>논문</w:t>
            </w:r>
          </w:p>
        </w:tc>
        <w:tc>
          <w:tcPr>
            <w:tcW w:type="dxa" w:w="2268"/>
            <w:tcMar>
              <w:top w:w="120" w:type="dxa"/>
              <w:start w:w="100" w:type="dxa"/>
              <w:bottom w:w="120" w:type="dxa"/>
              <w:end w:w="100" w:type="dxa"/>
            </w:tcMar>
            <w:vAlign w:val="center"/>
          </w:tcPr>
          <w:p>
            <w:pPr>
              <w:jc w:val="left"/>
            </w:pPr>
            <w:r>
              <w:t>Dominguez-Menchero et al. (2014)</w:t>
            </w:r>
          </w:p>
        </w:tc>
        <w:tc>
          <w:tcPr>
            <w:tcW w:type="dxa" w:w="1928"/>
            <w:tcMar>
              <w:top w:w="120" w:type="dxa"/>
              <w:start w:w="100" w:type="dxa"/>
              <w:bottom w:w="120" w:type="dxa"/>
              <w:end w:w="100" w:type="dxa"/>
            </w:tcMar>
            <w:vAlign w:val="center"/>
          </w:tcPr>
          <w:p>
            <w:pPr>
              <w:jc w:val="left"/>
            </w:pPr>
            <w:r>
              <w:t>구매 시점과 경제적 손실</w:t>
            </w:r>
          </w:p>
        </w:tc>
        <w:tc>
          <w:tcPr>
            <w:tcW w:type="dxa" w:w="1928"/>
            <w:tcMar>
              <w:top w:w="120" w:type="dxa"/>
              <w:start w:w="100" w:type="dxa"/>
              <w:bottom w:w="120" w:type="dxa"/>
              <w:end w:w="100" w:type="dxa"/>
            </w:tcMar>
            <w:vAlign w:val="center"/>
          </w:tcPr>
          <w:p>
            <w:pPr>
              <w:jc w:val="left"/>
            </w:pPr>
            <w:r>
              <w:t>optimal purchase timing</w:t>
            </w:r>
          </w:p>
        </w:tc>
        <w:tc>
          <w:tcPr>
            <w:tcW w:type="dxa" w:w="907"/>
            <w:tcMar>
              <w:top w:w="120" w:type="dxa"/>
              <w:start w:w="100" w:type="dxa"/>
              <w:bottom w:w="120" w:type="dxa"/>
              <w:end w:w="100" w:type="dxa"/>
            </w:tcMar>
            <w:vAlign w:val="center"/>
          </w:tcPr>
          <w:p>
            <w:pPr>
              <w:jc w:val="center"/>
            </w:pPr>
            <w:r>
              <w:t>4</w:t>
            </w:r>
          </w:p>
        </w:tc>
        <w:tc>
          <w:tcPr>
            <w:tcW w:type="dxa" w:w="567"/>
            <w:tcMar>
              <w:top w:w="120" w:type="dxa"/>
              <w:start w:w="100" w:type="dxa"/>
              <w:bottom w:w="120" w:type="dxa"/>
              <w:end w:w="100" w:type="dxa"/>
            </w:tcMar>
            <w:vAlign w:val="center"/>
          </w:tcPr>
          <w:p>
            <w:pPr>
              <w:jc w:val="center"/>
            </w:pPr>
            <w:r>
              <w:t>A/B</w:t>
            </w:r>
          </w:p>
        </w:tc>
      </w:tr>
      <w:tr>
        <w:tc>
          <w:tcPr>
            <w:tcW w:type="dxa" w:w="454"/>
            <w:tcMar>
              <w:top w:w="120" w:type="dxa"/>
              <w:start w:w="100" w:type="dxa"/>
              <w:bottom w:w="120" w:type="dxa"/>
              <w:end w:w="100" w:type="dxa"/>
            </w:tcMar>
            <w:vAlign w:val="center"/>
          </w:tcPr>
          <w:p>
            <w:pPr>
              <w:jc w:val="center"/>
            </w:pPr>
            <w:r>
              <w:t>P3</w:t>
            </w:r>
          </w:p>
        </w:tc>
        <w:tc>
          <w:tcPr>
            <w:tcW w:type="dxa" w:w="737"/>
            <w:tcMar>
              <w:top w:w="120" w:type="dxa"/>
              <w:start w:w="100" w:type="dxa"/>
              <w:bottom w:w="120" w:type="dxa"/>
              <w:end w:w="100" w:type="dxa"/>
            </w:tcMar>
            <w:vAlign w:val="center"/>
          </w:tcPr>
          <w:p>
            <w:pPr>
              <w:jc w:val="center"/>
            </w:pPr>
            <w:r>
              <w:t>논문</w:t>
            </w:r>
          </w:p>
        </w:tc>
        <w:tc>
          <w:tcPr>
            <w:tcW w:type="dxa" w:w="2268"/>
            <w:tcMar>
              <w:top w:w="120" w:type="dxa"/>
              <w:start w:w="100" w:type="dxa"/>
              <w:bottom w:w="120" w:type="dxa"/>
              <w:end w:w="100" w:type="dxa"/>
            </w:tcMar>
            <w:vAlign w:val="center"/>
          </w:tcPr>
          <w:p>
            <w:pPr>
              <w:jc w:val="left"/>
            </w:pPr>
            <w:r>
              <w:t>Zhao et al. (2021)</w:t>
            </w:r>
          </w:p>
        </w:tc>
        <w:tc>
          <w:tcPr>
            <w:tcW w:type="dxa" w:w="1928"/>
            <w:tcMar>
              <w:top w:w="120" w:type="dxa"/>
              <w:start w:w="100" w:type="dxa"/>
              <w:bottom w:w="120" w:type="dxa"/>
              <w:end w:w="100" w:type="dxa"/>
            </w:tcMar>
            <w:vAlign w:val="center"/>
          </w:tcPr>
          <w:p>
            <w:pPr>
              <w:jc w:val="left"/>
            </w:pPr>
            <w:r>
              <w:t>다중 속성 기반 가격 예측</w:t>
            </w:r>
          </w:p>
        </w:tc>
        <w:tc>
          <w:tcPr>
            <w:tcW w:type="dxa" w:w="1928"/>
            <w:tcMar>
              <w:top w:w="120" w:type="dxa"/>
              <w:start w:w="100" w:type="dxa"/>
              <w:bottom w:w="120" w:type="dxa"/>
              <w:end w:w="100" w:type="dxa"/>
            </w:tcMar>
            <w:vAlign w:val="center"/>
          </w:tcPr>
          <w:p>
            <w:pPr>
              <w:jc w:val="left"/>
            </w:pPr>
            <w:r>
              <w:t>days of purchase in advance</w:t>
            </w:r>
          </w:p>
        </w:tc>
        <w:tc>
          <w:tcPr>
            <w:tcW w:type="dxa" w:w="907"/>
            <w:tcMar>
              <w:top w:w="120" w:type="dxa"/>
              <w:start w:w="100" w:type="dxa"/>
              <w:bottom w:w="120" w:type="dxa"/>
              <w:end w:w="100" w:type="dxa"/>
            </w:tcMar>
            <w:vAlign w:val="center"/>
          </w:tcPr>
          <w:p>
            <w:pPr>
              <w:jc w:val="center"/>
            </w:pPr>
            <w:r>
              <w:t>4</w:t>
            </w:r>
          </w:p>
        </w:tc>
        <w:tc>
          <w:tcPr>
            <w:tcW w:type="dxa" w:w="567"/>
            <w:tcMar>
              <w:top w:w="120" w:type="dxa"/>
              <w:start w:w="100" w:type="dxa"/>
              <w:bottom w:w="120" w:type="dxa"/>
              <w:end w:w="100" w:type="dxa"/>
            </w:tcMar>
            <w:vAlign w:val="center"/>
          </w:tcPr>
          <w:p>
            <w:pPr>
              <w:jc w:val="center"/>
            </w:pPr>
            <w:r>
              <w:t>A</w:t>
            </w:r>
          </w:p>
        </w:tc>
      </w:tr>
      <w:tr>
        <w:tc>
          <w:tcPr>
            <w:tcW w:type="dxa" w:w="454"/>
            <w:tcMar>
              <w:top w:w="120" w:type="dxa"/>
              <w:start w:w="100" w:type="dxa"/>
              <w:bottom w:w="120" w:type="dxa"/>
              <w:end w:w="100" w:type="dxa"/>
            </w:tcMar>
            <w:vAlign w:val="center"/>
          </w:tcPr>
          <w:p>
            <w:pPr>
              <w:jc w:val="center"/>
            </w:pPr>
            <w:r>
              <w:t>P4</w:t>
            </w:r>
          </w:p>
        </w:tc>
        <w:tc>
          <w:tcPr>
            <w:tcW w:type="dxa" w:w="737"/>
            <w:tcMar>
              <w:top w:w="120" w:type="dxa"/>
              <w:start w:w="100" w:type="dxa"/>
              <w:bottom w:w="120" w:type="dxa"/>
              <w:end w:w="100" w:type="dxa"/>
            </w:tcMar>
            <w:vAlign w:val="center"/>
          </w:tcPr>
          <w:p>
            <w:pPr>
              <w:jc w:val="center"/>
            </w:pPr>
            <w:r>
              <w:t>논문</w:t>
            </w:r>
          </w:p>
        </w:tc>
        <w:tc>
          <w:tcPr>
            <w:tcW w:type="dxa" w:w="2268"/>
            <w:tcMar>
              <w:top w:w="120" w:type="dxa"/>
              <w:start w:w="100" w:type="dxa"/>
              <w:bottom w:w="120" w:type="dxa"/>
              <w:end w:w="100" w:type="dxa"/>
            </w:tcMar>
            <w:vAlign w:val="center"/>
          </w:tcPr>
          <w:p>
            <w:pPr>
              <w:jc w:val="left"/>
            </w:pPr>
            <w:r>
              <w:t>Gillen et al. (2009)</w:t>
            </w:r>
          </w:p>
        </w:tc>
        <w:tc>
          <w:tcPr>
            <w:tcW w:type="dxa" w:w="1928"/>
            <w:tcMar>
              <w:top w:w="120" w:type="dxa"/>
              <w:start w:w="100" w:type="dxa"/>
              <w:bottom w:w="120" w:type="dxa"/>
              <w:end w:w="100" w:type="dxa"/>
            </w:tcMar>
            <w:vAlign w:val="center"/>
          </w:tcPr>
          <w:p>
            <w:pPr>
              <w:jc w:val="left"/>
            </w:pPr>
            <w:r>
              <w:t>가격 변동성과 리드타임</w:t>
            </w:r>
          </w:p>
        </w:tc>
        <w:tc>
          <w:tcPr>
            <w:tcW w:type="dxa" w:w="1928"/>
            <w:tcMar>
              <w:top w:w="120" w:type="dxa"/>
              <w:start w:w="100" w:type="dxa"/>
              <w:bottom w:w="120" w:type="dxa"/>
              <w:end w:w="100" w:type="dxa"/>
            </w:tcMar>
            <w:vAlign w:val="center"/>
          </w:tcPr>
          <w:p>
            <w:pPr>
              <w:jc w:val="left"/>
            </w:pPr>
            <w:r>
              <w:t>price volatility, 2 weeks</w:t>
            </w:r>
          </w:p>
        </w:tc>
        <w:tc>
          <w:tcPr>
            <w:tcW w:type="dxa" w:w="907"/>
            <w:tcMar>
              <w:top w:w="120" w:type="dxa"/>
              <w:start w:w="100" w:type="dxa"/>
              <w:bottom w:w="120" w:type="dxa"/>
              <w:end w:w="100" w:type="dxa"/>
            </w:tcMar>
            <w:vAlign w:val="center"/>
          </w:tcPr>
          <w:p>
            <w:pPr>
              <w:jc w:val="center"/>
            </w:pPr>
            <w:r>
              <w:t>4</w:t>
            </w:r>
          </w:p>
        </w:tc>
        <w:tc>
          <w:tcPr>
            <w:tcW w:type="dxa" w:w="567"/>
            <w:tcMar>
              <w:top w:w="120" w:type="dxa"/>
              <w:start w:w="100" w:type="dxa"/>
              <w:bottom w:w="120" w:type="dxa"/>
              <w:end w:w="100" w:type="dxa"/>
            </w:tcMar>
            <w:vAlign w:val="center"/>
          </w:tcPr>
          <w:p>
            <w:pPr>
              <w:jc w:val="center"/>
            </w:pPr>
            <w:r>
              <w:t>A/B</w:t>
            </w:r>
          </w:p>
        </w:tc>
      </w:tr>
      <w:tr>
        <w:tc>
          <w:tcPr>
            <w:tcW w:type="dxa" w:w="454"/>
            <w:tcMar>
              <w:top w:w="120" w:type="dxa"/>
              <w:start w:w="100" w:type="dxa"/>
              <w:bottom w:w="120" w:type="dxa"/>
              <w:end w:w="100" w:type="dxa"/>
            </w:tcMar>
            <w:vAlign w:val="center"/>
          </w:tcPr>
          <w:p>
            <w:pPr>
              <w:jc w:val="center"/>
            </w:pPr>
            <w:r>
              <w:t>P5</w:t>
            </w:r>
          </w:p>
        </w:tc>
        <w:tc>
          <w:tcPr>
            <w:tcW w:type="dxa" w:w="737"/>
            <w:tcMar>
              <w:top w:w="120" w:type="dxa"/>
              <w:start w:w="100" w:type="dxa"/>
              <w:bottom w:w="120" w:type="dxa"/>
              <w:end w:w="100" w:type="dxa"/>
            </w:tcMar>
            <w:vAlign w:val="center"/>
          </w:tcPr>
          <w:p>
            <w:pPr>
              <w:jc w:val="center"/>
            </w:pPr>
            <w:r>
              <w:t>논문</w:t>
            </w:r>
          </w:p>
        </w:tc>
        <w:tc>
          <w:tcPr>
            <w:tcW w:type="dxa" w:w="2268"/>
            <w:tcMar>
              <w:top w:w="120" w:type="dxa"/>
              <w:start w:w="100" w:type="dxa"/>
              <w:bottom w:w="120" w:type="dxa"/>
              <w:end w:w="100" w:type="dxa"/>
            </w:tcMar>
            <w:vAlign w:val="center"/>
          </w:tcPr>
          <w:p>
            <w:pPr>
              <w:jc w:val="left"/>
            </w:pPr>
            <w:r>
              <w:t>Otręba et al. (2025)</w:t>
            </w:r>
          </w:p>
        </w:tc>
        <w:tc>
          <w:tcPr>
            <w:tcW w:type="dxa" w:w="1928"/>
            <w:tcMar>
              <w:top w:w="120" w:type="dxa"/>
              <w:start w:w="100" w:type="dxa"/>
              <w:bottom w:w="120" w:type="dxa"/>
              <w:end w:w="100" w:type="dxa"/>
            </w:tcMar>
            <w:vAlign w:val="center"/>
          </w:tcPr>
          <w:p>
            <w:pPr>
              <w:jc w:val="left"/>
            </w:pPr>
            <w:r>
              <w:t>단거리 시장 가격 결정요인</w:t>
            </w:r>
          </w:p>
        </w:tc>
        <w:tc>
          <w:tcPr>
            <w:tcW w:type="dxa" w:w="1928"/>
            <w:tcMar>
              <w:top w:w="120" w:type="dxa"/>
              <w:start w:w="100" w:type="dxa"/>
              <w:bottom w:w="120" w:type="dxa"/>
              <w:end w:w="100" w:type="dxa"/>
            </w:tcMar>
            <w:vAlign w:val="center"/>
          </w:tcPr>
          <w:p>
            <w:pPr>
              <w:jc w:val="left"/>
            </w:pPr>
            <w:r>
              <w:t>layover, weekday, passengers</w:t>
            </w:r>
          </w:p>
        </w:tc>
        <w:tc>
          <w:tcPr>
            <w:tcW w:type="dxa" w:w="907"/>
            <w:tcMar>
              <w:top w:w="120" w:type="dxa"/>
              <w:start w:w="100" w:type="dxa"/>
              <w:bottom w:w="120" w:type="dxa"/>
              <w:end w:w="100" w:type="dxa"/>
            </w:tcMar>
            <w:vAlign w:val="center"/>
          </w:tcPr>
          <w:p>
            <w:pPr>
              <w:jc w:val="center"/>
            </w:pPr>
            <w:r>
              <w:t>4</w:t>
            </w:r>
          </w:p>
        </w:tc>
        <w:tc>
          <w:tcPr>
            <w:tcW w:type="dxa" w:w="567"/>
            <w:tcMar>
              <w:top w:w="120" w:type="dxa"/>
              <w:start w:w="100" w:type="dxa"/>
              <w:bottom w:w="120" w:type="dxa"/>
              <w:end w:w="100" w:type="dxa"/>
            </w:tcMar>
            <w:vAlign w:val="center"/>
          </w:tcPr>
          <w:p>
            <w:pPr>
              <w:jc w:val="center"/>
            </w:pPr>
            <w:r>
              <w:t>A/B</w:t>
            </w:r>
          </w:p>
        </w:tc>
      </w:tr>
    </w:tbl>
    <w:p>
      <w:r>
        <w:t>서비스 자료는 사용자가 실제로 마주하는 판단 보조 기능의 형태를 보여주고, 연구 자료는 어떤 데이터 단위와 변수 구조로 가격 판단 문제를 다뤘는지 보여준다. 둘을 함께 봐야 '무엇이 사용자 친화적인 출력인지'와 '무엇이 데이터적으로 재현 가능한지'를 동시에 점검할 수 있다.</w:t>
      </w:r>
    </w:p>
    <w:p>
      <w:pPr>
        <w:pStyle w:val="Heading1"/>
      </w:pPr>
      <w:r>
        <w:t>4. 유사 서비스가 보여주는 공통 패턴</w:t>
      </w:r>
    </w:p>
    <w:p>
      <w:pPr>
        <w:ind w:left="227" w:hanging="198"/>
      </w:pPr>
      <w:r>
        <w:rPr>
          <w:rFonts w:ascii="Malgun Gothic" w:hAnsi="Malgun Gothic" w:eastAsia="Malgun Gothic"/>
        </w:rPr>
        <w:t>• Google Flights는 specific flights, routes, dates 기준 가격 추적과 price graph/interactive calendar를 제공한다(S1).</w:t>
      </w:r>
    </w:p>
    <w:p>
      <w:pPr>
        <w:ind w:left="227" w:hanging="198"/>
      </w:pPr>
      <w:r>
        <w:rPr>
          <w:rFonts w:ascii="Malgun Gothic" w:hAnsi="Malgun Gothic" w:eastAsia="Malgun Gothic"/>
        </w:rPr>
        <w:t>• Skyscanner는 Price Alert와 whole month·cheapest month 탐색을 통해 날짜 유연성이 있을 때의 탐색 보조를 강화한다(S2).</w:t>
      </w:r>
    </w:p>
    <w:p>
      <w:pPr>
        <w:ind w:left="227" w:hanging="198"/>
      </w:pPr>
      <w:r>
        <w:rPr>
          <w:rFonts w:ascii="Malgun Gothic" w:hAnsi="Malgun Gothic" w:eastAsia="Malgun Gothic"/>
        </w:rPr>
        <w:t>• KAYAK은 historical and real-time data를 바탕으로 향후 7일 내 오를지 내릴지에 대한 Price Forecast를 제공하며 educated guesses라고 명시한다(S3).</w:t>
      </w:r>
    </w:p>
    <w:p>
      <w:pPr>
        <w:ind w:left="227" w:hanging="198"/>
      </w:pPr>
      <w:r>
        <w:rPr>
          <w:rFonts w:ascii="Malgun Gothic" w:hAnsi="Malgun Gothic" w:eastAsia="Malgun Gothic"/>
        </w:rPr>
        <w:t>• Hopper는 예측 기반으로 예약 타이밍을 안내하지만 예측 정확성을 보장하지 않는다고 직접 밝힌다(S4).</w:t>
      </w:r>
    </w:p>
    <w:p>
      <w:r>
        <w:t>즉 시장은 이미 '최저가 검색'을 넘어 '구매 판단 보조' 단계로 가 있다. 다만 상용 서비스들은 내부 알고리즘과 데이터 범위를 사용자에게 완전히 투명하게 보여주지 않으며, 모든 노선에 동일한 품질로 판단을 제공하는 것도 아니다. 따라서 우리의 차별점은 '정답 보장'이 아니라 '조건과 한계를 드러내는 설명 가능한 판단 보조'에 두는 편이 자연스럽다.</w:t>
      </w:r>
    </w:p>
    <w:p>
      <w:pPr>
        <w:pStyle w:val="Heading1"/>
      </w:pPr>
      <w:r>
        <w:t>5. 관련 연구가 보여주는 구조</w:t>
      </w:r>
    </w:p>
    <w:p>
      <w:pPr>
        <w:ind w:left="227" w:hanging="198"/>
      </w:pPr>
      <w:r>
        <w:rPr>
          <w:rFonts w:ascii="Malgun Gothic" w:hAnsi="Malgun Gothic" w:eastAsia="Malgun Gothic"/>
        </w:rPr>
        <w:t>• P1은 historical price와 current price를 바탕으로 buy/wait 문제를 정의하며, 신규 노선처럼 과거 데이터가 적은 경우를 별도 문제로 다룬다.</w:t>
      </w:r>
    </w:p>
    <w:p>
      <w:pPr>
        <w:ind w:left="227" w:hanging="198"/>
      </w:pPr>
      <w:r>
        <w:rPr>
          <w:rFonts w:ascii="Malgun Gothic" w:hAnsi="Malgun Gothic" w:eastAsia="Malgun Gothic"/>
        </w:rPr>
        <w:t>• P2는 구매를 늦출 수 있는 여유 구간과 경제적 손실을 연결해, 이분법적 판단보다 '기다릴 여지' 개념을 시사한다.</w:t>
      </w:r>
    </w:p>
    <w:p>
      <w:pPr>
        <w:ind w:left="227" w:hanging="198"/>
      </w:pPr>
      <w:r>
        <w:rPr>
          <w:rFonts w:ascii="Malgun Gothic" w:hAnsi="Malgun Gothic" w:eastAsia="Malgun Gothic"/>
        </w:rPr>
        <w:t>• P3는 days of purchase in advance, airline, departure time 등 다중 속성을 가격 판단의 핵심 변수 후보로 제시한다.</w:t>
      </w:r>
    </w:p>
    <w:p>
      <w:pPr>
        <w:ind w:left="227" w:hanging="198"/>
      </w:pPr>
      <w:r>
        <w:rPr>
          <w:rFonts w:ascii="Malgun Gothic" w:hAnsi="Malgun Gothic" w:eastAsia="Malgun Gothic"/>
        </w:rPr>
        <w:t>• P4는 출발일이 가까워질수록 가격 변동성이 커질 수 있음을 보여주며, 리드타임 자체를 위험도 지표와 연결할 수 있게 한다.</w:t>
      </w:r>
    </w:p>
    <w:p>
      <w:pPr>
        <w:ind w:left="227" w:hanging="198"/>
      </w:pPr>
      <w:r>
        <w:rPr>
          <w:rFonts w:ascii="Malgun Gothic" w:hAnsi="Malgun Gothic" w:eastAsia="Malgun Gothic"/>
        </w:rPr>
        <w:t>• P5는 요일, 구매 요일, layover, 예약 인원 수 같은 구조적 조건이 가격 설명에 의미 있을 수 있음을 시사한다.</w:t>
      </w:r>
    </w:p>
    <w:p>
      <w:r>
        <w:t>연구를 종합하면 항공권 문제는 '현재가 하나만 보고 결정하는 문제'가 아니라, 현재가 + 과거가 + 리드타임 + 구조적 조건을 함께 보는 문제로 이해하는 것이 적절하다. 다만 논문별 시장과 데이터 수집 환경이 다르므로, 변수 후보를 참고할 수는 있어도 수치 규칙을 그대로 가져와서는 안 된다.</w:t>
      </w:r>
    </w:p>
    <w:p>
      <w:pPr>
        <w:pStyle w:val="Heading1"/>
      </w:pPr>
      <w:r>
        <w:t>6. 지금 시점에서 객관적으로 말할 수 있는 것</w:t>
      </w:r>
    </w:p>
    <w:p>
      <w:pPr>
        <w:ind w:left="227" w:hanging="198"/>
      </w:pPr>
      <w:r>
        <w:rPr>
          <w:rFonts w:ascii="Malgun Gothic" w:hAnsi="Malgun Gothic" w:eastAsia="Malgun Gothic"/>
        </w:rPr>
        <w:t>• 본 주제는 가격 예측 자체보다 구매 의사결정 보조 프레임이 더 적합하다.</w:t>
      </w:r>
    </w:p>
    <w:p>
      <w:pPr>
        <w:ind w:left="227" w:hanging="198"/>
      </w:pPr>
      <w:r>
        <w:rPr>
          <w:rFonts w:ascii="Malgun Gothic" w:hAnsi="Malgun Gothic" w:eastAsia="Malgun Gothic"/>
        </w:rPr>
        <w:t>• 출력은 단순 예측 가격보다 가격 수준, 리드타임, 단기 위험도, 설명 근거의 조합으로 설계하는 편이 자연스럽다.</w:t>
      </w:r>
    </w:p>
    <w:p>
      <w:pPr>
        <w:ind w:left="227" w:hanging="198"/>
      </w:pPr>
      <w:r>
        <w:rPr>
          <w:rFonts w:ascii="Malgun Gothic" w:hAnsi="Malgun Gothic" w:eastAsia="Malgun Gothic"/>
        </w:rPr>
        <w:t>• 데이터가 충분한 범위에서만 판단을 제공해야 하며, 모든 노선에 동일한 기능을 전제하면 안 된다.</w:t>
      </w:r>
    </w:p>
    <w:p>
      <w:pPr>
        <w:ind w:left="227" w:hanging="198"/>
      </w:pPr>
      <w:r>
        <w:rPr>
          <w:rFonts w:ascii="Malgun Gothic" w:hAnsi="Malgun Gothic" w:eastAsia="Malgun Gothic"/>
        </w:rPr>
        <w:t>• 날짜 유연성 여부와 고정 날짜 판단은 같은 문제로 취급하면 안 된다.</w:t>
      </w:r>
    </w:p>
    <w:p>
      <w:pPr>
        <w:pStyle w:val="Heading1"/>
      </w:pPr>
      <w:r>
        <w:t>7. 아직 확정하지 말아야 하는 것</w:t>
      </w:r>
    </w:p>
    <w:p>
      <w:r>
        <w:t>현재 단계에서 범위를 과도하게 확정하면 이후 데이터 검증 결과와 충돌할 가능성이 높다. 따라서 아래 항목은 의도적으로 열어 두는 것이 타당하다.</w:t>
      </w:r>
    </w:p>
    <w:p>
      <w:pPr>
        <w:ind w:left="227" w:hanging="198"/>
      </w:pPr>
      <w:r>
        <w:rPr>
          <w:rFonts w:ascii="Malgun Gothic" w:hAnsi="Malgun Gothic" w:eastAsia="Malgun Gothic"/>
        </w:rPr>
        <w:t>• 최종 범위를 한국-일본 전체로 둘지, 인천발 일본으로 좁힐지</w:t>
      </w:r>
    </w:p>
    <w:p>
      <w:pPr>
        <w:ind w:left="227" w:hanging="198"/>
      </w:pPr>
      <w:r>
        <w:rPr>
          <w:rFonts w:ascii="Malgun Gothic" w:hAnsi="Malgun Gothic" w:eastAsia="Malgun Gothic"/>
        </w:rPr>
        <w:t>• 분석 최소 단위를 도시권으로 둘지, 공항쌍으로 둘지</w:t>
      </w:r>
    </w:p>
    <w:p>
      <w:pPr>
        <w:ind w:left="227" w:hanging="198"/>
      </w:pPr>
      <w:r>
        <w:rPr>
          <w:rFonts w:ascii="Malgun Gothic" w:hAnsi="Malgun Gothic" w:eastAsia="Malgun Gothic"/>
        </w:rPr>
        <w:t>• 가격 데이터 핵심 소스와 과거 히스토리 확보 방식</w:t>
      </w:r>
    </w:p>
    <w:p>
      <w:pPr>
        <w:ind w:left="227" w:hanging="198"/>
      </w:pPr>
      <w:r>
        <w:rPr>
          <w:rFonts w:ascii="Malgun Gothic" w:hAnsi="Malgun Gothic" w:eastAsia="Malgun Gothic"/>
        </w:rPr>
        <w:t>• MVP에서 대표 노선을 몇 개 둘지</w:t>
      </w:r>
    </w:p>
    <w:p>
      <w:pPr>
        <w:ind w:left="227" w:hanging="198"/>
      </w:pPr>
      <w:r>
        <w:rPr>
          <w:rFonts w:ascii="Malgun Gothic" w:hAnsi="Malgun Gothic" w:eastAsia="Malgun Gothic"/>
        </w:rPr>
        <w:t>• 예측 기간을 3일/7일 등으로 미리 확정할지</w:t>
      </w:r>
    </w:p>
    <w:p>
      <w:pPr>
        <w:ind w:left="227" w:hanging="198"/>
      </w:pPr>
      <w:r>
        <w:rPr>
          <w:rFonts w:ascii="Malgun Gothic" w:hAnsi="Malgun Gothic" w:eastAsia="Malgun Gothic"/>
        </w:rPr>
        <w:t>• 규칙 기반·통계 기반·ML 중 무엇을 먼저 쓸지</w:t>
      </w:r>
    </w:p>
    <w:p>
      <w:pPr>
        <w:pStyle w:val="Heading1"/>
      </w:pPr>
      <w:r>
        <w:t>8. 데이터 관점 핵심 쟁점</w:t>
      </w:r>
    </w:p>
    <w:p>
      <w:r>
        <w:t>향후 체크리스트와 직접 연결되는 핵심 쟁점은 데이터 바운더리와 분석 단위다. 지금까지의 내부 정리 기준으로는 IIAC는 인천공항 관점의 관계 데이터, KAC는 인천 외 공항까지 확장 가능한 후보, aviationstack은 일본 공항/항공사 마스터 보조로 보는 해석이 유력하다. 다만 가격 데이터는 아직 실호출 검증이 남아 있으므로, 공항쌍/도시쌍 지원 여부, 과거 히스토리 제공 여부, 직접 누적 필요 여부를 확인하기 전까지 핵심 소스를 단정하지 않는다.</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9746"/>
      </w:tblGrid>
      <w:tr>
        <w:tc>
          <w:tcPr>
            <w:tcW w:type="dxa" w:w="9746"/>
            <w:shd w:fill="F7FBFF"/>
            <w:tcMar>
              <w:top w:w="120" w:type="dxa"/>
              <w:start w:w="120" w:type="dxa"/>
              <w:bottom w:w="120" w:type="dxa"/>
              <w:end w:w="120" w:type="dxa"/>
            </w:tcMar>
          </w:tcPr>
          <w:p>
            <w:pPr>
              <w:jc w:val="left"/>
            </w:pPr>
            <w:r>
              <w:rPr>
                <w:b/>
                <w:color w:val="203864"/>
                <w:sz w:val="23"/>
              </w:rPr>
              <w:t>데이터 질문 3개</w:t>
              <w:br/>
            </w:r>
            <w:r>
              <w:rPr>
                <w:sz w:val="21"/>
              </w:rPr>
              <w:t>한국 측 공항 범위를 어디까지 설명할 수 있는가</w:t>
              <w:br/>
            </w:r>
            <w:r>
              <w:rPr>
                <w:sz w:val="21"/>
              </w:rPr>
              <w:t>가격 데이터를 실제로 어디서 받을 수 있는가</w:t>
              <w:br/>
            </w:r>
            <w:r>
              <w:rPr>
                <w:sz w:val="21"/>
              </w:rPr>
              <w:t>그 데이터를 어떤 단위(도시권/공항쌍/노선)로 다룰 수 있는가</w:t>
            </w:r>
          </w:p>
        </w:tc>
      </w:tr>
    </w:tbl>
    <w:p>
      <w:pPr>
        <w:pStyle w:val="Heading1"/>
      </w:pPr>
      <w:r>
        <w:t>9. 이후 참고를 위한 체크 포인트</w:t>
      </w:r>
    </w:p>
    <w:p>
      <w:pPr>
        <w:ind w:left="227" w:hanging="198"/>
      </w:pPr>
      <w:r>
        <w:rPr>
          <w:rFonts w:ascii="Malgun Gothic" w:hAnsi="Malgun Gothic" w:eastAsia="Malgun Gothic"/>
        </w:rPr>
        <w:t>• 서비스 자료에서는 기능 자체보다 판단 단위와 한계 문구를 먼저 확인</w:t>
      </w:r>
    </w:p>
    <w:p>
      <w:pPr>
        <w:ind w:left="227" w:hanging="198"/>
      </w:pPr>
      <w:r>
        <w:rPr>
          <w:rFonts w:ascii="Malgun Gothic" w:hAnsi="Malgun Gothic" w:eastAsia="Malgun Gothic"/>
        </w:rPr>
        <w:t>• 논문 자료에서는 성능보다 연구 질문·데이터 단위·변수 구조·한계 문장을 먼저 확인</w:t>
      </w:r>
    </w:p>
    <w:p>
      <w:pPr>
        <w:ind w:left="227" w:hanging="198"/>
      </w:pPr>
      <w:r>
        <w:rPr>
          <w:rFonts w:ascii="Malgun Gothic" w:hAnsi="Malgun Gothic" w:eastAsia="Malgun Gothic"/>
        </w:rPr>
        <w:t>• 시장 차이가 큰 연구는 '직접 적용'이 아니라 '설명 변수 후보' 수준으로만 사용</w:t>
      </w:r>
    </w:p>
    <w:p>
      <w:pPr>
        <w:ind w:left="227" w:hanging="198"/>
      </w:pPr>
      <w:r>
        <w:rPr>
          <w:rFonts w:ascii="Malgun Gothic" w:hAnsi="Malgun Gothic" w:eastAsia="Malgun Gothic"/>
        </w:rPr>
        <w:t>• 근거가 약한 문장은 '사실'이 아니라 '해석'으로 표시</w:t>
      </w:r>
    </w:p>
    <w:p>
      <w:pPr>
        <w:pStyle w:val="Heading1"/>
      </w:pPr>
      <w:r>
        <w:t>10. 정리</w:t>
      </w:r>
    </w:p>
    <w:p>
      <w:r>
        <w:t>이 베이스라인 문서의 결론은 단순하다. 주제 방향은 이미 충분히 설득력 있다. 그러나 지금은 설계 확정 단계가 아니라, 어떤 데이터 구조와 범위 안에서 이 방향을 실제 시스템으로 옮길 수 있는지 확인해야 하는 단계다. 따라서 이 문서는 방향을 굳히되 범위를 섣불리 닫지 않는 기준 문서로 사용한다.</w:t>
      </w:r>
    </w:p>
    <w:sectPr w:rsidR="00FC693F" w:rsidRPr="0006063C" w:rsidSect="00034616">
      <w:footerReference w:type="default" r:id="rId9"/>
      <w:pgSz w:w="12240" w:h="15840"/>
      <w:pgMar w:top="124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8"/>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Malgun Gothic" w:hAnsi="Malgun Gothic" w:eastAsia="Malgun Gothic"/>
      <w:b/>
      <w:bCs/>
      <w:color w:val="20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algun Gothic" w:hAnsi="Malgun Gothic" w:eastAsia="Malgun Gothic"/>
      <w:b/>
      <w:bCs/>
      <w:color w:val="385D8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algun Gothic" w:hAnsi="Malgun Gothic" w:eastAsia="Malgun Gothic"/>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Malgun Gothic" w:hAnsi="Malgun Gothic" w:eastAsia="Malgun Gothic"/>
      <w:b/>
      <w:color w:val="20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