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38"/>
        </w:rPr>
        <w:t>항공권 구매 의사결정 보조 시스템</w:t>
      </w:r>
    </w:p>
    <w:p>
      <w:pPr>
        <w:jc w:val="center"/>
      </w:pPr>
      <w:r>
        <w:rPr>
          <w:rFonts w:ascii="Malgun Gothic" w:hAnsi="Malgun Gothic" w:eastAsia="Malgun Gothic"/>
          <w:b/>
          <w:color w:val="52607A"/>
          <w:sz w:val="24"/>
        </w:rPr>
        <w:t>현위치 앵커 문서</w:t>
      </w:r>
    </w:p>
    <w:p>
      <w:pPr>
        <w:pStyle w:val="SmallNote"/>
        <w:jc w:val="center"/>
      </w:pPr>
      <w:r>
        <w:t>작성일 2026-03-23  |  최종 수정일 2026-03-23</w:t>
      </w:r>
    </w:p>
    <w:p>
      <w:pPr>
        <w:jc w:val="center"/>
      </w:pPr>
      <w:r>
        <w:rPr>
          <w:color w:val="A0AAB9"/>
        </w:rPr>
        <w:t>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AF1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2344E"/>
              </w:rPr>
              <w:t>현재 상태 요약</w:t>
            </w:r>
          </w:p>
        </w:tc>
      </w:tr>
      <w:tr>
        <w:tc>
          <w:tcPr>
            <w:tcW w:type="dxa" w:w="96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본 프로젝트의 현재 해석은 ‘항공권 가격 예측’보다 ‘구매 시점 판단을 돕는 의사결정 보조’에 가깝다.</w:t>
            </w:r>
          </w:p>
        </w:tc>
      </w:tr>
      <w:tr>
        <w:tc>
          <w:tcPr>
            <w:tcW w:type="dxa" w:w="96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현재 단계의 핵심 과제는 데이터 바운더리 확인이며, 분석 단위·MVP·구현 방식은 후속 단계에서 확정한다.</w:t>
            </w:r>
          </w:p>
        </w:tc>
      </w:tr>
    </w:tbl>
    <w:p/>
    <w:p>
      <w:pPr>
        <w:pStyle w:val="Heading1"/>
        <w:spacing w:before="160" w:after="80"/>
      </w:pPr>
      <w:r>
        <w:t>1. 현재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구분</w:t>
            </w:r>
          </w:p>
        </w:tc>
        <w:tc>
          <w:tcPr>
            <w:tcW w:type="dxa" w:w="4816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현재 기준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주제 방향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소비자의 항공권 구매 시 합리적 소비를 지원하는 의사결정 보조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핵심 질문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지금 예약할지, 관망할지, 날짜 조정이 가능한지 판단할 수 있는가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현재 단계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데이터 바운더리와 분석 단위 가능 범위를 확인하는 단계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결과물 방향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가격 수준, 리드타임, 단기 위험도, 설명 가능한 근거를 포함한 형태</w:t>
            </w:r>
          </w:p>
        </w:tc>
      </w:tr>
    </w:tbl>
    <w:p/>
    <w:p>
      <w:pPr>
        <w:pStyle w:val="Heading1"/>
        <w:spacing w:before="160" w:after="80"/>
      </w:pPr>
      <w:r>
        <w:t>2. 현 단계에서 확정하지 않는 항목</w:t>
      </w:r>
    </w:p>
    <w:p>
      <w:pPr>
        <w:spacing w:after="40"/>
        <w:ind w:left="113"/>
      </w:pPr>
      <w:r>
        <w:rPr>
          <w:b/>
        </w:rPr>
        <w:t xml:space="preserve">• </w:t>
      </w:r>
      <w:r>
        <w:t>카테고리 범위를 한국–일본 전체로 둘지, 특정 출발 공항군으로 축소할지 여부</w:t>
      </w:r>
    </w:p>
    <w:p>
      <w:pPr>
        <w:spacing w:after="40"/>
        <w:ind w:left="113"/>
      </w:pPr>
      <w:r>
        <w:rPr>
          <w:b/>
        </w:rPr>
        <w:t xml:space="preserve">• </w:t>
      </w:r>
      <w:r>
        <w:t>분석 최소 단위를 도시권, 공항쌍, 개별 노선 중 어디에 둘지 여부</w:t>
      </w:r>
    </w:p>
    <w:p>
      <w:pPr>
        <w:spacing w:after="40"/>
        <w:ind w:left="113"/>
      </w:pPr>
      <w:r>
        <w:rPr>
          <w:b/>
        </w:rPr>
        <w:t xml:space="preserve">• </w:t>
      </w:r>
      <w:r>
        <w:t>가격 데이터의 핵심 소스와 과거 히스토리 확보 방식</w:t>
      </w:r>
    </w:p>
    <w:p>
      <w:pPr>
        <w:spacing w:after="40"/>
        <w:ind w:left="113"/>
      </w:pPr>
      <w:r>
        <w:rPr>
          <w:b/>
        </w:rPr>
        <w:t xml:space="preserve">• </w:t>
      </w:r>
      <w:r>
        <w:t>예측 기간, 모델 방식, 이벤트 변수 반영 수준</w:t>
      </w:r>
    </w:p>
    <w:p>
      <w:pPr>
        <w:spacing w:after="40"/>
        <w:ind w:left="113"/>
      </w:pPr>
      <w:r>
        <w:rPr>
          <w:b/>
        </w:rPr>
        <w:t xml:space="preserve">• </w:t>
      </w:r>
      <w:r>
        <w:t>대표 노선 수와 MVP 화면 구조</w:t>
      </w:r>
    </w:p>
    <w:p>
      <w:pPr>
        <w:pStyle w:val="Heading1"/>
        <w:spacing w:before="160" w:after="80"/>
      </w:pPr>
      <w:r>
        <w:t>3. 현재 단계의 핵심 질문</w:t>
      </w:r>
    </w:p>
    <w:p>
      <w:pPr>
        <w:spacing w:after="40"/>
        <w:ind w:left="113"/>
      </w:pPr>
      <w:r>
        <w:rPr>
          <w:b/>
        </w:rPr>
        <w:t xml:space="preserve">• </w:t>
      </w:r>
      <w:r>
        <w:t>한국 측 공항 범위를 실제로 어디까지 확보할 수 있는가</w:t>
      </w:r>
    </w:p>
    <w:p>
      <w:pPr>
        <w:spacing w:after="40"/>
        <w:ind w:left="113"/>
      </w:pPr>
      <w:r>
        <w:rPr>
          <w:b/>
        </w:rPr>
        <w:t xml:space="preserve">• </w:t>
      </w:r>
      <w:r>
        <w:t>가격 데이터를 실제로 어디서 받을 수 있는가</w:t>
      </w:r>
    </w:p>
    <w:p>
      <w:pPr>
        <w:spacing w:after="40"/>
        <w:ind w:left="113"/>
      </w:pPr>
      <w:r>
        <w:rPr>
          <w:b/>
        </w:rPr>
        <w:t xml:space="preserve">• </w:t>
      </w:r>
      <w:r>
        <w:t>확보 가능한 데이터를 도시권·공항쌍·개별 노선 중 어떤 단위로 다룰 수 있는가</w:t>
      </w:r>
    </w:p>
    <w:p>
      <w:pPr>
        <w:pStyle w:val="Heading1"/>
        <w:spacing w:before="160" w:after="80"/>
      </w:pPr>
      <w:r>
        <w:t>4. 다음 작업으로 넘길 항목</w:t>
      </w:r>
    </w:p>
    <w:p>
      <w:pPr>
        <w:spacing w:after="40"/>
        <w:ind w:left="113"/>
      </w:pPr>
      <w:r>
        <w:rPr>
          <w:b/>
        </w:rPr>
        <w:t xml:space="preserve">• </w:t>
      </w:r>
      <w:r>
        <w:t>IIAC와 KAC를 분리해 관계 데이터 바운더리를 정리한다.</w:t>
      </w:r>
    </w:p>
    <w:p>
      <w:pPr>
        <w:spacing w:after="40"/>
        <w:ind w:left="113"/>
      </w:pPr>
      <w:r>
        <w:rPr>
          <w:b/>
        </w:rPr>
        <w:t xml:space="preserve">• </w:t>
      </w:r>
      <w:r>
        <w:t>가격 API 후보를 실제 호출해 응답 필드, 공항쌍/도시쌍 지원 여부, 과거 히스토리 제공 여부를 확인한다.</w:t>
      </w:r>
    </w:p>
    <w:p>
      <w:pPr>
        <w:spacing w:after="40"/>
        <w:ind w:left="113"/>
      </w:pPr>
      <w:r>
        <w:rPr>
          <w:b/>
        </w:rPr>
        <w:t xml:space="preserve">• </w:t>
      </w:r>
      <w:r>
        <w:t>도시코드와 공항코드를 분리한 한국·일본 공항/도시 마스터 초안을 작성한다.</w:t>
      </w:r>
    </w:p>
    <w:p>
      <w:pPr>
        <w:spacing w:after="40"/>
        <w:ind w:left="113"/>
      </w:pPr>
      <w:r>
        <w:rPr>
          <w:b/>
        </w:rPr>
        <w:t xml:space="preserve">• </w:t>
      </w:r>
      <w:r>
        <w:t>분석 단위 후보 2안을 작성하되, 현 단계에서는 최종 확정하지 않는다.</w:t>
      </w:r>
    </w:p>
    <w:p>
      <w:pPr>
        <w:pStyle w:val="Heading1"/>
        <w:spacing w:before="160" w:after="80"/>
      </w:pPr>
      <w:r>
        <w:t>5. 문서 운용 메모</w:t>
      </w:r>
    </w:p>
    <w:p>
      <w:pPr>
        <w:spacing w:after="80" w:line="293" w:lineRule="auto"/>
      </w:pPr>
      <w:r>
        <w:t>본 문서는 현재 위치와 다음 질문을 고정하는 용도로 사용한다. 세부 근거는 research 문서, 주제 기준선은 baseline 문서, 실제 검증 순서는 checklist 문서를 우선 참조한다.</w:t>
      </w:r>
    </w:p>
    <w:sectPr>
      <w:footerReference w:type="default" r:id="rId9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2344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2344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22344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Malgun Gothic" w:hAnsi="Malgun Gothic" w:eastAsia="Malgun Gothic"/>
      <w:color w:val="5A5A5A"/>
      <w:sz w:val="18"/>
    </w:rPr>
  </w:style>
  <w:style w:type="paragraph" w:customStyle="1" w:styleId="Callout">
    <w:name w:val="Callout"/>
    <w:rPr>
      <w:rFonts w:ascii="Malgun Gothic" w:hAnsi="Malgun Gothic" w:eastAsia="Malgun Gothic"/>
      <w:color w:val="282828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