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color w:val="8A8276"/>
          <w:spacing w:val="60"/>
          <w:sz w:val="22"/>
          <w:szCs w:val="22"/>
        </w:rPr>
        <w:t xml:space="preserve">公式設定資料 ／ ワールドバイブル</w:t>
      </w:r>
    </w:p>
    <w:p>
      <w:pPr>
        <w:pBdr>
          <w:bottom w:val="single" w:color="2F5D50" w:sz="12" w:space="12"/>
        </w:pBdr>
        <w:spacing w:after="0" w:before="240"/>
        <w:jc w:val="center"/>
      </w:pPr>
      <w:r>
        <w:rPr>
          <w:b/>
          <w:bCs/>
          <w:color w:val="1C2B2D"/>
          <w:sz w:val="88"/>
          <w:szCs w:val="88"/>
        </w:rPr>
        <w:t xml:space="preserve">東軽井沢市</w:t>
      </w:r>
    </w:p>
    <w:p>
      <w:pPr>
        <w:spacing w:after="0" w:before="200"/>
        <w:jc w:val="center"/>
      </w:pPr>
      <w:r>
        <w:rPr>
          <w:color w:val="2F5D50"/>
          <w:spacing w:val="40"/>
          <w:sz w:val="26"/>
          <w:szCs w:val="26"/>
        </w:rPr>
        <w:t xml:space="preserve">Higashi-Karuizawa City</w:t>
      </w:r>
    </w:p>
    <w:p>
      <w:pPr>
        <w:spacing w:after="0" w:before="560"/>
        <w:jc w:val="center"/>
      </w:pPr>
      <w:r>
        <w:rPr>
          <w:i/>
          <w:iCs/>
          <w:color w:val="1C2B2D"/>
          <w:sz w:val="30"/>
          <w:szCs w:val="30"/>
        </w:rPr>
        <w:t xml:space="preserve">静けさを、未来へ。</w:t>
      </w:r>
    </w:p>
    <w:p>
      <w:pPr>
        <w:spacing w:after="0" w:before="80"/>
        <w:jc w:val="center"/>
      </w:pPr>
      <w:r>
        <w:rPr>
          <w:i/>
          <w:iCs/>
          <w:color w:val="8A8276"/>
          <w:sz w:val="20"/>
          <w:szCs w:val="20"/>
        </w:rPr>
        <w:t xml:space="preserve">Quiet, by design.</w:t>
      </w:r>
    </w:p>
    <w:p>
      <w:pPr>
        <w:spacing w:after="0" w:before="1200"/>
        <w:jc w:val="center"/>
      </w:pPr>
      <w:r>
        <w:rPr>
          <w:color w:val="5B7C8A"/>
          <w:sz w:val="22"/>
          <w:szCs w:val="22"/>
        </w:rPr>
        <w:t xml:space="preserve">山に抱かれ、素材で世界とつながる山あいの研究都市</w:t>
      </w:r>
    </w:p>
    <w:p>
      <w:pPr>
        <w:spacing w:after="0" w:before="1400"/>
        <w:jc w:val="center"/>
      </w:pPr>
      <w:r>
        <w:rPr>
          <w:color w:val="8A8276"/>
          <w:sz w:val="18"/>
          <w:szCs w:val="18"/>
        </w:rPr>
        <w:t xml:space="preserve">東軽井沢市役所 都市戦略部 都市ブランド室 編</w:t>
      </w:r>
    </w:p>
    <w:p>
      <w:pPr>
        <w:spacing w:after="0" w:before="60"/>
        <w:jc w:val="center"/>
      </w:pPr>
      <w:r>
        <w:rPr>
          <w:color w:val="8A8276"/>
          <w:sz w:val="16"/>
          <w:szCs w:val="16"/>
        </w:rPr>
        <w:t xml:space="preserve">第1版（令和8年度）／ 本書はすべての公式制作物の唯一の基準設定です</w:t>
      </w:r>
    </w:p>
    <w:p>
      <w:r>
        <w:br w:type="page"/>
      </w:r>
    </w:p>
    <w:p>
      <w:pPr>
        <w:pStyle w:val="Heading1"/>
      </w:pPr>
      <w:r>
        <w:t xml:space="preserve">目次</w:t>
      </w:r>
    </w:p>
    <w:sdt>
      <w:sdtPr>
        <w:alias w:val="目次"/>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序 ── この都市について</w:t>
      </w:r>
    </w:p>
    <w:p>
      <w:pPr>
        <w:spacing w:after="160" w:line="320"/>
      </w:pPr>
      <w:r>
        <w:rPr>
          <w:i/>
          <w:iCs/>
          <w:color w:val="2F5D50"/>
          <w:sz w:val="23"/>
          <w:szCs w:val="23"/>
        </w:rPr>
        <w:t xml:space="preserve">「日本の地方都市が、100年かけて理想的に成熟したら、どんな姿になっていたか」── 東軽井沢市は、その問いへのひとつの答えとして描かれた都市です。</w:t>
      </w:r>
    </w:p>
    <w:p>
      <w:pPr>
        <w:spacing w:after="120" w:line="300"/>
      </w:pPr>
      <w:r>
        <w:t xml:space="preserve">東軽井沢市は、内陸の盆地に開けた人口約5万5千人のコンパクトな地方都市である。三方を山に囲まれ、四季の移ろいがはっきりと街並みに映り込む。古くは街道の宿場町として栄え、近代には製糸・精密加工を経て、現在では素材・化学・電子材料の分野で確かな技術を持つ企業が集まる、小さくとも世界とつながる研究開発の街へと姿を変えた。市民のおよそ3人に1人が高齢者という成熟した人口構成のなかで、保育と介護の新しい仕組みづくりに挑む点に、この街の今日的な意義がある。</w:t>
      </w:r>
    </w:p>
    <w:p>
      <w:pPr>
        <w:spacing w:after="120" w:line="300"/>
      </w:pPr>
      <w:r>
        <w:t xml:space="preserve">一方でこの街は、工業都市にありがちな煤けた印象を持たない。石と木とガラスで構成された落ち着いた街並み、豊かな並木道と公園、歩く速度に合わせて設計された通り。北欧の都市計画思想と、山あいの里の静けさ、そして日本の宿場町が育んだ細やかな生活文化が、ひとつの景観のなかに同居している。</w:t>
      </w:r>
    </w:p>
    <w:p>
      <w:pPr>
        <w:spacing w:after="120" w:line="300"/>
      </w:pPr>
      <w:r>
        <w:t xml:space="preserve">本書は、東軽井沢市を題材とするすべての制作物 ── 市役所サイト、企業サイト、学校・病院、ニュース、広報誌、イベント ── が参照する唯一の公式設定（ワールドバイブル）である。数値・固有名・歴史・組織は本書をもって正とし、矛盾が生じた場合は本書を優先する。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F5D50" w:sz="18"/>
              <w:bottom w:val="none"/>
              <w:right w:val="none"/>
            </w:tcBorders>
            <w:shd w:fill="E9EFEC" w:val="clear"/>
            <w:tcMar>
              <w:top w:type="dxa" w:w="120"/>
              <w:left w:type="dxa" w:w="200"/>
              <w:bottom w:type="dxa" w:w="120"/>
              <w:right w:type="dxa" w:w="160"/>
            </w:tcMar>
          </w:tcPr>
          <w:p>
            <w:pPr>
              <w:spacing w:after="80" w:line="290"/>
            </w:pPr>
            <w:r>
              <w:rPr>
                <w:b/>
                <w:bCs/>
                <w:color w:val="2F5D50"/>
                <w:sz w:val="22"/>
                <w:szCs w:val="22"/>
              </w:rPr>
              <w:t xml:space="preserve">本書の使い方</w:t>
            </w:r>
          </w:p>
          <w:p>
            <w:pPr>
              <w:spacing w:after="80" w:line="290"/>
            </w:pPr>
            <w:r>
              <w:t xml:space="preserve">・登場する企業・学校・人物・地名はすべて架空であり、実在の自治体・企業・人物とは関係しない。</w:t>
            </w:r>
          </w:p>
          <w:p>
            <w:pPr>
              <w:spacing w:after="80" w:line="290"/>
            </w:pPr>
            <w:r>
              <w:t xml:space="preserve">・都道府県名・実在自治体名・実在企業名は本設定に登場させない。</w:t>
            </w:r>
          </w:p>
          <w:p>
            <w:pPr>
              <w:spacing w:after="0" w:line="290"/>
            </w:pPr>
            <w:r>
              <w:t xml:space="preserve">・「2026年現在、実在していても違和感がない」リアリティを基準とする。SF的要素は採用しない。</w:t>
            </w:r>
          </w:p>
        </w:tc>
      </w:tr>
    </w:tbl>
    <w:p>
      <w:r>
        <w:br w:type="page"/>
      </w:r>
    </w:p>
    <w:p>
      <w:pPr>
        <w:pStyle w:val="Heading1"/>
      </w:pPr>
      <w:r>
        <w:t xml:space="preserve">1. 都市概要</w:t>
      </w:r>
    </w:p>
    <w:p>
      <w:pPr>
        <w:spacing w:after="160" w:line="320"/>
      </w:pPr>
      <w:r>
        <w:rPr>
          <w:i/>
          <w:iCs/>
          <w:color w:val="2F5D50"/>
          <w:sz w:val="23"/>
          <w:szCs w:val="23"/>
        </w:rPr>
        <w:t xml:space="preserve">山あいの盆地に、世界水準の頭脳と、歩いて暮らせる静けさが同居する街。</w:t>
      </w:r>
    </w:p>
    <w:p>
      <w:pPr>
        <w:pStyle w:val="Heading2"/>
      </w:pPr>
      <w:r>
        <w:t xml:space="preserve">1.1 基本データ</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9D4CC" w:sz="1"/>
              <w:left w:val="single" w:color="D9D4CC" w:sz="1"/>
              <w:bottom w:val="single" w:color="D9D4CC" w:sz="1"/>
              <w:right w:val="single" w:color="D9D4CC" w:sz="1"/>
            </w:tcBorders>
            <w:shd w:fill="2F5D50" w:val="clear"/>
            <w:tcMar>
              <w:top w:type="dxa" w:w="70"/>
              <w:left w:type="dxa" w:w="110"/>
              <w:bottom w:type="dxa" w:w="70"/>
              <w:right w:type="dxa" w:w="110"/>
            </w:tcMar>
            <w:vAlign w:val="center"/>
          </w:tcPr>
          <w:p>
            <w:pPr>
              <w:spacing w:after="0"/>
            </w:pPr>
            <w:r>
              <w:rPr>
                <w:b/>
                <w:bCs/>
                <w:color w:val="FFFFFF"/>
                <w:sz w:val="20"/>
                <w:szCs w:val="20"/>
              </w:rPr>
              <w:t xml:space="preserve">項目</w:t>
            </w:r>
          </w:p>
        </w:tc>
        <w:tc>
          <w:tcPr>
            <w:tcW w:type="dxa" w:w="6760"/>
            <w:tcBorders>
              <w:top w:val="single" w:color="D9D4CC" w:sz="1"/>
              <w:left w:val="single" w:color="D9D4CC" w:sz="1"/>
              <w:bottom w:val="single" w:color="D9D4CC" w:sz="1"/>
              <w:right w:val="single" w:color="D9D4CC" w:sz="1"/>
            </w:tcBorders>
            <w:shd w:fill="2F5D50" w:val="clear"/>
            <w:tcMar>
              <w:top w:type="dxa" w:w="70"/>
              <w:left w:type="dxa" w:w="110"/>
              <w:bottom w:type="dxa" w:w="70"/>
              <w:right w:type="dxa" w:w="110"/>
            </w:tcMar>
            <w:vAlign w:val="center"/>
          </w:tcPr>
          <w:p>
            <w:pPr>
              <w:spacing w:after="0"/>
            </w:pPr>
            <w:r>
              <w:rPr>
                <w:b/>
                <w:bCs/>
                <w:color w:val="FFFFFF"/>
                <w:sz w:val="20"/>
                <w:szCs w:val="20"/>
              </w:rPr>
              <w:t xml:space="preserve">内容</w:t>
            </w:r>
          </w:p>
        </w:tc>
      </w:tr>
      <w:tr>
        <w:tc>
          <w:tcPr>
            <w:tcW w:type="dxa" w:w="26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正式名称</w:t>
            </w:r>
          </w:p>
        </w:tc>
        <w:tc>
          <w:tcPr>
            <w:tcW w:type="dxa" w:w="67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東軽井沢市（ひがしかるいざわし）／ Higashi-Karuizawa City</w:t>
            </w:r>
          </w:p>
        </w:tc>
      </w:tr>
      <w:tr>
        <w:tc>
          <w:tcPr>
            <w:tcW w:type="dxa" w:w="26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市制施行</w:t>
            </w:r>
          </w:p>
        </w:tc>
        <w:tc>
          <w:tcPr>
            <w:tcW w:type="dxa" w:w="67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1949年（昭和24年）4月1日</w:t>
            </w:r>
          </w:p>
        </w:tc>
      </w:tr>
      <w:tr>
        <w:tc>
          <w:tcPr>
            <w:tcW w:type="dxa" w:w="26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人口</w:t>
            </w:r>
          </w:p>
        </w:tc>
        <w:tc>
          <w:tcPr>
            <w:tcW w:type="dxa" w:w="67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54,800 人（令和8年推計）</w:t>
            </w:r>
          </w:p>
        </w:tc>
      </w:tr>
      <w:tr>
        <w:tc>
          <w:tcPr>
            <w:tcW w:type="dxa" w:w="26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世帯数</w:t>
            </w:r>
          </w:p>
        </w:tc>
        <w:tc>
          <w:tcPr>
            <w:tcW w:type="dxa" w:w="67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26,325 世帯（1世帯あたり約 2.08 人）</w:t>
            </w:r>
          </w:p>
        </w:tc>
      </w:tr>
      <w:tr>
        <w:tc>
          <w:tcPr>
            <w:tcW w:type="dxa" w:w="26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面積</w:t>
            </w:r>
          </w:p>
        </w:tc>
        <w:tc>
          <w:tcPr>
            <w:tcW w:type="dxa" w:w="67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約 132.4 km²（うち市街化区域 約 18 km²）</w:t>
            </w:r>
          </w:p>
        </w:tc>
      </w:tr>
      <w:tr>
        <w:tc>
          <w:tcPr>
            <w:tcW w:type="dxa" w:w="26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人口密度</w:t>
            </w:r>
          </w:p>
        </w:tc>
        <w:tc>
          <w:tcPr>
            <w:tcW w:type="dxa" w:w="67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約 414 人／km²</w:t>
            </w:r>
          </w:p>
        </w:tc>
      </w:tr>
      <w:tr>
        <w:tc>
          <w:tcPr>
            <w:tcW w:type="dxa" w:w="26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高齢化率</w:t>
            </w:r>
          </w:p>
        </w:tc>
        <w:tc>
          <w:tcPr>
            <w:tcW w:type="dxa" w:w="67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38.0%（65歳以上）。市民のおよそ3人に1人が高齢者</w:t>
            </w:r>
          </w:p>
        </w:tc>
      </w:tr>
      <w:tr>
        <w:tc>
          <w:tcPr>
            <w:tcW w:type="dxa" w:w="26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位置・地形</w:t>
            </w:r>
          </w:p>
        </w:tc>
        <w:tc>
          <w:tcPr>
            <w:tcW w:type="dxa" w:w="67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本州内陸部の盆地。標高 540〜780 m。三方を 1,400〜2,100 m 級の山々が囲む</w:t>
            </w:r>
          </w:p>
        </w:tc>
      </w:tr>
      <w:tr>
        <w:tc>
          <w:tcPr>
            <w:tcW w:type="dxa" w:w="26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気候</w:t>
            </w:r>
          </w:p>
        </w:tc>
        <w:tc>
          <w:tcPr>
            <w:tcW w:type="dxa" w:w="67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内陸性気候。寒暖差が大きく四季が明瞭。年平均気温 約11.8℃／年降水量 約1,250mm／夏は冷涼、冬は晴天が多く乾燥</w:t>
            </w:r>
          </w:p>
        </w:tc>
      </w:tr>
      <w:tr>
        <w:tc>
          <w:tcPr>
            <w:tcW w:type="dxa" w:w="26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平均通勤時間</w:t>
            </w:r>
          </w:p>
        </w:tc>
        <w:tc>
          <w:tcPr>
            <w:tcW w:type="dxa" w:w="67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約 22 分（自家用車と市独自の配車サービスが中心）</w:t>
            </w:r>
          </w:p>
        </w:tc>
      </w:tr>
      <w:tr>
        <w:tc>
          <w:tcPr>
            <w:tcW w:type="dxa" w:w="26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キャッチコピー</w:t>
            </w:r>
          </w:p>
        </w:tc>
        <w:tc>
          <w:tcPr>
            <w:tcW w:type="dxa" w:w="67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静けさを、未来へ。（Quiet, by design.）</w:t>
            </w:r>
          </w:p>
        </w:tc>
      </w:tr>
      <w:tr>
        <w:tc>
          <w:tcPr>
            <w:tcW w:type="dxa" w:w="26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市の木</w:t>
            </w:r>
          </w:p>
        </w:tc>
        <w:tc>
          <w:tcPr>
            <w:tcW w:type="dxa" w:w="67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クワ（桑）</w:t>
            </w:r>
          </w:p>
        </w:tc>
      </w:tr>
      <w:tr>
        <w:tc>
          <w:tcPr>
            <w:tcW w:type="dxa" w:w="26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市の花</w:t>
            </w:r>
          </w:p>
        </w:tc>
        <w:tc>
          <w:tcPr>
            <w:tcW w:type="dxa" w:w="67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フジ（藤）</w:t>
            </w:r>
          </w:p>
        </w:tc>
      </w:tr>
      <w:tr>
        <w:tc>
          <w:tcPr>
            <w:tcW w:type="dxa" w:w="26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市の鳥</w:t>
            </w:r>
          </w:p>
        </w:tc>
        <w:tc>
          <w:tcPr>
            <w:tcW w:type="dxa" w:w="67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キジ（雉）</w:t>
            </w:r>
          </w:p>
        </w:tc>
      </w:tr>
      <w:tr>
        <w:tc>
          <w:tcPr>
            <w:tcW w:type="dxa" w:w="26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市民幸福度</w:t>
            </w:r>
          </w:p>
        </w:tc>
        <w:tc>
          <w:tcPr>
            <w:tcW w:type="dxa" w:w="67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全国住みやすさ調査 5年連続第1位（市独自・架空指標）</w:t>
            </w:r>
          </w:p>
        </w:tc>
      </w:tr>
      <w:tr>
        <w:tc>
          <w:tcPr>
            <w:tcW w:type="dxa" w:w="26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定住率</w:t>
            </w:r>
          </w:p>
        </w:tc>
        <w:tc>
          <w:tcPr>
            <w:tcW w:type="dxa" w:w="67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10年定住率 91.2%（人口規模は小さいが、住み続ける人の割合は全国でも高水準）</w:t>
            </w:r>
          </w:p>
        </w:tc>
      </w:tr>
    </w:tbl>
    <w:p>
      <w:pPr>
        <w:pStyle w:val="Heading2"/>
      </w:pPr>
      <w:r>
        <w:t xml:space="preserve">1.2 市名の由来</w:t>
      </w:r>
    </w:p>
    <w:p>
      <w:pPr>
        <w:spacing w:after="120" w:line="300"/>
      </w:pPr>
      <w:r>
        <w:t xml:space="preserve">「軽井沢」は本来この一帯の山あいを指す古い地名で、「冷涼な沢沿いの土地」を意味するとされる。江戸期、街道筋に開かれた宿場が盆地の東口にあたることから「東軽井沢宿」と呼ばれ、これが市名の直接の由来となった。市民は親しみを込めて「東軽（とうかる）」と略す。</w:t>
      </w:r>
    </w:p>
    <w:p>
      <w:pPr>
        <w:pStyle w:val="Heading2"/>
      </w:pPr>
      <w:r>
        <w:t xml:space="preserve">1.3 市章・シンボル</w:t>
      </w:r>
    </w:p>
    <w:p>
      <w:pPr>
        <w:spacing w:after="120" w:line="300"/>
      </w:pPr>
      <w:r>
        <w:t xml:space="preserve">市章は、三つの山稜を抽象化した三本の弧と、その中央を貫く一本の縦線で構成される。三本の弧は市を囲む三方の山系（北の白嶺〔しろね〕山系、東の見晴〔みはらし〕丘陵、南の千石〔せんごく〕連峰）を、縦線は古来この地を貫いた街道と、現在の新幹線という「人と知の通り道」を表す。色は市のテーマカラーである森林の深緑（フォレストグリーン）を基調と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D9D4CC" w:sz="1"/>
              <w:left w:val="single" w:color="D9D4CC" w:sz="1"/>
              <w:bottom w:val="single" w:color="D9D4CC" w:sz="1"/>
              <w:right w:val="single" w:color="D9D4CC" w:sz="1"/>
            </w:tcBorders>
            <w:shd w:fill="2F5D50" w:val="clear"/>
            <w:tcMar>
              <w:top w:type="dxa" w:w="70"/>
              <w:left w:type="dxa" w:w="110"/>
              <w:bottom w:type="dxa" w:w="70"/>
              <w:right w:type="dxa" w:w="110"/>
            </w:tcMar>
            <w:vAlign w:val="center"/>
          </w:tcPr>
          <w:p>
            <w:pPr>
              <w:spacing w:after="0"/>
            </w:pPr>
            <w:r>
              <w:rPr>
                <w:b/>
                <w:bCs/>
                <w:color w:val="FFFFFF"/>
                <w:sz w:val="20"/>
                <w:szCs w:val="20"/>
              </w:rPr>
              <w:t xml:space="preserve">シンボル</w:t>
            </w:r>
          </w:p>
        </w:tc>
        <w:tc>
          <w:tcPr>
            <w:tcW w:type="dxa" w:w="2200"/>
            <w:tcBorders>
              <w:top w:val="single" w:color="D9D4CC" w:sz="1"/>
              <w:left w:val="single" w:color="D9D4CC" w:sz="1"/>
              <w:bottom w:val="single" w:color="D9D4CC" w:sz="1"/>
              <w:right w:val="single" w:color="D9D4CC" w:sz="1"/>
            </w:tcBorders>
            <w:shd w:fill="2F5D50" w:val="clear"/>
            <w:tcMar>
              <w:top w:type="dxa" w:w="70"/>
              <w:left w:type="dxa" w:w="110"/>
              <w:bottom w:type="dxa" w:w="70"/>
              <w:right w:type="dxa" w:w="110"/>
            </w:tcMar>
            <w:vAlign w:val="center"/>
          </w:tcPr>
          <w:p>
            <w:pPr>
              <w:spacing w:after="0"/>
            </w:pPr>
            <w:r>
              <w:rPr>
                <w:b/>
                <w:bCs/>
                <w:color w:val="FFFFFF"/>
                <w:sz w:val="20"/>
                <w:szCs w:val="20"/>
              </w:rPr>
              <w:t xml:space="preserve">対象</w:t>
            </w:r>
          </w:p>
        </w:tc>
        <w:tc>
          <w:tcPr>
            <w:tcW w:type="dxa" w:w="4960"/>
            <w:tcBorders>
              <w:top w:val="single" w:color="D9D4CC" w:sz="1"/>
              <w:left w:val="single" w:color="D9D4CC" w:sz="1"/>
              <w:bottom w:val="single" w:color="D9D4CC" w:sz="1"/>
              <w:right w:val="single" w:color="D9D4CC" w:sz="1"/>
            </w:tcBorders>
            <w:shd w:fill="2F5D50" w:val="clear"/>
            <w:tcMar>
              <w:top w:type="dxa" w:w="70"/>
              <w:left w:type="dxa" w:w="110"/>
              <w:bottom w:type="dxa" w:w="70"/>
              <w:right w:type="dxa" w:w="110"/>
            </w:tcMar>
            <w:vAlign w:val="center"/>
          </w:tcPr>
          <w:p>
            <w:pPr>
              <w:spacing w:after="0"/>
            </w:pPr>
            <w:r>
              <w:rPr>
                <w:b/>
                <w:bCs/>
                <w:color w:val="FFFFFF"/>
                <w:sz w:val="20"/>
                <w:szCs w:val="20"/>
              </w:rPr>
              <w:t xml:space="preserve">選定理由</w:t>
            </w:r>
          </w:p>
        </w:tc>
      </w:tr>
      <w:tr>
        <w:tc>
          <w:tcPr>
            <w:tcW w:type="dxa" w:w="22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市の木</w:t>
            </w:r>
          </w:p>
        </w:tc>
        <w:tc>
          <w:tcPr>
            <w:tcW w:type="dxa" w:w="22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クワ（桑）</w:t>
            </w:r>
          </w:p>
        </w:tc>
        <w:tc>
          <w:tcPr>
            <w:tcW w:type="dxa" w:w="49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製糸で栄えた歴史の象徴。かつて市域に広がった桑畑にちなみ、「ものづくりの根」を表す</w:t>
            </w:r>
          </w:p>
        </w:tc>
      </w:tr>
      <w:tr>
        <w:tc>
          <w:tcPr>
            <w:tcW w:type="dxa" w:w="22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市の花</w:t>
            </w:r>
          </w:p>
        </w:tc>
        <w:tc>
          <w:tcPr>
            <w:tcW w:type="dxa" w:w="22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フジ（藤）</w:t>
            </w:r>
          </w:p>
        </w:tc>
        <w:tc>
          <w:tcPr>
            <w:tcW w:type="dxa" w:w="49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宿場の社寺に古木が残る花。長く垂れる花房が、世代を超えて受け継がれる暮らしを表す</w:t>
            </w:r>
          </w:p>
        </w:tc>
      </w:tr>
      <w:tr>
        <w:tc>
          <w:tcPr>
            <w:tcW w:type="dxa" w:w="22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市の鳥</w:t>
            </w:r>
          </w:p>
        </w:tc>
        <w:tc>
          <w:tcPr>
            <w:tcW w:type="dxa" w:w="22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キジ（雉）</w:t>
            </w:r>
          </w:p>
        </w:tc>
        <w:tc>
          <w:tcPr>
            <w:tcW w:type="dxa" w:w="49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市内の里山・農地に通年生息。日本の里の象徴であり、市民の堅実な気質を表すとされる</w:t>
            </w:r>
          </w:p>
        </w:tc>
      </w:tr>
      <w:tr>
        <w:tc>
          <w:tcPr>
            <w:tcW w:type="dxa" w:w="22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テーマカラー</w:t>
            </w:r>
          </w:p>
        </w:tc>
        <w:tc>
          <w:tcPr>
            <w:tcW w:type="dxa" w:w="22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フォレストグリーン／ストーングレー</w:t>
            </w:r>
          </w:p>
        </w:tc>
        <w:tc>
          <w:tcPr>
            <w:tcW w:type="dxa" w:w="49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自然と工業（素材）の共存を表す二色</w:t>
            </w:r>
          </w:p>
        </w:tc>
      </w:tr>
    </w:tbl>
    <w:p>
      <w:pPr>
        <w:pStyle w:val="Heading2"/>
      </w:pPr>
      <w:r>
        <w:t xml:space="preserve">1.4 人口推移</w:t>
      </w:r>
    </w:p>
    <w:p>
      <w:pPr>
        <w:spacing w:after="120" w:line="300"/>
      </w:pPr>
      <w:r>
        <w:t xml:space="preserve">明治期の製糸業で一時の活況を見せたあと、戦後の製糸不況で人口を大きく減らした。1970年代以降の素材・化学産業の集積でいったん持ち直したものの、全国の地方都市と同様に少子高齢化の波を受け、近年はゆるやかな減少と高齢化が進んでいる。市はこの現実を受け止め、人口規模を競うのではなく、3人に1人が高齢者という構成のなかで「保育と介護のモデル都市」として暮らしの質を高める道を選んだ。手厚い子育て支援により若い世帯の流出には歯止めがかかりつつあ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5460"/>
      </w:tblGrid>
      <w:tr>
        <w:trPr>
          <w:tblHeader/>
        </w:trPr>
        <w:tc>
          <w:tcPr>
            <w:tcW w:type="dxa" w:w="1700"/>
            <w:tcBorders>
              <w:top w:val="single" w:color="D9D4CC" w:sz="1"/>
              <w:left w:val="single" w:color="D9D4CC" w:sz="1"/>
              <w:bottom w:val="single" w:color="D9D4CC" w:sz="1"/>
              <w:right w:val="single" w:color="D9D4CC" w:sz="1"/>
            </w:tcBorders>
            <w:shd w:fill="2F5D50" w:val="clear"/>
            <w:tcMar>
              <w:top w:type="dxa" w:w="70"/>
              <w:left w:type="dxa" w:w="110"/>
              <w:bottom w:type="dxa" w:w="70"/>
              <w:right w:type="dxa" w:w="110"/>
            </w:tcMar>
            <w:vAlign w:val="center"/>
          </w:tcPr>
          <w:p>
            <w:pPr>
              <w:spacing w:after="0"/>
            </w:pPr>
            <w:r>
              <w:rPr>
                <w:b/>
                <w:bCs/>
                <w:color w:val="FFFFFF"/>
                <w:sz w:val="20"/>
                <w:szCs w:val="20"/>
              </w:rPr>
              <w:t xml:space="preserve">年</w:t>
            </w:r>
          </w:p>
        </w:tc>
        <w:tc>
          <w:tcPr>
            <w:tcW w:type="dxa" w:w="2200"/>
            <w:tcBorders>
              <w:top w:val="single" w:color="D9D4CC" w:sz="1"/>
              <w:left w:val="single" w:color="D9D4CC" w:sz="1"/>
              <w:bottom w:val="single" w:color="D9D4CC" w:sz="1"/>
              <w:right w:val="single" w:color="D9D4CC" w:sz="1"/>
            </w:tcBorders>
            <w:shd w:fill="2F5D50" w:val="clear"/>
            <w:tcMar>
              <w:top w:type="dxa" w:w="70"/>
              <w:left w:type="dxa" w:w="110"/>
              <w:bottom w:type="dxa" w:w="70"/>
              <w:right w:type="dxa" w:w="110"/>
            </w:tcMar>
            <w:vAlign w:val="center"/>
          </w:tcPr>
          <w:p>
            <w:pPr>
              <w:spacing w:after="0"/>
            </w:pPr>
            <w:r>
              <w:rPr>
                <w:b/>
                <w:bCs/>
                <w:color w:val="FFFFFF"/>
                <w:sz w:val="20"/>
                <w:szCs w:val="20"/>
              </w:rPr>
              <w:t xml:space="preserve">人口</w:t>
            </w:r>
          </w:p>
        </w:tc>
        <w:tc>
          <w:tcPr>
            <w:tcW w:type="dxa" w:w="5460"/>
            <w:tcBorders>
              <w:top w:val="single" w:color="D9D4CC" w:sz="1"/>
              <w:left w:val="single" w:color="D9D4CC" w:sz="1"/>
              <w:bottom w:val="single" w:color="D9D4CC" w:sz="1"/>
              <w:right w:val="single" w:color="D9D4CC" w:sz="1"/>
            </w:tcBorders>
            <w:shd w:fill="2F5D50" w:val="clear"/>
            <w:tcMar>
              <w:top w:type="dxa" w:w="70"/>
              <w:left w:type="dxa" w:w="110"/>
              <w:bottom w:type="dxa" w:w="70"/>
              <w:right w:type="dxa" w:w="110"/>
            </w:tcMar>
            <w:vAlign w:val="center"/>
          </w:tcPr>
          <w:p>
            <w:pPr>
              <w:spacing w:after="0"/>
            </w:pPr>
            <w:r>
              <w:rPr>
                <w:b/>
                <w:bCs/>
                <w:color w:val="FFFFFF"/>
                <w:sz w:val="20"/>
                <w:szCs w:val="20"/>
              </w:rPr>
              <w:t xml:space="preserve">特記事項</w:t>
            </w:r>
          </w:p>
        </w:tc>
      </w:tr>
      <w:tr>
        <w:tc>
          <w:tcPr>
            <w:tcW w:type="dxa" w:w="17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1950年</w:t>
            </w:r>
          </w:p>
        </w:tc>
        <w:tc>
          <w:tcPr>
            <w:tcW w:type="dxa" w:w="22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約 62,000 人</w:t>
            </w:r>
          </w:p>
        </w:tc>
        <w:tc>
          <w:tcPr>
            <w:tcW w:type="dxa" w:w="54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市制施行直後。製糸・林業が基幹</w:t>
            </w:r>
          </w:p>
        </w:tc>
      </w:tr>
      <w:tr>
        <w:tc>
          <w:tcPr>
            <w:tcW w:type="dxa" w:w="17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1975年</w:t>
            </w:r>
          </w:p>
        </w:tc>
        <w:tc>
          <w:tcPr>
            <w:tcW w:type="dxa" w:w="22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約 71,000 人</w:t>
            </w:r>
          </w:p>
        </w:tc>
        <w:tc>
          <w:tcPr>
            <w:tcW w:type="dxa" w:w="54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高速IC開通・工業団地造成。素材産業の集積が始まる</w:t>
            </w:r>
          </w:p>
        </w:tc>
      </w:tr>
      <w:tr>
        <w:tc>
          <w:tcPr>
            <w:tcW w:type="dxa" w:w="17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1995年</w:t>
            </w:r>
          </w:p>
        </w:tc>
        <w:tc>
          <w:tcPr>
            <w:tcW w:type="dxa" w:w="22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約 68,000 人</w:t>
            </w:r>
          </w:p>
        </w:tc>
        <w:tc>
          <w:tcPr>
            <w:tcW w:type="dxa" w:w="54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産業は成熟する一方、少子化が進行</w:t>
            </w:r>
          </w:p>
        </w:tc>
      </w:tr>
      <w:tr>
        <w:tc>
          <w:tcPr>
            <w:tcW w:type="dxa" w:w="17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2010年</w:t>
            </w:r>
          </w:p>
        </w:tc>
        <w:tc>
          <w:tcPr>
            <w:tcW w:type="dxa" w:w="22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約 61,000 人</w:t>
            </w:r>
          </w:p>
        </w:tc>
        <w:tc>
          <w:tcPr>
            <w:tcW w:type="dxa" w:w="54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新幹線駅開業（2008年）も人口減は続く。高齢化が顕在化</w:t>
            </w:r>
          </w:p>
        </w:tc>
      </w:tr>
      <w:tr>
        <w:tc>
          <w:tcPr>
            <w:tcW w:type="dxa" w:w="17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2026年</w:t>
            </w:r>
          </w:p>
        </w:tc>
        <w:tc>
          <w:tcPr>
            <w:tcW w:type="dxa" w:w="22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54,800 人</w:t>
            </w:r>
          </w:p>
        </w:tc>
        <w:tc>
          <w:tcPr>
            <w:tcW w:type="dxa" w:w="54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高齢化率 38.0%。子育て支援で若い世帯の流出に歯止め</w:t>
            </w:r>
          </w:p>
        </w:tc>
      </w:tr>
      <w:tr>
        <w:tc>
          <w:tcPr>
            <w:tcW w:type="dxa" w:w="17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2045年（推計）</w:t>
            </w:r>
          </w:p>
        </w:tc>
        <w:tc>
          <w:tcPr>
            <w:tcW w:type="dxa" w:w="22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約 50,000 人</w:t>
            </w:r>
          </w:p>
        </w:tc>
        <w:tc>
          <w:tcPr>
            <w:tcW w:type="dxa" w:w="54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緩やかな減少を見込むが、定住率の高さで下支え</w:t>
            </w:r>
          </w:p>
        </w:tc>
      </w:tr>
    </w:tbl>
    <w:p>
      <w:r>
        <w:br w:type="page"/>
      </w:r>
    </w:p>
    <w:p>
      <w:pPr>
        <w:pStyle w:val="Heading1"/>
      </w:pPr>
      <w:r>
        <w:t xml:space="preserve">2. 歴史</w:t>
      </w:r>
    </w:p>
    <w:p>
      <w:pPr>
        <w:spacing w:after="160" w:line="320"/>
      </w:pPr>
      <w:r>
        <w:rPr>
          <w:i/>
          <w:iCs/>
          <w:color w:val="2F5D50"/>
          <w:sz w:val="23"/>
          <w:szCs w:val="23"/>
        </w:rPr>
        <w:t xml:space="preserve">街道が人を運び、糸が産業を興し、素材が世界とつないだ ── 一本の道から始まる物語。</w:t>
      </w:r>
    </w:p>
    <w:p>
      <w:pPr>
        <w:pStyle w:val="Heading2"/>
      </w:pPr>
      <w:r>
        <w:t xml:space="preserve">2.1 古代〜中世</w:t>
      </w:r>
    </w:p>
    <w:p>
      <w:pPr>
        <w:spacing w:after="120" w:line="300"/>
      </w:pPr>
      <w:r>
        <w:t xml:space="preserve">市域からは縄文中期の集落跡（千石遺跡）が出土しており、黒曜石の交易拠点であったことが分かっている。山に囲まれながらも、複数の谷が交わる「結節点」であったこの地は、古くから人と物が行き交う土地だった。中世には山あいの荘園として開かれ、山岳信仰の拠点である白嶺権現が地域の中心となった。</w:t>
      </w:r>
    </w:p>
    <w:p>
      <w:pPr>
        <w:pStyle w:val="Heading2"/>
      </w:pPr>
      <w:r>
        <w:t xml:space="preserve">2.2 近世 ── 宿場町・東軽井沢宿</w:t>
      </w:r>
    </w:p>
    <w:p>
      <w:pPr>
        <w:spacing w:after="120" w:line="300"/>
      </w:pPr>
      <w:r>
        <w:t xml:space="preserve">江戸期、街道の整備に伴い盆地の東口に宿場が置かれ「東軽井沢宿」と呼ばれた。冷涼な気候と豊かな湧水を持つこの宿は、峠越えを控えた旅人の休息地として賑わい、本陣・脇本陣・旅籠が軒を連ねた。現在も旧街道沿いの「宿場通り」には、当時の町割りと格子戸の町家が保存され、市の景観の核となってい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F5D50" w:sz="18"/>
              <w:bottom w:val="none"/>
              <w:right w:val="none"/>
            </w:tcBorders>
            <w:shd w:fill="E9EFEC" w:val="clear"/>
            <w:tcMar>
              <w:top w:type="dxa" w:w="120"/>
              <w:left w:type="dxa" w:w="200"/>
              <w:bottom w:type="dxa" w:w="120"/>
              <w:right w:type="dxa" w:w="160"/>
            </w:tcMar>
          </w:tcPr>
          <w:p>
            <w:pPr>
              <w:spacing w:after="80" w:line="290"/>
            </w:pPr>
            <w:r>
              <w:rPr>
                <w:b/>
                <w:bCs/>
                <w:color w:val="2F5D50"/>
                <w:sz w:val="21"/>
                <w:szCs w:val="21"/>
              </w:rPr>
              <w:t xml:space="preserve">いまも残る宿場の記憶</w:t>
            </w:r>
          </w:p>
          <w:p>
            <w:pPr>
              <w:spacing w:after="0" w:line="290"/>
            </w:pPr>
            <w:r>
              <w:t xml:space="preserve">旧本陣を改装した「宿場資料館」、湧水を引いた共同井戸「七つ井戸」、旅人が旅の無事を祈った石の道標群などが現存。毎年秋の「宿場あかり祭」では、通り一帯が和ろうそくの灯りで照らされる。</w:t>
            </w:r>
          </w:p>
        </w:tc>
      </w:tr>
    </w:tbl>
    <w:p>
      <w:pPr>
        <w:pStyle w:val="Heading2"/>
      </w:pPr>
      <w:r>
        <w:t xml:space="preserve">2.3 近代 ── 製糸と精密加工の時代</w:t>
      </w:r>
    </w:p>
    <w:p>
      <w:pPr>
        <w:spacing w:after="120" w:line="300"/>
      </w:pPr>
      <w:r>
        <w:t xml:space="preserve">明治期、冷涼で清浄な空気と豊かな水を活かした製糸業が興り、東軽井沢は内陸有数の生糸産地となった。製糸で蓄積された機械技術と職人層は、やがて時計・計測器・光学部品といった精密加工へと受け継がれていく。この「糸から精密へ」の技術の連続性が、後の素材産業集積の素地となった。</w:t>
      </w:r>
    </w:p>
    <w:p>
      <w:pPr>
        <w:pStyle w:val="Heading2"/>
      </w:pPr>
      <w:r>
        <w:t xml:space="preserve">2.4 現代 ── 素材・化学・電子材料都市へ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D9D4CC" w:sz="1"/>
              <w:left w:val="single" w:color="D9D4CC" w:sz="1"/>
              <w:bottom w:val="single" w:color="D9D4CC" w:sz="1"/>
              <w:right w:val="single" w:color="D9D4CC" w:sz="1"/>
            </w:tcBorders>
            <w:shd w:fill="2F5D50" w:val="clear"/>
            <w:tcMar>
              <w:top w:type="dxa" w:w="70"/>
              <w:left w:type="dxa" w:w="110"/>
              <w:bottom w:type="dxa" w:w="70"/>
              <w:right w:type="dxa" w:w="110"/>
            </w:tcMar>
            <w:vAlign w:val="center"/>
          </w:tcPr>
          <w:p>
            <w:pPr>
              <w:spacing w:after="0"/>
            </w:pPr>
            <w:r>
              <w:rPr>
                <w:b/>
                <w:bCs/>
                <w:color w:val="FFFFFF"/>
                <w:sz w:val="20"/>
                <w:szCs w:val="20"/>
              </w:rPr>
              <w:t xml:space="preserve">年代</w:t>
            </w:r>
          </w:p>
        </w:tc>
        <w:tc>
          <w:tcPr>
            <w:tcW w:type="dxa" w:w="7860"/>
            <w:tcBorders>
              <w:top w:val="single" w:color="D9D4CC" w:sz="1"/>
              <w:left w:val="single" w:color="D9D4CC" w:sz="1"/>
              <w:bottom w:val="single" w:color="D9D4CC" w:sz="1"/>
              <w:right w:val="single" w:color="D9D4CC" w:sz="1"/>
            </w:tcBorders>
            <w:shd w:fill="2F5D50" w:val="clear"/>
            <w:tcMar>
              <w:top w:type="dxa" w:w="70"/>
              <w:left w:type="dxa" w:w="110"/>
              <w:bottom w:type="dxa" w:w="70"/>
              <w:right w:type="dxa" w:w="110"/>
            </w:tcMar>
            <w:vAlign w:val="center"/>
          </w:tcPr>
          <w:p>
            <w:pPr>
              <w:spacing w:after="0"/>
            </w:pPr>
            <w:r>
              <w:rPr>
                <w:b/>
                <w:bCs/>
                <w:color w:val="FFFFFF"/>
                <w:sz w:val="20"/>
                <w:szCs w:val="20"/>
              </w:rPr>
              <w:t xml:space="preserve">できごと</w:t>
            </w:r>
          </w:p>
        </w:tc>
      </w:tr>
      <w:tr>
        <w:tc>
          <w:tcPr>
            <w:tcW w:type="dxa" w:w="15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1949年</w:t>
            </w:r>
          </w:p>
        </w:tc>
        <w:tc>
          <w:tcPr>
            <w:tcW w:type="dxa" w:w="78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市制施行。東軽井沢市が誕生</w:t>
            </w:r>
          </w:p>
        </w:tc>
      </w:tr>
      <w:tr>
        <w:tc>
          <w:tcPr>
            <w:tcW w:type="dxa" w:w="15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1961年</w:t>
            </w:r>
          </w:p>
        </w:tc>
        <w:tc>
          <w:tcPr>
            <w:tcW w:type="dxa" w:w="78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精密加工の集積を背景に、特殊ガラス・化学素材の研究所が相次いで進出</w:t>
            </w:r>
          </w:p>
        </w:tc>
      </w:tr>
      <w:tr>
        <w:tc>
          <w:tcPr>
            <w:tcW w:type="dxa" w:w="15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1968年</w:t>
            </w:r>
          </w:p>
        </w:tc>
        <w:tc>
          <w:tcPr>
            <w:tcW w:type="dxa" w:w="78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高速道路IC開通。内陸物流の要衝として工業団地（千石テクノパーク）造成開始</w:t>
            </w:r>
          </w:p>
        </w:tc>
      </w:tr>
      <w:tr>
        <w:tc>
          <w:tcPr>
            <w:tcW w:type="dxa" w:w="15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1979年</w:t>
            </w:r>
          </w:p>
        </w:tc>
        <w:tc>
          <w:tcPr>
            <w:tcW w:type="dxa" w:w="78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電子材料・半導体材料分野の企業集積が本格化。「素材の街」と呼ばれ始める</w:t>
            </w:r>
          </w:p>
        </w:tc>
      </w:tr>
      <w:tr>
        <w:tc>
          <w:tcPr>
            <w:tcW w:type="dxa" w:w="15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1994年</w:t>
            </w:r>
          </w:p>
        </w:tc>
        <w:tc>
          <w:tcPr>
            <w:tcW w:type="dxa" w:w="78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東軽井沢先端素材研究機構（HIMS）設立。産学連携の核となる</w:t>
            </w:r>
          </w:p>
        </w:tc>
      </w:tr>
      <w:tr>
        <w:tc>
          <w:tcPr>
            <w:tcW w:type="dxa" w:w="15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2008年</w:t>
            </w:r>
          </w:p>
        </w:tc>
        <w:tc>
          <w:tcPr>
            <w:tcW w:type="dxa" w:w="78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新幹線「東軽井沢駅」開業。首都圏まで約1時間。研究者・企業の転入が加速</w:t>
            </w:r>
          </w:p>
        </w:tc>
      </w:tr>
      <w:tr>
        <w:tc>
          <w:tcPr>
            <w:tcW w:type="dxa" w:w="15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2016年</w:t>
            </w:r>
          </w:p>
        </w:tc>
        <w:tc>
          <w:tcPr>
            <w:tcW w:type="dxa" w:w="78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景観条例を全面改定。石・木・ガラスを基調とした街並みガイドラインを施行</w:t>
            </w:r>
          </w:p>
        </w:tc>
      </w:tr>
      <w:tr>
        <w:tc>
          <w:tcPr>
            <w:tcW w:type="dxa" w:w="15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2021年</w:t>
            </w:r>
          </w:p>
        </w:tc>
        <w:tc>
          <w:tcPr>
            <w:tcW w:type="dxa" w:w="78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市独自の配車サービス「とうかるライド」を導入。車に頼る地形を逆手に取り、誰もが移動できる仕組みへ</w:t>
            </w:r>
          </w:p>
        </w:tc>
      </w:tr>
      <w:tr>
        <w:tc>
          <w:tcPr>
            <w:tcW w:type="dxa" w:w="15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2026年</w:t>
            </w:r>
          </w:p>
        </w:tc>
        <w:tc>
          <w:tcPr>
            <w:tcW w:type="dxa" w:w="78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「東軽井沢2045」長期ビジョン策定。サステナブル研究都市として国内外から注目</w:t>
            </w:r>
          </w:p>
        </w:tc>
      </w:tr>
    </w:tbl>
    <w:p>
      <w:r>
        <w:br w:type="page"/>
      </w:r>
    </w:p>
    <w:p>
      <w:pPr>
        <w:pStyle w:val="Heading1"/>
      </w:pPr>
      <w:r>
        <w:t xml:space="preserve">3. 行政</w:t>
      </w:r>
    </w:p>
    <w:p>
      <w:pPr>
        <w:spacing w:after="160" w:line="320"/>
      </w:pPr>
      <w:r>
        <w:rPr>
          <w:i/>
          <w:iCs/>
          <w:color w:val="2F5D50"/>
          <w:sz w:val="23"/>
          <w:szCs w:val="23"/>
        </w:rPr>
        <w:t xml:space="preserve">派手さより、確かさを。市民が「相談しやすい」と感じる行政を、設計思想に据える。</w:t>
      </w:r>
    </w:p>
    <w:p>
      <w:pPr>
        <w:pStyle w:val="Heading2"/>
      </w:pPr>
      <w:r>
        <w:t xml:space="preserve">3.1 市政の体制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9D4CC" w:sz="1"/>
              <w:left w:val="single" w:color="D9D4CC" w:sz="1"/>
              <w:bottom w:val="single" w:color="D9D4CC" w:sz="1"/>
              <w:right w:val="single" w:color="D9D4CC" w:sz="1"/>
            </w:tcBorders>
            <w:shd w:fill="2F5D50" w:val="clear"/>
            <w:tcMar>
              <w:top w:type="dxa" w:w="70"/>
              <w:left w:type="dxa" w:w="110"/>
              <w:bottom w:type="dxa" w:w="70"/>
              <w:right w:type="dxa" w:w="110"/>
            </w:tcMar>
            <w:vAlign w:val="center"/>
          </w:tcPr>
          <w:p>
            <w:pPr>
              <w:spacing w:after="0"/>
            </w:pPr>
            <w:r>
              <w:rPr>
                <w:b/>
                <w:bCs/>
                <w:color w:val="FFFFFF"/>
                <w:sz w:val="20"/>
                <w:szCs w:val="20"/>
              </w:rPr>
              <w:t xml:space="preserve">項目</w:t>
            </w:r>
          </w:p>
        </w:tc>
        <w:tc>
          <w:tcPr>
            <w:tcW w:type="dxa" w:w="7160"/>
            <w:tcBorders>
              <w:top w:val="single" w:color="D9D4CC" w:sz="1"/>
              <w:left w:val="single" w:color="D9D4CC" w:sz="1"/>
              <w:bottom w:val="single" w:color="D9D4CC" w:sz="1"/>
              <w:right w:val="single" w:color="D9D4CC" w:sz="1"/>
            </w:tcBorders>
            <w:shd w:fill="2F5D50" w:val="clear"/>
            <w:tcMar>
              <w:top w:type="dxa" w:w="70"/>
              <w:left w:type="dxa" w:w="110"/>
              <w:bottom w:type="dxa" w:w="70"/>
              <w:right w:type="dxa" w:w="110"/>
            </w:tcMar>
            <w:vAlign w:val="center"/>
          </w:tcPr>
          <w:p>
            <w:pPr>
              <w:spacing w:after="0"/>
            </w:pPr>
            <w:r>
              <w:rPr>
                <w:b/>
                <w:bCs/>
                <w:color w:val="FFFFFF"/>
                <w:sz w:val="20"/>
                <w:szCs w:val="20"/>
              </w:rPr>
              <w:t xml:space="preserve">内容</w:t>
            </w:r>
          </w:p>
        </w:tc>
      </w:tr>
      <w:tr>
        <w:tc>
          <w:tcPr>
            <w:tcW w:type="dxa" w:w="22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市長</w:t>
            </w:r>
          </w:p>
        </w:tc>
        <w:tc>
          <w:tcPr>
            <w:tcW w:type="dxa" w:w="71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結城 怜（ゆうき れい）／ 第18代市長・2期目。元・都市政策研究者</w:t>
            </w:r>
          </w:p>
        </w:tc>
      </w:tr>
      <w:tr>
        <w:tc>
          <w:tcPr>
            <w:tcW w:type="dxa" w:w="22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副市長</w:t>
            </w:r>
          </w:p>
        </w:tc>
        <w:tc>
          <w:tcPr>
            <w:tcW w:type="dxa" w:w="71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2名（都市経営担当・市民生活担当）</w:t>
            </w:r>
          </w:p>
        </w:tc>
      </w:tr>
      <w:tr>
        <w:tc>
          <w:tcPr>
            <w:tcW w:type="dxa" w:w="22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市議会</w:t>
            </w:r>
          </w:p>
        </w:tc>
        <w:tc>
          <w:tcPr>
            <w:tcW w:type="dxa" w:w="71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定数 18 名／任期4年</w:t>
            </w:r>
          </w:p>
        </w:tc>
      </w:tr>
      <w:tr>
        <w:tc>
          <w:tcPr>
            <w:tcW w:type="dxa" w:w="22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職員数</w:t>
            </w:r>
          </w:p>
        </w:tc>
        <w:tc>
          <w:tcPr>
            <w:tcW w:type="dxa" w:w="71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約 520 名</w:t>
            </w:r>
          </w:p>
        </w:tc>
      </w:tr>
      <w:tr>
        <w:tc>
          <w:tcPr>
            <w:tcW w:type="dxa" w:w="22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当初予算規模</w:t>
            </w:r>
          </w:p>
        </w:tc>
        <w:tc>
          <w:tcPr>
            <w:tcW w:type="dxa" w:w="71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約 320 億円（一般会計・令和8年度）</w:t>
            </w:r>
          </w:p>
        </w:tc>
      </w:tr>
      <w:tr>
        <w:tc>
          <w:tcPr>
            <w:tcW w:type="dxa" w:w="22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市の標語</w:t>
            </w:r>
          </w:p>
        </w:tc>
        <w:tc>
          <w:tcPr>
            <w:tcW w:type="dxa" w:w="71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「静けさを、未来へ。」を行政理念にも援用</w:t>
            </w:r>
          </w:p>
        </w:tc>
      </w:tr>
    </w:tbl>
    <w:p>
      <w:pPr>
        <w:pStyle w:val="Heading2"/>
      </w:pPr>
      <w:r>
        <w:t xml:space="preserve">3.2 市役所組織</w:t>
      </w:r>
    </w:p>
    <w:p>
      <w:pPr>
        <w:spacing w:after="120" w:line="300"/>
      </w:pPr>
      <w:r>
        <w:t xml:space="preserve">市役所本庁舎は、木と石とガラスで構成された3層の低層建築で、中央に光庭（こうてい）を持つ。「来庁しなくても完結する行政」を原則としつつ、訪れたくなる公共空間としても設計されている。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9D4CC" w:sz="1"/>
              <w:left w:val="single" w:color="D9D4CC" w:sz="1"/>
              <w:bottom w:val="single" w:color="D9D4CC" w:sz="1"/>
              <w:right w:val="single" w:color="D9D4CC" w:sz="1"/>
            </w:tcBorders>
            <w:shd w:fill="2F5D50" w:val="clear"/>
            <w:tcMar>
              <w:top w:type="dxa" w:w="70"/>
              <w:left w:type="dxa" w:w="110"/>
              <w:bottom w:type="dxa" w:w="70"/>
              <w:right w:type="dxa" w:w="110"/>
            </w:tcMar>
            <w:vAlign w:val="center"/>
          </w:tcPr>
          <w:p>
            <w:pPr>
              <w:spacing w:after="0"/>
            </w:pPr>
            <w:r>
              <w:rPr>
                <w:b/>
                <w:bCs/>
                <w:color w:val="FFFFFF"/>
                <w:sz w:val="20"/>
                <w:szCs w:val="20"/>
              </w:rPr>
              <w:t xml:space="preserve">部局</w:t>
            </w:r>
          </w:p>
        </w:tc>
        <w:tc>
          <w:tcPr>
            <w:tcW w:type="dxa" w:w="6860"/>
            <w:tcBorders>
              <w:top w:val="single" w:color="D9D4CC" w:sz="1"/>
              <w:left w:val="single" w:color="D9D4CC" w:sz="1"/>
              <w:bottom w:val="single" w:color="D9D4CC" w:sz="1"/>
              <w:right w:val="single" w:color="D9D4CC" w:sz="1"/>
            </w:tcBorders>
            <w:shd w:fill="2F5D50" w:val="clear"/>
            <w:tcMar>
              <w:top w:type="dxa" w:w="70"/>
              <w:left w:type="dxa" w:w="110"/>
              <w:bottom w:type="dxa" w:w="70"/>
              <w:right w:type="dxa" w:w="110"/>
            </w:tcMar>
            <w:vAlign w:val="center"/>
          </w:tcPr>
          <w:p>
            <w:pPr>
              <w:spacing w:after="0"/>
            </w:pPr>
            <w:r>
              <w:rPr>
                <w:b/>
                <w:bCs/>
                <w:color w:val="FFFFFF"/>
                <w:sz w:val="20"/>
                <w:szCs w:val="20"/>
              </w:rPr>
              <w:t xml:space="preserve">主な所管</w:t>
            </w:r>
          </w:p>
        </w:tc>
      </w:tr>
      <w:tr>
        <w:tc>
          <w:tcPr>
            <w:tcW w:type="dxa" w:w="25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都市戦略部</w:t>
            </w:r>
          </w:p>
        </w:tc>
        <w:tc>
          <w:tcPr>
            <w:tcW w:type="dxa" w:w="68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総合計画、都市ブランド室、広報、DX推進、移住定住</w:t>
            </w:r>
          </w:p>
        </w:tc>
      </w:tr>
      <w:tr>
        <w:tc>
          <w:tcPr>
            <w:tcW w:type="dxa" w:w="25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市民生活部</w:t>
            </w:r>
          </w:p>
        </w:tc>
        <w:tc>
          <w:tcPr>
            <w:tcW w:type="dxa" w:w="68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戸籍・窓口、市民相談、地域コミュニティ、多文化共生</w:t>
            </w:r>
          </w:p>
        </w:tc>
      </w:tr>
      <w:tr>
        <w:tc>
          <w:tcPr>
            <w:tcW w:type="dxa" w:w="25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こども未来部</w:t>
            </w:r>
          </w:p>
        </w:tc>
        <w:tc>
          <w:tcPr>
            <w:tcW w:type="dxa" w:w="68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子育て支援、保育・幼児教育、児童福祉</w:t>
            </w:r>
          </w:p>
        </w:tc>
      </w:tr>
      <w:tr>
        <w:tc>
          <w:tcPr>
            <w:tcW w:type="dxa" w:w="25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健康福祉部</w:t>
            </w:r>
          </w:p>
        </w:tc>
        <w:tc>
          <w:tcPr>
            <w:tcW w:type="dxa" w:w="68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医療連携、高齢者福祉、障がい福祉、健康づくり</w:t>
            </w:r>
          </w:p>
        </w:tc>
      </w:tr>
      <w:tr>
        <w:tc>
          <w:tcPr>
            <w:tcW w:type="dxa" w:w="25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都市整備部</w:t>
            </w:r>
          </w:p>
        </w:tc>
        <w:tc>
          <w:tcPr>
            <w:tcW w:type="dxa" w:w="68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都市計画、景観、公園緑地、住宅、交通</w:t>
            </w:r>
          </w:p>
        </w:tc>
      </w:tr>
      <w:tr>
        <w:tc>
          <w:tcPr>
            <w:tcW w:type="dxa" w:w="25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産業振興部</w:t>
            </w:r>
          </w:p>
        </w:tc>
        <w:tc>
          <w:tcPr>
            <w:tcW w:type="dxa" w:w="68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企業誘致、産学連携、スタートアップ支援、観光、農林</w:t>
            </w:r>
          </w:p>
        </w:tc>
      </w:tr>
      <w:tr>
        <w:tc>
          <w:tcPr>
            <w:tcW w:type="dxa" w:w="25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環境エネルギー部</w:t>
            </w:r>
          </w:p>
        </w:tc>
        <w:tc>
          <w:tcPr>
            <w:tcW w:type="dxa" w:w="68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脱炭素、再生可能エネルギー、上下水道、廃棄物</w:t>
            </w:r>
          </w:p>
        </w:tc>
      </w:tr>
      <w:tr>
        <w:tc>
          <w:tcPr>
            <w:tcW w:type="dxa" w:w="25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教育委員会</w:t>
            </w:r>
          </w:p>
        </w:tc>
        <w:tc>
          <w:tcPr>
            <w:tcW w:type="dxa" w:w="68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学校教育、生涯学習、文化・スポーツ、図書館・美術館</w:t>
            </w:r>
          </w:p>
        </w:tc>
      </w:tr>
    </w:tbl>
    <w:p>
      <w:pPr>
        <w:pStyle w:val="Heading2"/>
      </w:pPr>
      <w:r>
        <w:t xml:space="preserve">3.3 政策の柱</w:t>
      </w:r>
    </w:p>
    <w:p>
      <w:pPr>
        <w:pStyle w:val="ListParagraph"/>
        <w:numPr>
          <w:ilvl w:val="0"/>
          <w:numId w:val="2"/>
        </w:numPr>
        <w:spacing w:after="60" w:line="290"/>
      </w:pPr>
      <w:r>
        <w:t xml:space="preserve">住み続けられる街 ── 子育て・教育・医療を国内最高水準で維持する。</w:t>
      </w:r>
    </w:p>
    <w:p>
      <w:pPr>
        <w:pStyle w:val="ListParagraph"/>
        <w:numPr>
          <w:ilvl w:val="0"/>
          <w:numId w:val="2"/>
        </w:numPr>
        <w:spacing w:after="60" w:line="290"/>
      </w:pPr>
      <w:r>
        <w:t xml:space="preserve">世界とつながる頭脳 ── 素材・化学・電子材料の研究開発を都市の中核に置く。</w:t>
      </w:r>
    </w:p>
    <w:p>
      <w:pPr>
        <w:pStyle w:val="ListParagraph"/>
        <w:numPr>
          <w:ilvl w:val="0"/>
          <w:numId w:val="2"/>
        </w:numPr>
        <w:spacing w:after="60" w:line="290"/>
      </w:pPr>
      <w:r>
        <w:t xml:space="preserve">誰もが移動できる街 ── 車に頼らざるを得ない地形でも、配車サービスで移動の足を保証し、緑豊かな景観を守る。</w:t>
      </w:r>
    </w:p>
    <w:p>
      <w:pPr>
        <w:pStyle w:val="ListParagraph"/>
        <w:numPr>
          <w:ilvl w:val="0"/>
          <w:numId w:val="2"/>
        </w:numPr>
        <w:spacing w:after="60" w:line="290"/>
      </w:pPr>
      <w:r>
        <w:t xml:space="preserve">脱炭素と自立 ── 2045年カーボンニュートラルと、エネルギーの域内自給を目指す。</w:t>
      </w:r>
    </w:p>
    <w:p>
      <w:pPr>
        <w:pStyle w:val="Heading2"/>
      </w:pPr>
      <w:r>
        <w:t xml:space="preserve">3.4 行政DX・スマートシティ</w:t>
      </w:r>
    </w:p>
    <w:p>
      <w:pPr>
        <w:spacing w:after="120" w:line="300"/>
      </w:pPr>
      <w:r>
        <w:t xml:space="preserve">市は「行かない・書かない・待たない」を窓口改革のスローガンに掲げる。各種手続きの約9割がオンライン完結し、引越し・出生・介護などライフイベント単位で必要手続きを自動提示する「東軽ライフナビ」を運用する。</w:t>
      </w:r>
    </w:p>
    <w:p>
      <w:pPr>
        <w:pStyle w:val="ListParagraph"/>
        <w:numPr>
          <w:ilvl w:val="0"/>
          <w:numId w:val="3"/>
        </w:numPr>
        <w:spacing w:after="60" w:line="290"/>
      </w:pPr>
      <w:r>
        <w:t xml:space="preserve">市民ポータル「とうかるID」：1つのIDで申請・予約・支払い・施設利用を統合。</w:t>
      </w:r>
    </w:p>
    <w:p>
      <w:pPr>
        <w:pStyle w:val="ListParagraph"/>
        <w:numPr>
          <w:ilvl w:val="0"/>
          <w:numId w:val="3"/>
        </w:numPr>
        <w:spacing w:after="60" w:line="290"/>
      </w:pPr>
      <w:r>
        <w:t xml:space="preserve">都市データ基盤：交通・エネルギー・人流・気象を匿名統計で可視化し、政策に反映。</w:t>
      </w:r>
    </w:p>
    <w:p>
      <w:pPr>
        <w:pStyle w:val="ListParagraph"/>
        <w:numPr>
          <w:ilvl w:val="0"/>
          <w:numId w:val="3"/>
        </w:numPr>
        <w:spacing w:after="60" w:line="290"/>
      </w:pPr>
      <w:r>
        <w:t xml:space="preserve">AI相談窓口「みはらしさん」：24時間、制度案内と窓口予約に対応。複雑案件は職員に引継ぎ。</w:t>
      </w:r>
    </w:p>
    <w:p>
      <w:pPr>
        <w:pStyle w:val="Heading2"/>
      </w:pPr>
      <w:r>
        <w:t xml:space="preserve">3.5 都市ブランド戦略</w:t>
      </w:r>
    </w:p>
    <w:p>
      <w:pPr>
        <w:spacing w:after="120" w:line="300"/>
      </w:pPr>
      <w:r>
        <w:t xml:space="preserve">都市ブランド室は、市の発信を「静けさ・上質・余白」のトーンで統一する。ロゴ・色・書体・写真の質感に至るまで一貫したガイドラインを設け、市役所・企業・学校・観光の各サイトが同じ世界観を共有するよう監修する。本書はその根拠資料でもあ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08D57" w:sz="18"/>
              <w:bottom w:val="none"/>
              <w:right w:val="none"/>
            </w:tcBorders>
            <w:shd w:fill="F5F3EE" w:val="clear"/>
            <w:tcMar>
              <w:top w:type="dxa" w:w="120"/>
              <w:left w:type="dxa" w:w="200"/>
              <w:bottom w:type="dxa" w:w="120"/>
              <w:right w:type="dxa" w:w="160"/>
            </w:tcMar>
          </w:tcPr>
          <w:p>
            <w:pPr>
              <w:spacing w:after="80" w:line="290"/>
            </w:pPr>
            <w:r>
              <w:rPr>
                <w:b/>
                <w:bCs/>
                <w:color w:val="2F5D50"/>
                <w:sz w:val="21"/>
                <w:szCs w:val="21"/>
              </w:rPr>
              <w:t xml:space="preserve">ブランドの約束</w:t>
            </w:r>
          </w:p>
          <w:p>
            <w:pPr>
              <w:spacing w:after="0" w:line="290"/>
            </w:pPr>
            <w:r>
              <w:t xml:space="preserve">誇張しない。急かさない。余白を恐れない。── 東軽井沢市のあらゆる発信は、この三原則に従う。</w:t>
            </w:r>
          </w:p>
        </w:tc>
      </w:tr>
    </w:tbl>
    <w:p>
      <w:r>
        <w:br w:type="page"/>
      </w:r>
    </w:p>
    <w:p>
      <w:pPr>
        <w:pStyle w:val="Heading1"/>
      </w:pPr>
      <w:r>
        <w:t xml:space="preserve">4. 都市計画</w:t>
      </w:r>
    </w:p>
    <w:p>
      <w:pPr>
        <w:spacing w:after="160" w:line="320"/>
      </w:pPr>
      <w:r>
        <w:rPr>
          <w:i/>
          <w:iCs/>
          <w:color w:val="2F5D50"/>
          <w:sz w:val="23"/>
          <w:szCs w:val="23"/>
        </w:rPr>
        <w:t xml:space="preserve">ゾーンを分けるのではなく、編む。住・働・学・憩いが、歩いて行き来できる距離に。</w:t>
      </w:r>
    </w:p>
    <w:p>
      <w:pPr>
        <w:pStyle w:val="Heading2"/>
      </w:pPr>
      <w:r>
        <w:t xml:space="preserve">4.1 都市構造の考え方</w:t>
      </w:r>
    </w:p>
    <w:p>
      <w:pPr>
        <w:spacing w:after="120" w:line="300"/>
      </w:pPr>
      <w:r>
        <w:t xml:space="preserve">東軽井沢市は、新幹線駅と幹線道路を背骨とする「拠点連携型コンパクトシティ」を採る。山に囲まれた地形ゆえ移動は車に頼らざるを得ないが、駅前を中心に、徒歩・自転車で日常が完結する複数の生活拠点（クラスター）を幹線沿いに連ね、拠点間と山あいの集落を市独自の配車サービスで結ぶことで、車を運転できない人も含めて誰もが移動できる構造を目指す。生活拠点の外縁に研究学園地区と工業地区を、さらに外側に農地と森林を配置し、市街地の無秩序な拡大は景観条例で抑制される。</w:t>
      </w:r>
    </w:p>
    <w:p>
      <w:pPr>
        <w:pStyle w:val="Heading2"/>
      </w:pPr>
      <w:r>
        <w:t xml:space="preserve">4.2 地区構成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5160"/>
      </w:tblGrid>
      <w:tr>
        <w:trPr>
          <w:tblHeader/>
        </w:trPr>
        <w:tc>
          <w:tcPr>
            <w:tcW w:type="dxa" w:w="2100"/>
            <w:tcBorders>
              <w:top w:val="single" w:color="D9D4CC" w:sz="1"/>
              <w:left w:val="single" w:color="D9D4CC" w:sz="1"/>
              <w:bottom w:val="single" w:color="D9D4CC" w:sz="1"/>
              <w:right w:val="single" w:color="D9D4CC" w:sz="1"/>
            </w:tcBorders>
            <w:shd w:fill="2F5D50" w:val="clear"/>
            <w:tcMar>
              <w:top w:type="dxa" w:w="70"/>
              <w:left w:type="dxa" w:w="110"/>
              <w:bottom w:type="dxa" w:w="70"/>
              <w:right w:type="dxa" w:w="110"/>
            </w:tcMar>
            <w:vAlign w:val="center"/>
          </w:tcPr>
          <w:p>
            <w:pPr>
              <w:spacing w:after="0"/>
            </w:pPr>
            <w:r>
              <w:rPr>
                <w:b/>
                <w:bCs/>
                <w:color w:val="FFFFFF"/>
                <w:sz w:val="20"/>
                <w:szCs w:val="20"/>
              </w:rPr>
              <w:t xml:space="preserve">地区</w:t>
            </w:r>
          </w:p>
        </w:tc>
        <w:tc>
          <w:tcPr>
            <w:tcW w:type="dxa" w:w="2100"/>
            <w:tcBorders>
              <w:top w:val="single" w:color="D9D4CC" w:sz="1"/>
              <w:left w:val="single" w:color="D9D4CC" w:sz="1"/>
              <w:bottom w:val="single" w:color="D9D4CC" w:sz="1"/>
              <w:right w:val="single" w:color="D9D4CC" w:sz="1"/>
            </w:tcBorders>
            <w:shd w:fill="2F5D50" w:val="clear"/>
            <w:tcMar>
              <w:top w:type="dxa" w:w="70"/>
              <w:left w:type="dxa" w:w="110"/>
              <w:bottom w:type="dxa" w:w="70"/>
              <w:right w:type="dxa" w:w="110"/>
            </w:tcMar>
            <w:vAlign w:val="center"/>
          </w:tcPr>
          <w:p>
            <w:pPr>
              <w:spacing w:after="0"/>
            </w:pPr>
            <w:r>
              <w:rPr>
                <w:b/>
                <w:bCs/>
                <w:color w:val="FFFFFF"/>
                <w:sz w:val="20"/>
                <w:szCs w:val="20"/>
              </w:rPr>
              <w:t xml:space="preserve">性格</w:t>
            </w:r>
          </w:p>
        </w:tc>
        <w:tc>
          <w:tcPr>
            <w:tcW w:type="dxa" w:w="5160"/>
            <w:tcBorders>
              <w:top w:val="single" w:color="D9D4CC" w:sz="1"/>
              <w:left w:val="single" w:color="D9D4CC" w:sz="1"/>
              <w:bottom w:val="single" w:color="D9D4CC" w:sz="1"/>
              <w:right w:val="single" w:color="D9D4CC" w:sz="1"/>
            </w:tcBorders>
            <w:shd w:fill="2F5D50" w:val="clear"/>
            <w:tcMar>
              <w:top w:type="dxa" w:w="70"/>
              <w:left w:type="dxa" w:w="110"/>
              <w:bottom w:type="dxa" w:w="70"/>
              <w:right w:type="dxa" w:w="110"/>
            </w:tcMar>
            <w:vAlign w:val="center"/>
          </w:tcPr>
          <w:p>
            <w:pPr>
              <w:spacing w:after="0"/>
            </w:pPr>
            <w:r>
              <w:rPr>
                <w:b/>
                <w:bCs/>
                <w:color w:val="FFFFFF"/>
                <w:sz w:val="20"/>
                <w:szCs w:val="20"/>
              </w:rPr>
              <w:t xml:space="preserve">主な内容</w:t>
            </w:r>
          </w:p>
        </w:tc>
      </w:tr>
      <w:tr>
        <w:tc>
          <w:tcPr>
            <w:tcW w:type="dxa" w:w="21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駅前・中央地区</w:t>
            </w:r>
          </w:p>
        </w:tc>
        <w:tc>
          <w:tcPr>
            <w:tcW w:type="dxa" w:w="21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都市の玄関口</w:t>
            </w:r>
          </w:p>
        </w:tc>
        <w:tc>
          <w:tcPr>
            <w:tcW w:type="dxa" w:w="51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新幹線駅、市役所、文化施設、商業、ホテル。低層・中層の混在</w:t>
            </w:r>
          </w:p>
        </w:tc>
      </w:tr>
      <w:tr>
        <w:tc>
          <w:tcPr>
            <w:tcW w:type="dxa" w:w="21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宿場・旧市街地区</w:t>
            </w:r>
          </w:p>
        </w:tc>
        <w:tc>
          <w:tcPr>
            <w:tcW w:type="dxa" w:w="21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歴史景観の核</w:t>
            </w:r>
          </w:p>
        </w:tc>
        <w:tc>
          <w:tcPr>
            <w:tcW w:type="dxa" w:w="51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宿場通り、町家、個店、ギャラリー。建物の高さ・素材を厳格に規制</w:t>
            </w:r>
          </w:p>
        </w:tc>
      </w:tr>
      <w:tr>
        <w:tc>
          <w:tcPr>
            <w:tcW w:type="dxa" w:w="21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住宅地区（丘の手）</w:t>
            </w:r>
          </w:p>
        </w:tc>
        <w:tc>
          <w:tcPr>
            <w:tcW w:type="dxa" w:w="21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落ち着いた住宅地</w:t>
            </w:r>
          </w:p>
        </w:tc>
        <w:tc>
          <w:tcPr>
            <w:tcW w:type="dxa" w:w="51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並木道沿いの戸建・低層集合。緑被率の基準を設定</w:t>
            </w:r>
          </w:p>
        </w:tc>
      </w:tr>
      <w:tr>
        <w:tc>
          <w:tcPr>
            <w:tcW w:type="dxa" w:w="21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千石テクノパーク</w:t>
            </w:r>
          </w:p>
        </w:tc>
        <w:tc>
          <w:tcPr>
            <w:tcW w:type="dxa" w:w="21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工業・生産地区</w:t>
            </w:r>
          </w:p>
        </w:tc>
        <w:tc>
          <w:tcPr>
            <w:tcW w:type="dxa" w:w="51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素材・化学・電子材料の生産拠点。緑地帯で住宅地と分離</w:t>
            </w:r>
          </w:p>
        </w:tc>
      </w:tr>
      <w:tr>
        <w:tc>
          <w:tcPr>
            <w:tcW w:type="dxa" w:w="21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見晴台研究学園地区</w:t>
            </w:r>
          </w:p>
        </w:tc>
        <w:tc>
          <w:tcPr>
            <w:tcW w:type="dxa" w:w="21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研究・教育地区</w:t>
            </w:r>
          </w:p>
        </w:tc>
        <w:tc>
          <w:tcPr>
            <w:tcW w:type="dxa" w:w="51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研究所、企業のR&amp;D拠点、専門学校、スタートアップ施設が集積</w:t>
            </w:r>
          </w:p>
        </w:tc>
      </w:tr>
      <w:tr>
        <w:tc>
          <w:tcPr>
            <w:tcW w:type="dxa" w:w="21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里山・自然保全地区</w:t>
            </w:r>
          </w:p>
        </w:tc>
        <w:tc>
          <w:tcPr>
            <w:tcW w:type="dxa" w:w="21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環境保全</w:t>
            </w:r>
          </w:p>
        </w:tc>
        <w:tc>
          <w:tcPr>
            <w:tcW w:type="dxa" w:w="51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森林・農地・水源。開発を厳しく制限し景観の背景を守る</w:t>
            </w:r>
          </w:p>
        </w:tc>
      </w:tr>
    </w:tbl>
    <w:p>
      <w:pPr>
        <w:pStyle w:val="Heading2"/>
      </w:pPr>
      <w:r>
        <w:t xml:space="preserve">4.3 景観条例とデザインガイドライン</w:t>
      </w:r>
    </w:p>
    <w:p>
      <w:pPr>
        <w:spacing w:after="120" w:line="300"/>
      </w:pPr>
      <w:r>
        <w:t xml:space="preserve">市は全域を景観計画区域とし、地区ごとに高さ・色・素材・屋外広告を規定する。基調素材は「石・木・ガラス」、基調色は自然になじむ低彩度のアースカラーとされ、原色の大型看板やけばけばしい外装は認められな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D9D4CC" w:sz="1"/>
              <w:left w:val="single" w:color="D9D4CC" w:sz="1"/>
              <w:bottom w:val="single" w:color="D9D4CC" w:sz="1"/>
              <w:right w:val="single" w:color="D9D4CC" w:sz="1"/>
            </w:tcBorders>
            <w:shd w:fill="2F5D50" w:val="clear"/>
            <w:tcMar>
              <w:top w:type="dxa" w:w="70"/>
              <w:left w:type="dxa" w:w="110"/>
              <w:bottom w:type="dxa" w:w="70"/>
              <w:right w:type="dxa" w:w="110"/>
            </w:tcMar>
            <w:vAlign w:val="center"/>
          </w:tcPr>
          <w:p>
            <w:pPr>
              <w:spacing w:after="0"/>
            </w:pPr>
            <w:r>
              <w:rPr>
                <w:b/>
                <w:bCs/>
                <w:color w:val="FFFFFF"/>
                <w:sz w:val="20"/>
                <w:szCs w:val="20"/>
              </w:rPr>
              <w:t xml:space="preserve">項目</w:t>
            </w:r>
          </w:p>
        </w:tc>
        <w:tc>
          <w:tcPr>
            <w:tcW w:type="dxa" w:w="7060"/>
            <w:tcBorders>
              <w:top w:val="single" w:color="D9D4CC" w:sz="1"/>
              <w:left w:val="single" w:color="D9D4CC" w:sz="1"/>
              <w:bottom w:val="single" w:color="D9D4CC" w:sz="1"/>
              <w:right w:val="single" w:color="D9D4CC" w:sz="1"/>
            </w:tcBorders>
            <w:shd w:fill="2F5D50" w:val="clear"/>
            <w:tcMar>
              <w:top w:type="dxa" w:w="70"/>
              <w:left w:type="dxa" w:w="110"/>
              <w:bottom w:type="dxa" w:w="70"/>
              <w:right w:type="dxa" w:w="110"/>
            </w:tcMar>
            <w:vAlign w:val="center"/>
          </w:tcPr>
          <w:p>
            <w:pPr>
              <w:spacing w:after="0"/>
            </w:pPr>
            <w:r>
              <w:rPr>
                <w:b/>
                <w:bCs/>
                <w:color w:val="FFFFFF"/>
                <w:sz w:val="20"/>
                <w:szCs w:val="20"/>
              </w:rPr>
              <w:t xml:space="preserve">基準（要旨）</w:t>
            </w:r>
          </w:p>
        </w:tc>
      </w:tr>
      <w:tr>
        <w:tc>
          <w:tcPr>
            <w:tcW w:type="dxa" w:w="23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建物の高さ</w:t>
            </w:r>
          </w:p>
        </w:tc>
        <w:tc>
          <w:tcPr>
            <w:tcW w:type="dxa" w:w="70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宿場地区 12m以下／住宅地区 15m以下／駅前地区 31m以下を原則</w:t>
            </w:r>
          </w:p>
        </w:tc>
      </w:tr>
      <w:tr>
        <w:tc>
          <w:tcPr>
            <w:tcW w:type="dxa" w:w="23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外装の色</w:t>
            </w:r>
          </w:p>
        </w:tc>
        <w:tc>
          <w:tcPr>
            <w:tcW w:type="dxa" w:w="70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低彩度のアースカラーを基調。原色の大面積使用は不可</w:t>
            </w:r>
          </w:p>
        </w:tc>
      </w:tr>
      <w:tr>
        <w:tc>
          <w:tcPr>
            <w:tcW w:type="dxa" w:w="23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素材</w:t>
            </w:r>
          </w:p>
        </w:tc>
        <w:tc>
          <w:tcPr>
            <w:tcW w:type="dxa" w:w="70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石・木・ガラス・金属の落ち着いた質感を推奨。過度な装飾を避ける</w:t>
            </w:r>
          </w:p>
        </w:tc>
      </w:tr>
      <w:tr>
        <w:tc>
          <w:tcPr>
            <w:tcW w:type="dxa" w:w="23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屋外広告</w:t>
            </w:r>
          </w:p>
        </w:tc>
        <w:tc>
          <w:tcPr>
            <w:tcW w:type="dxa" w:w="70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サイズ・色・照度を制限。自家用看板も景観に調和させる</w:t>
            </w:r>
          </w:p>
        </w:tc>
      </w:tr>
      <w:tr>
        <w:tc>
          <w:tcPr>
            <w:tcW w:type="dxa" w:w="23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緑化</w:t>
            </w:r>
          </w:p>
        </w:tc>
        <w:tc>
          <w:tcPr>
            <w:tcW w:type="dxa" w:w="70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敷地面積に応じた緑被率を義務化。街路樹の連続性を確保</w:t>
            </w:r>
          </w:p>
        </w:tc>
      </w:tr>
    </w:tbl>
    <w:p>
      <w:pPr>
        <w:pStyle w:val="Heading2"/>
      </w:pPr>
      <w:r>
        <w:t xml:space="preserve">4.4 公園・緑とオープンスペース</w:t>
      </w:r>
    </w:p>
    <w:p>
      <w:pPr>
        <w:spacing w:after="120" w:line="300"/>
      </w:pPr>
      <w:r>
        <w:t xml:space="preserve">市内には大小あわせて60以上の公園があり、どの住宅からも徒歩5分以内に緑地があるよう配置されている。河川沿いには連続した緑道が整備され、市の南北を歩いて、あるいは自転車で縦断できる。</w:t>
      </w:r>
    </w:p>
    <w:p>
      <w:pPr>
        <w:pStyle w:val="ListParagraph"/>
        <w:numPr>
          <w:ilvl w:val="0"/>
          <w:numId w:val="3"/>
        </w:numPr>
        <w:spacing w:after="60" w:line="290"/>
      </w:pPr>
      <w:r>
        <w:t xml:space="preserve">桑の里中央公園 ── 駅近くの大規模公園。芝生広場・水景・屋外図書スペース。</w:t>
      </w:r>
    </w:p>
    <w:p>
      <w:pPr>
        <w:pStyle w:val="ListParagraph"/>
        <w:numPr>
          <w:ilvl w:val="0"/>
          <w:numId w:val="3"/>
        </w:numPr>
        <w:spacing w:after="60" w:line="290"/>
      </w:pPr>
      <w:r>
        <w:t xml:space="preserve">千石川グリーンウェイ ── 市を縦断する約12kmの川沿い緑道。各生活拠点と配車サービスの乗降所に接続。</w:t>
      </w:r>
    </w:p>
    <w:p>
      <w:pPr>
        <w:pStyle w:val="ListParagraph"/>
        <w:numPr>
          <w:ilvl w:val="0"/>
          <w:numId w:val="3"/>
        </w:numPr>
        <w:spacing w:after="60" w:line="290"/>
      </w:pPr>
      <w:r>
        <w:t xml:space="preserve">見晴の丘公園 ── 市街と山並みを一望する高台。市民の朝の散歩コース。</w:t>
      </w:r>
    </w:p>
    <w:p>
      <w:r>
        <w:br w:type="page"/>
      </w:r>
    </w:p>
    <w:p>
      <w:pPr>
        <w:pStyle w:val="Heading1"/>
      </w:pPr>
      <w:r>
        <w:t xml:space="preserve">5. 住宅・移住</w:t>
      </w:r>
    </w:p>
    <w:p>
      <w:pPr>
        <w:spacing w:after="160" w:line="320"/>
      </w:pPr>
      <w:r>
        <w:rPr>
          <w:i/>
          <w:iCs/>
          <w:color w:val="2F5D50"/>
          <w:sz w:val="23"/>
          <w:szCs w:val="23"/>
        </w:rPr>
        <w:t xml:space="preserve">「東京の半分の家賃で、二倍の余白を。」── 高所得層だけでなく、子育て世帯も高齢者も。</w:t>
      </w:r>
    </w:p>
    <w:p>
      <w:pPr>
        <w:pStyle w:val="Heading2"/>
      </w:pPr>
      <w:r>
        <w:t xml:space="preserve">5.1 住宅事情</w:t>
      </w:r>
    </w:p>
    <w:p>
      <w:pPr>
        <w:spacing w:after="120" w:line="300"/>
      </w:pPr>
      <w:r>
        <w:t xml:space="preserve">住宅は戸建と低層集合住宅が中心で、超高層マンションは存在しない。木造・木質ハイブリッド住宅の比率が高く、断熱・気密性能の基準は国内トップクラス。冬の晴天を活かした日射取得とパッシブ設計が普及してい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400"/>
        <w:gridCol w:w="4460"/>
      </w:tblGrid>
      <w:tr>
        <w:trPr>
          <w:tblHeader/>
        </w:trPr>
        <w:tc>
          <w:tcPr>
            <w:tcW w:type="dxa" w:w="2500"/>
            <w:tcBorders>
              <w:top w:val="single" w:color="D9D4CC" w:sz="1"/>
              <w:left w:val="single" w:color="D9D4CC" w:sz="1"/>
              <w:bottom w:val="single" w:color="D9D4CC" w:sz="1"/>
              <w:right w:val="single" w:color="D9D4CC" w:sz="1"/>
            </w:tcBorders>
            <w:shd w:fill="2F5D50" w:val="clear"/>
            <w:tcMar>
              <w:top w:type="dxa" w:w="70"/>
              <w:left w:type="dxa" w:w="110"/>
              <w:bottom w:type="dxa" w:w="70"/>
              <w:right w:type="dxa" w:w="110"/>
            </w:tcMar>
            <w:vAlign w:val="center"/>
          </w:tcPr>
          <w:p>
            <w:pPr>
              <w:spacing w:after="0"/>
            </w:pPr>
            <w:r>
              <w:rPr>
                <w:b/>
                <w:bCs/>
                <w:color w:val="FFFFFF"/>
                <w:sz w:val="20"/>
                <w:szCs w:val="20"/>
              </w:rPr>
              <w:t xml:space="preserve">タイプ</w:t>
            </w:r>
          </w:p>
        </w:tc>
        <w:tc>
          <w:tcPr>
            <w:tcW w:type="dxa" w:w="2400"/>
            <w:tcBorders>
              <w:top w:val="single" w:color="D9D4CC" w:sz="1"/>
              <w:left w:val="single" w:color="D9D4CC" w:sz="1"/>
              <w:bottom w:val="single" w:color="D9D4CC" w:sz="1"/>
              <w:right w:val="single" w:color="D9D4CC" w:sz="1"/>
            </w:tcBorders>
            <w:shd w:fill="2F5D50" w:val="clear"/>
            <w:tcMar>
              <w:top w:type="dxa" w:w="70"/>
              <w:left w:type="dxa" w:w="110"/>
              <w:bottom w:type="dxa" w:w="70"/>
              <w:right w:type="dxa" w:w="110"/>
            </w:tcMar>
            <w:vAlign w:val="center"/>
          </w:tcPr>
          <w:p>
            <w:pPr>
              <w:spacing w:after="0"/>
            </w:pPr>
            <w:r>
              <w:rPr>
                <w:b/>
                <w:bCs/>
                <w:color w:val="FFFFFF"/>
                <w:sz w:val="20"/>
                <w:szCs w:val="20"/>
              </w:rPr>
              <w:t xml:space="preserve">目安（市平均）</w:t>
            </w:r>
          </w:p>
        </w:tc>
        <w:tc>
          <w:tcPr>
            <w:tcW w:type="dxa" w:w="4460"/>
            <w:tcBorders>
              <w:top w:val="single" w:color="D9D4CC" w:sz="1"/>
              <w:left w:val="single" w:color="D9D4CC" w:sz="1"/>
              <w:bottom w:val="single" w:color="D9D4CC" w:sz="1"/>
              <w:right w:val="single" w:color="D9D4CC" w:sz="1"/>
            </w:tcBorders>
            <w:shd w:fill="2F5D50" w:val="clear"/>
            <w:tcMar>
              <w:top w:type="dxa" w:w="70"/>
              <w:left w:type="dxa" w:w="110"/>
              <w:bottom w:type="dxa" w:w="70"/>
              <w:right w:type="dxa" w:w="110"/>
            </w:tcMar>
            <w:vAlign w:val="center"/>
          </w:tcPr>
          <w:p>
            <w:pPr>
              <w:spacing w:after="0"/>
            </w:pPr>
            <w:r>
              <w:rPr>
                <w:b/>
                <w:bCs/>
                <w:color w:val="FFFFFF"/>
                <w:sz w:val="20"/>
                <w:szCs w:val="20"/>
              </w:rPr>
              <w:t xml:space="preserve">特徴</w:t>
            </w:r>
          </w:p>
        </w:tc>
      </w:tr>
      <w:tr>
        <w:tc>
          <w:tcPr>
            <w:tcW w:type="dxa" w:w="25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戸建（中古）</w:t>
            </w:r>
          </w:p>
        </w:tc>
        <w:tc>
          <w:tcPr>
            <w:tcW w:type="dxa" w:w="24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1,200〜3,800 万円</w:t>
            </w:r>
          </w:p>
        </w:tc>
        <w:tc>
          <w:tcPr>
            <w:tcW w:type="dxa" w:w="44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並木道沿いの落ち着いた住宅地。庭付きが標準的</w:t>
            </w:r>
          </w:p>
        </w:tc>
      </w:tr>
      <w:tr>
        <w:tc>
          <w:tcPr>
            <w:tcW w:type="dxa" w:w="25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戸建（新築）</w:t>
            </w:r>
          </w:p>
        </w:tc>
        <w:tc>
          <w:tcPr>
            <w:tcW w:type="dxa" w:w="24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2,000〜5,800 万円</w:t>
            </w:r>
          </w:p>
        </w:tc>
        <w:tc>
          <w:tcPr>
            <w:tcW w:type="dxa" w:w="44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高断熱・パッシブ設計。市の補助対象が多い</w:t>
            </w:r>
          </w:p>
        </w:tc>
      </w:tr>
      <w:tr>
        <w:tc>
          <w:tcPr>
            <w:tcW w:type="dxa" w:w="25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低層集合（賃貸・2LDK）</w:t>
            </w:r>
          </w:p>
        </w:tc>
        <w:tc>
          <w:tcPr>
            <w:tcW w:type="dxa" w:w="24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月 4〜10 万円</w:t>
            </w:r>
          </w:p>
        </w:tc>
        <w:tc>
          <w:tcPr>
            <w:tcW w:type="dxa" w:w="44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駅周辺や生活拠点の近く。共用の中庭を持つ設計が人気</w:t>
            </w:r>
          </w:p>
        </w:tc>
      </w:tr>
      <w:tr>
        <w:tc>
          <w:tcPr>
            <w:tcW w:type="dxa" w:w="25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移住者向け一時住宅</w:t>
            </w:r>
          </w:p>
        </w:tc>
        <w:tc>
          <w:tcPr>
            <w:tcW w:type="dxa" w:w="24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月 3〜6 万円</w:t>
            </w:r>
          </w:p>
        </w:tc>
        <w:tc>
          <w:tcPr>
            <w:tcW w:type="dxa" w:w="44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市が運営。最長2年。住まい探しの拠点に</w:t>
            </w:r>
          </w:p>
        </w:tc>
      </w:tr>
    </w:tbl>
    <w:p>
      <w:pPr>
        <w:pStyle w:val="Heading2"/>
      </w:pPr>
      <w:r>
        <w:t xml:space="preserve">5.2 移住支援</w:t>
      </w:r>
    </w:p>
    <w:p>
      <w:pPr>
        <w:pStyle w:val="ListParagraph"/>
        <w:numPr>
          <w:ilvl w:val="0"/>
          <w:numId w:val="3"/>
        </w:numPr>
        <w:spacing w:after="60" w:line="290"/>
      </w:pPr>
      <w:r>
        <w:t xml:space="preserve">移住相談ワンストップ窓口「とうかる暮らしの窓口」：仕事・住まい・学校・医療を一括相談。</w:t>
      </w:r>
    </w:p>
    <w:p>
      <w:pPr>
        <w:pStyle w:val="ListParagraph"/>
        <w:numPr>
          <w:ilvl w:val="0"/>
          <w:numId w:val="3"/>
        </w:numPr>
        <w:spacing w:after="60" w:line="290"/>
      </w:pPr>
      <w:r>
        <w:t xml:space="preserve">お試し移住制度：一時住宅に最長1か月滞在し、街の暮らしを体験できる。</w:t>
      </w:r>
    </w:p>
    <w:p>
      <w:pPr>
        <w:pStyle w:val="ListParagraph"/>
        <w:numPr>
          <w:ilvl w:val="0"/>
          <w:numId w:val="3"/>
        </w:numPr>
        <w:spacing w:after="60" w:line="290"/>
      </w:pPr>
      <w:r>
        <w:t xml:space="preserve">住宅取得補助：高断熱住宅・空き家改修・三世代同居に対し段階的に補助。</w:t>
      </w:r>
    </w:p>
    <w:p>
      <w:pPr>
        <w:pStyle w:val="ListParagraph"/>
        <w:numPr>
          <w:ilvl w:val="0"/>
          <w:numId w:val="3"/>
        </w:numPr>
        <w:spacing w:after="60" w:line="290"/>
      </w:pPr>
      <w:r>
        <w:t xml:space="preserve">テレワーク移住支援金：市外の仕事を続けながら移住する世帯に支援金と通信環境補助。</w:t>
      </w:r>
    </w:p>
    <w:p>
      <w:pPr>
        <w:pStyle w:val="Heading2"/>
      </w:pPr>
      <w:r>
        <w:t xml:space="preserve">5.3 子育て・定住促進</w:t>
      </w:r>
    </w:p>
    <w:p>
      <w:pPr>
        <w:spacing w:after="120" w:line="300"/>
      </w:pPr>
      <w:r>
        <w:t xml:space="preserve">市は「子どもの数だけ街は強くなる」を合言葉に、出産から高校卒業まで切れ目のない支援を設計している。詳細は第7章（医療・福祉）および第6章（教育）に記すが、住宅政策との連動が大きな特徴であ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9D4CC" w:sz="1"/>
              <w:left w:val="single" w:color="D9D4CC" w:sz="1"/>
              <w:bottom w:val="single" w:color="D9D4CC" w:sz="1"/>
              <w:right w:val="single" w:color="D9D4CC" w:sz="1"/>
            </w:tcBorders>
            <w:shd w:fill="2F5D50" w:val="clear"/>
            <w:tcMar>
              <w:top w:type="dxa" w:w="70"/>
              <w:left w:type="dxa" w:w="110"/>
              <w:bottom w:type="dxa" w:w="70"/>
              <w:right w:type="dxa" w:w="110"/>
            </w:tcMar>
            <w:vAlign w:val="center"/>
          </w:tcPr>
          <w:p>
            <w:pPr>
              <w:spacing w:after="0"/>
            </w:pPr>
            <w:r>
              <w:rPr>
                <w:b/>
                <w:bCs/>
                <w:color w:val="FFFFFF"/>
                <w:sz w:val="20"/>
                <w:szCs w:val="20"/>
              </w:rPr>
              <w:t xml:space="preserve">支援</w:t>
            </w:r>
          </w:p>
        </w:tc>
        <w:tc>
          <w:tcPr>
            <w:tcW w:type="dxa" w:w="6760"/>
            <w:tcBorders>
              <w:top w:val="single" w:color="D9D4CC" w:sz="1"/>
              <w:left w:val="single" w:color="D9D4CC" w:sz="1"/>
              <w:bottom w:val="single" w:color="D9D4CC" w:sz="1"/>
              <w:right w:val="single" w:color="D9D4CC" w:sz="1"/>
            </w:tcBorders>
            <w:shd w:fill="2F5D50" w:val="clear"/>
            <w:tcMar>
              <w:top w:type="dxa" w:w="70"/>
              <w:left w:type="dxa" w:w="110"/>
              <w:bottom w:type="dxa" w:w="70"/>
              <w:right w:type="dxa" w:w="110"/>
            </w:tcMar>
            <w:vAlign w:val="center"/>
          </w:tcPr>
          <w:p>
            <w:pPr>
              <w:spacing w:after="0"/>
            </w:pPr>
            <w:r>
              <w:rPr>
                <w:b/>
                <w:bCs/>
                <w:color w:val="FFFFFF"/>
                <w:sz w:val="20"/>
                <w:szCs w:val="20"/>
              </w:rPr>
              <w:t xml:space="preserve">内容</w:t>
            </w:r>
          </w:p>
        </w:tc>
      </w:tr>
      <w:tr>
        <w:tc>
          <w:tcPr>
            <w:tcW w:type="dxa" w:w="26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出産・育児一時金</w:t>
            </w:r>
          </w:p>
        </w:tc>
        <w:tc>
          <w:tcPr>
            <w:tcW w:type="dxa" w:w="67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出生1人あたり手厚い一時金に加え、月々の児童手当を市が上乗せ</w:t>
            </w:r>
          </w:p>
        </w:tc>
      </w:tr>
      <w:tr>
        <w:tc>
          <w:tcPr>
            <w:tcW w:type="dxa" w:w="26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保育料</w:t>
            </w:r>
          </w:p>
        </w:tc>
        <w:tc>
          <w:tcPr>
            <w:tcW w:type="dxa" w:w="67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第2子半額・第3子以降無償。待機児童ゼロを継続</w:t>
            </w:r>
          </w:p>
        </w:tc>
      </w:tr>
      <w:tr>
        <w:tc>
          <w:tcPr>
            <w:tcW w:type="dxa" w:w="26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子育て世帯住宅補助</w:t>
            </w:r>
          </w:p>
        </w:tc>
        <w:tc>
          <w:tcPr>
            <w:tcW w:type="dxa" w:w="67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子の人数に応じて住宅取得・賃貸を補助</w:t>
            </w:r>
          </w:p>
        </w:tc>
      </w:tr>
      <w:tr>
        <w:tc>
          <w:tcPr>
            <w:tcW w:type="dxa" w:w="26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三世代近居支援</w:t>
            </w:r>
          </w:p>
        </w:tc>
        <w:tc>
          <w:tcPr>
            <w:tcW w:type="dxa" w:w="67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親世帯と近居・同居する場合に転入・改修を支援</w:t>
            </w:r>
          </w:p>
        </w:tc>
      </w:tr>
    </w:tbl>
    <w:p>
      <w:r>
        <w:br w:type="page"/>
      </w:r>
    </w:p>
    <w:p>
      <w:pPr>
        <w:pStyle w:val="Heading1"/>
      </w:pPr>
      <w:r>
        <w:t xml:space="preserve">6. 教育</w:t>
      </w:r>
    </w:p>
    <w:p>
      <w:pPr>
        <w:spacing w:after="160" w:line="320"/>
      </w:pPr>
      <w:r>
        <w:rPr>
          <w:i/>
          <w:iCs/>
          <w:color w:val="2F5D50"/>
          <w:sz w:val="23"/>
          <w:szCs w:val="23"/>
        </w:rPr>
        <w:t xml:space="preserve">素材の街は、人を素材から育てる。問いを立てる力を、幼児期から高校・専門教育まで一気通貫で。</w:t>
      </w:r>
    </w:p>
    <w:p>
      <w:pPr>
        <w:pStyle w:val="Heading2"/>
      </w:pPr>
      <w:r>
        <w:t xml:space="preserve">6.1 教育の方針</w:t>
      </w:r>
    </w:p>
    <w:p>
      <w:pPr>
        <w:spacing w:after="120" w:line="300"/>
      </w:pPr>
      <w:r>
        <w:t xml:space="preserve">市は「探究・自然・ものづくり」を教育の三本柱に据える。少人数学級と、地域の研究機関・企業と連携した実物教育（リアル・ラーニング）を特色とし、学力だけでなく「問いを立て、手を動かし、対話する力」を重視する。市内に大学は置かず、高校までを地元で手厚く育てたうえで、進学者は新幹線で首都圏の大学へ通学・進学し、専門人材は市内の専門学校や企業内教育で育てるという役割分担をとる。</w:t>
      </w:r>
    </w:p>
    <w:p>
      <w:pPr>
        <w:pStyle w:val="Heading2"/>
      </w:pPr>
      <w:r>
        <w:t xml:space="preserve">6.2 学校制度の全体像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D9D4CC" w:sz="1"/>
              <w:left w:val="single" w:color="D9D4CC" w:sz="1"/>
              <w:bottom w:val="single" w:color="D9D4CC" w:sz="1"/>
              <w:right w:val="single" w:color="D9D4CC" w:sz="1"/>
            </w:tcBorders>
            <w:shd w:fill="2F5D50" w:val="clear"/>
            <w:tcMar>
              <w:top w:type="dxa" w:w="70"/>
              <w:left w:type="dxa" w:w="110"/>
              <w:bottom w:type="dxa" w:w="70"/>
              <w:right w:type="dxa" w:w="110"/>
            </w:tcMar>
            <w:vAlign w:val="center"/>
          </w:tcPr>
          <w:p>
            <w:pPr>
              <w:spacing w:after="0"/>
            </w:pPr>
            <w:r>
              <w:rPr>
                <w:b/>
                <w:bCs/>
                <w:color w:val="FFFFFF"/>
                <w:sz w:val="20"/>
                <w:szCs w:val="20"/>
              </w:rPr>
              <w:t xml:space="preserve">段階</w:t>
            </w:r>
          </w:p>
        </w:tc>
        <w:tc>
          <w:tcPr>
            <w:tcW w:type="dxa" w:w="7460"/>
            <w:tcBorders>
              <w:top w:val="single" w:color="D9D4CC" w:sz="1"/>
              <w:left w:val="single" w:color="D9D4CC" w:sz="1"/>
              <w:bottom w:val="single" w:color="D9D4CC" w:sz="1"/>
              <w:right w:val="single" w:color="D9D4CC" w:sz="1"/>
            </w:tcBorders>
            <w:shd w:fill="2F5D50" w:val="clear"/>
            <w:tcMar>
              <w:top w:type="dxa" w:w="70"/>
              <w:left w:type="dxa" w:w="110"/>
              <w:bottom w:type="dxa" w:w="70"/>
              <w:right w:type="dxa" w:w="110"/>
            </w:tcMar>
            <w:vAlign w:val="center"/>
          </w:tcPr>
          <w:p>
            <w:pPr>
              <w:spacing w:after="0"/>
            </w:pPr>
            <w:r>
              <w:rPr>
                <w:b/>
                <w:bCs/>
                <w:color w:val="FFFFFF"/>
                <w:sz w:val="20"/>
                <w:szCs w:val="20"/>
              </w:rPr>
              <w:t xml:space="preserve">概要</w:t>
            </w:r>
          </w:p>
        </w:tc>
      </w:tr>
      <w:tr>
        <w:tc>
          <w:tcPr>
            <w:tcW w:type="dxa" w:w="19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幼児教育</w:t>
            </w:r>
          </w:p>
        </w:tc>
        <w:tc>
          <w:tcPr>
            <w:tcW w:type="dxa" w:w="74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公私立の認定こども園・幼稚園。里山のなかでの保育「里のとうかる」を全園で実施</w:t>
            </w:r>
          </w:p>
        </w:tc>
      </w:tr>
      <w:tr>
        <w:tc>
          <w:tcPr>
            <w:tcW w:type="dxa" w:w="19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小学校</w:t>
            </w:r>
          </w:p>
        </w:tc>
        <w:tc>
          <w:tcPr>
            <w:tcW w:type="dxa" w:w="74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市立6校。1学級25人以下。理科・探究の時間を厚く確保</w:t>
            </w:r>
          </w:p>
        </w:tc>
      </w:tr>
      <w:tr>
        <w:tc>
          <w:tcPr>
            <w:tcW w:type="dxa" w:w="19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中学校</w:t>
            </w:r>
          </w:p>
        </w:tc>
        <w:tc>
          <w:tcPr>
            <w:tcW w:type="dxa" w:w="74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市立3校。企業・研究所と連携した職業探究プログラム</w:t>
            </w:r>
          </w:p>
        </w:tc>
      </w:tr>
      <w:tr>
        <w:tc>
          <w:tcPr>
            <w:tcW w:type="dxa" w:w="19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高等学校</w:t>
            </w:r>
          </w:p>
        </w:tc>
        <w:tc>
          <w:tcPr>
            <w:tcW w:type="dxa" w:w="74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普通科・理数科に加え、ものづくり系の学科を擁する。後述の特色校あり</w:t>
            </w:r>
          </w:p>
        </w:tc>
      </w:tr>
      <w:tr>
        <w:tc>
          <w:tcPr>
            <w:tcW w:type="dxa" w:w="19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専門・高等教育</w:t>
            </w:r>
          </w:p>
        </w:tc>
        <w:tc>
          <w:tcPr>
            <w:tcW w:type="dxa" w:w="74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市内に大学はなし。素材・ものづくり系と、保育・介護系の専門学校が立地。大学進学者は新幹線で首都圏へ</w:t>
            </w:r>
          </w:p>
        </w:tc>
      </w:tr>
    </w:tbl>
    <w:p>
      <w:pPr>
        <w:pStyle w:val="Heading2"/>
      </w:pPr>
      <w:r>
        <w:t xml:space="preserve">6.3 特色ある学校・教育機関</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5260"/>
      </w:tblGrid>
      <w:tr>
        <w:trPr>
          <w:tblHeader/>
        </w:trPr>
        <w:tc>
          <w:tcPr>
            <w:tcW w:type="dxa" w:w="2400"/>
            <w:tcBorders>
              <w:top w:val="single" w:color="D9D4CC" w:sz="1"/>
              <w:left w:val="single" w:color="D9D4CC" w:sz="1"/>
              <w:bottom w:val="single" w:color="D9D4CC" w:sz="1"/>
              <w:right w:val="single" w:color="D9D4CC" w:sz="1"/>
            </w:tcBorders>
            <w:shd w:fill="2F5D50" w:val="clear"/>
            <w:tcMar>
              <w:top w:type="dxa" w:w="70"/>
              <w:left w:type="dxa" w:w="110"/>
              <w:bottom w:type="dxa" w:w="70"/>
              <w:right w:type="dxa" w:w="110"/>
            </w:tcMar>
            <w:vAlign w:val="center"/>
          </w:tcPr>
          <w:p>
            <w:pPr>
              <w:spacing w:after="0"/>
            </w:pPr>
            <w:r>
              <w:rPr>
                <w:b/>
                <w:bCs/>
                <w:color w:val="FFFFFF"/>
                <w:sz w:val="20"/>
                <w:szCs w:val="20"/>
              </w:rPr>
              <w:t xml:space="preserve">名称</w:t>
            </w:r>
          </w:p>
        </w:tc>
        <w:tc>
          <w:tcPr>
            <w:tcW w:type="dxa" w:w="1700"/>
            <w:tcBorders>
              <w:top w:val="single" w:color="D9D4CC" w:sz="1"/>
              <w:left w:val="single" w:color="D9D4CC" w:sz="1"/>
              <w:bottom w:val="single" w:color="D9D4CC" w:sz="1"/>
              <w:right w:val="single" w:color="D9D4CC" w:sz="1"/>
            </w:tcBorders>
            <w:shd w:fill="2F5D50" w:val="clear"/>
            <w:tcMar>
              <w:top w:type="dxa" w:w="70"/>
              <w:left w:type="dxa" w:w="110"/>
              <w:bottom w:type="dxa" w:w="70"/>
              <w:right w:type="dxa" w:w="110"/>
            </w:tcMar>
            <w:vAlign w:val="center"/>
          </w:tcPr>
          <w:p>
            <w:pPr>
              <w:spacing w:after="0"/>
            </w:pPr>
            <w:r>
              <w:rPr>
                <w:b/>
                <w:bCs/>
                <w:color w:val="FFFFFF"/>
                <w:sz w:val="20"/>
                <w:szCs w:val="20"/>
              </w:rPr>
              <w:t xml:space="preserve">種別</w:t>
            </w:r>
          </w:p>
        </w:tc>
        <w:tc>
          <w:tcPr>
            <w:tcW w:type="dxa" w:w="5260"/>
            <w:tcBorders>
              <w:top w:val="single" w:color="D9D4CC" w:sz="1"/>
              <w:left w:val="single" w:color="D9D4CC" w:sz="1"/>
              <w:bottom w:val="single" w:color="D9D4CC" w:sz="1"/>
              <w:right w:val="single" w:color="D9D4CC" w:sz="1"/>
            </w:tcBorders>
            <w:shd w:fill="2F5D50" w:val="clear"/>
            <w:tcMar>
              <w:top w:type="dxa" w:w="70"/>
              <w:left w:type="dxa" w:w="110"/>
              <w:bottom w:type="dxa" w:w="70"/>
              <w:right w:type="dxa" w:w="110"/>
            </w:tcMar>
            <w:vAlign w:val="center"/>
          </w:tcPr>
          <w:p>
            <w:pPr>
              <w:spacing w:after="0"/>
            </w:pPr>
            <w:r>
              <w:rPr>
                <w:b/>
                <w:bCs/>
                <w:color w:val="FFFFFF"/>
                <w:sz w:val="20"/>
                <w:szCs w:val="20"/>
              </w:rPr>
              <w:t xml:space="preserve">特色</w:t>
            </w:r>
          </w:p>
        </w:tc>
      </w:tr>
      <w:tr>
        <w:tc>
          <w:tcPr>
            <w:tcW w:type="dxa" w:w="24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県立東軽井沢理数高等学校</w:t>
            </w:r>
          </w:p>
        </w:tc>
        <w:tc>
          <w:tcPr>
            <w:tcW w:type="dxa" w:w="17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高校（理数科）</w:t>
            </w:r>
          </w:p>
        </w:tc>
        <w:tc>
          <w:tcPr>
            <w:tcW w:type="dxa" w:w="52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研究機構・企業と接続した先端研究プログラム。国際科学コンテストの常連</w:t>
            </w:r>
          </w:p>
        </w:tc>
      </w:tr>
      <w:tr>
        <w:tc>
          <w:tcPr>
            <w:tcW w:type="dxa" w:w="24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東軽井沢ものづくり高等専修学校</w:t>
            </w:r>
          </w:p>
        </w:tc>
        <w:tc>
          <w:tcPr>
            <w:tcW w:type="dxa" w:w="17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専門学校</w:t>
            </w:r>
          </w:p>
        </w:tc>
        <w:tc>
          <w:tcPr>
            <w:tcW w:type="dxa" w:w="52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素材・化学・電子・ロボティクスの実務人材を育成。市内企業と直結</w:t>
            </w:r>
          </w:p>
        </w:tc>
      </w:tr>
      <w:tr>
        <w:tc>
          <w:tcPr>
            <w:tcW w:type="dxa" w:w="24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東軽井沢ケアカレッジ</w:t>
            </w:r>
          </w:p>
        </w:tc>
        <w:tc>
          <w:tcPr>
            <w:tcW w:type="dxa" w:w="17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専門学校</w:t>
            </w:r>
          </w:p>
        </w:tc>
        <w:tc>
          <w:tcPr>
            <w:tcW w:type="dxa" w:w="52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保育・介護の専門人材を育成。シニア保育士養成やケア施設実習と連携</w:t>
            </w:r>
          </w:p>
        </w:tc>
      </w:tr>
      <w:tr>
        <w:tc>
          <w:tcPr>
            <w:tcW w:type="dxa" w:w="24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宿場通り小学校</w:t>
            </w:r>
          </w:p>
        </w:tc>
        <w:tc>
          <w:tcPr>
            <w:tcW w:type="dxa" w:w="17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市立小学校</w:t>
            </w:r>
          </w:p>
        </w:tc>
        <w:tc>
          <w:tcPr>
            <w:tcW w:type="dxa" w:w="52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歴史的町家を活用した校舎。地域文化・ものづくり教育の拠点</w:t>
            </w:r>
          </w:p>
        </w:tc>
      </w:tr>
      <w:tr>
        <w:tc>
          <w:tcPr>
            <w:tcW w:type="dxa" w:w="24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里山こども園</w:t>
            </w:r>
          </w:p>
        </w:tc>
        <w:tc>
          <w:tcPr>
            <w:tcW w:type="dxa" w:w="17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認定こども園</w:t>
            </w:r>
          </w:p>
        </w:tc>
        <w:tc>
          <w:tcPr>
            <w:tcW w:type="dxa" w:w="52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敷地の半分が里山の森。自然保育「里のとうかる」発祥園</w:t>
            </w:r>
          </w:p>
        </w:tc>
      </w:tr>
    </w:tbl>
    <w:p>
      <w:pPr>
        <w:spacing w:after="120" w:line="300"/>
      </w:pPr>
      <w:r>
        <w:t xml:space="preserve">「東軽井沢ケアカレッジ」は、市が掲げる『保育と介護のモデル都市』を人材面から支える要となる学校で、卒業後は市内の保育・介護現場に就く学生が多い。市の優遇制度（住宅補助・保育料全額補助）と組み合わせ、担い手の確保と定着につなげている。</w:t>
      </w:r>
    </w:p>
    <w:p>
      <w:pPr>
        <w:pStyle w:val="Heading2"/>
      </w:pPr>
      <w:r>
        <w:t xml:space="preserve">6.4 研究機関・産学連携</w:t>
      </w:r>
    </w:p>
    <w:p>
      <w:pPr>
        <w:spacing w:after="120" w:line="300"/>
      </w:pPr>
      <w:r>
        <w:t xml:space="preserve">見晴台研究学園地区には、公的研究機関と企業のR&amp;D拠点が集まり、人材と知識が地区内を循環する。高校生や専門学校生は在学中から企業の研究現場に触れ、卒業後そのまま市内に就職・起業する流れができている。</w:t>
      </w:r>
    </w:p>
    <w:p>
      <w:pPr>
        <w:pStyle w:val="ListParagraph"/>
        <w:numPr>
          <w:ilvl w:val="0"/>
          <w:numId w:val="3"/>
        </w:numPr>
        <w:spacing w:after="60" w:line="290"/>
      </w:pPr>
      <w:r>
        <w:t xml:space="preserve">東軽井沢先端素材研究機構（HIMS）：公設民営。次世代素材の基盤研究を担う中核機関。</w:t>
      </w:r>
    </w:p>
    <w:p>
      <w:pPr>
        <w:pStyle w:val="ListParagraph"/>
        <w:numPr>
          <w:ilvl w:val="0"/>
          <w:numId w:val="3"/>
        </w:numPr>
        <w:spacing w:after="60" w:line="290"/>
      </w:pPr>
      <w:r>
        <w:t xml:space="preserve">オープンラボ千石：企業・専門学校・スタートアップが装置を共用する共同研究施設。</w:t>
      </w:r>
    </w:p>
    <w:p>
      <w:pPr>
        <w:pStyle w:val="ListParagraph"/>
        <w:numPr>
          <w:ilvl w:val="0"/>
          <w:numId w:val="3"/>
        </w:numPr>
        <w:spacing w:after="60" w:line="290"/>
      </w:pPr>
      <w:r>
        <w:t xml:space="preserve">キッズ・ラボ：子ども向けに研究現場を開放する科学体験プログラム。</w:t>
      </w:r>
    </w:p>
    <w:p>
      <w:r>
        <w:br w:type="page"/>
      </w:r>
    </w:p>
    <w:p>
      <w:pPr>
        <w:pStyle w:val="Heading1"/>
      </w:pPr>
      <w:r>
        <w:t xml:space="preserve">7. 医療・福祉 ── 保育と介護のモデル都市</w:t>
      </w:r>
    </w:p>
    <w:p>
      <w:pPr>
        <w:spacing w:after="160" w:line="320"/>
      </w:pPr>
      <w:r>
        <w:rPr>
          <w:i/>
          <w:iCs/>
          <w:color w:val="2F5D50"/>
          <w:sz w:val="23"/>
          <w:szCs w:val="23"/>
        </w:rPr>
        <w:t xml:space="preserve">生まれてから、最後まで。そして、世代が互いに支え合う ── 東軽井沢市は「保育と介護の新しい道」を全国に示すモデル都市を目指す。</w:t>
      </w:r>
    </w:p>
    <w:p>
      <w:pPr>
        <w:spacing w:after="120" w:line="300"/>
      </w:pPr>
      <w:r>
        <w:t xml:space="preserve">東軽井沢市の福祉政策は、保育と介護を別々の制度として扱わない。「子どもを育て終えた世代が、次の子どもを育てる。介護される側が、誰かを支える側にもなる」── 世代と役割を循環させることで、人手不足を強みに変え、高齢者の生きがいと子育ての安心を同時に生み出す。これを市は「世代循環ケア」と呼び、都市政策の中心に据えている。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F5D50" w:sz="18"/>
              <w:bottom w:val="none"/>
              <w:right w:val="none"/>
            </w:tcBorders>
            <w:shd w:fill="E9EFEC" w:val="clear"/>
            <w:tcMar>
              <w:top w:type="dxa" w:w="120"/>
              <w:left w:type="dxa" w:w="200"/>
              <w:bottom w:type="dxa" w:w="120"/>
              <w:right w:type="dxa" w:w="160"/>
            </w:tcMar>
          </w:tcPr>
          <w:p>
            <w:pPr>
              <w:spacing w:after="80" w:line="290"/>
            </w:pPr>
            <w:r>
              <w:rPr>
                <w:b/>
                <w:bCs/>
                <w:color w:val="2F5D50"/>
                <w:sz w:val="22"/>
                <w:szCs w:val="22"/>
              </w:rPr>
              <w:t xml:space="preserve">保育と介護のモデル都市構想</w:t>
            </w:r>
          </w:p>
          <w:p>
            <w:pPr>
              <w:spacing w:after="0" w:line="290"/>
            </w:pPr>
            <w:r>
              <w:t xml:space="preserve">東軽井沢市は、保育と介護に最も力を入れる自治体として、両分野の新しい仕組みを実証し全国へ発信する「モデル都市」を目指す。鍵となるのは、子育てを終えたシニアが保育を担い、要介護に至る前の人が活躍の場を持ち、施設の入居者すらも誰かを支える側に回る ── 支える人と支えられる人の境界を、ゆるやかにすること。</w:t>
            </w:r>
          </w:p>
        </w:tc>
      </w:tr>
    </w:tbl>
    <w:p>
      <w:pPr>
        <w:pStyle w:val="Heading2"/>
      </w:pPr>
      <w:r>
        <w:t xml:space="preserve">7.1 医療体制</w:t>
      </w:r>
    </w:p>
    <w:p>
      <w:pPr>
        <w:spacing w:after="120" w:line="300"/>
      </w:pPr>
      <w:r>
        <w:t xml:space="preserve">市は人口規模に対して医療資源が手厚く、急性期から在宅まで切れ目なくつながる「地域医療連携ネットワーク」を構築している。市民の医療情報は本人同意のもとで連携され、どの医療機関でも一貫した診療が受けられ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D9D4CC" w:sz="1"/>
              <w:left w:val="single" w:color="D9D4CC" w:sz="1"/>
              <w:bottom w:val="single" w:color="D9D4CC" w:sz="1"/>
              <w:right w:val="single" w:color="D9D4CC" w:sz="1"/>
            </w:tcBorders>
            <w:shd w:fill="2F5D50" w:val="clear"/>
            <w:tcMar>
              <w:top w:type="dxa" w:w="70"/>
              <w:left w:type="dxa" w:w="110"/>
              <w:bottom w:type="dxa" w:w="70"/>
              <w:right w:type="dxa" w:w="110"/>
            </w:tcMar>
            <w:vAlign w:val="center"/>
          </w:tcPr>
          <w:p>
            <w:pPr>
              <w:spacing w:after="0"/>
            </w:pPr>
            <w:r>
              <w:rPr>
                <w:b/>
                <w:bCs/>
                <w:color w:val="FFFFFF"/>
                <w:sz w:val="20"/>
                <w:szCs w:val="20"/>
              </w:rPr>
              <w:t xml:space="preserve">医療機関</w:t>
            </w:r>
          </w:p>
        </w:tc>
        <w:tc>
          <w:tcPr>
            <w:tcW w:type="dxa" w:w="6660"/>
            <w:tcBorders>
              <w:top w:val="single" w:color="D9D4CC" w:sz="1"/>
              <w:left w:val="single" w:color="D9D4CC" w:sz="1"/>
              <w:bottom w:val="single" w:color="D9D4CC" w:sz="1"/>
              <w:right w:val="single" w:color="D9D4CC" w:sz="1"/>
            </w:tcBorders>
            <w:shd w:fill="2F5D50" w:val="clear"/>
            <w:tcMar>
              <w:top w:type="dxa" w:w="70"/>
              <w:left w:type="dxa" w:w="110"/>
              <w:bottom w:type="dxa" w:w="70"/>
              <w:right w:type="dxa" w:w="110"/>
            </w:tcMar>
            <w:vAlign w:val="center"/>
          </w:tcPr>
          <w:p>
            <w:pPr>
              <w:spacing w:after="0"/>
            </w:pPr>
            <w:r>
              <w:rPr>
                <w:b/>
                <w:bCs/>
                <w:color w:val="FFFFFF"/>
                <w:sz w:val="20"/>
                <w:szCs w:val="20"/>
              </w:rPr>
              <w:t xml:space="preserve">役割</w:t>
            </w:r>
          </w:p>
        </w:tc>
      </w:tr>
      <w:tr>
        <w:tc>
          <w:tcPr>
            <w:tcW w:type="dxa" w:w="27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東軽井沢市民総合病院</w:t>
            </w:r>
          </w:p>
        </w:tc>
        <w:tc>
          <w:tcPr>
            <w:tcW w:type="dxa" w:w="66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市の基幹病院。救命救急センターを併設し、24時間の高度急性期医療を担う</w:t>
            </w:r>
          </w:p>
        </w:tc>
      </w:tr>
      <w:tr>
        <w:tc>
          <w:tcPr>
            <w:tcW w:type="dxa" w:w="27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見晴台メディカルセンター</w:t>
            </w:r>
          </w:p>
        </w:tc>
        <w:tc>
          <w:tcPr>
            <w:tcW w:type="dxa" w:w="66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がん・循環器・生活習慣病に強い専門病院。研究機構と共同研究</w:t>
            </w:r>
          </w:p>
        </w:tc>
      </w:tr>
      <w:tr>
        <w:tc>
          <w:tcPr>
            <w:tcW w:type="dxa" w:w="27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地域クリニック群</w:t>
            </w:r>
          </w:p>
        </w:tc>
        <w:tc>
          <w:tcPr>
            <w:tcW w:type="dxa" w:w="66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市内各クラスターに配置。かかりつけ医として総合病院と連携</w:t>
            </w:r>
          </w:p>
        </w:tc>
      </w:tr>
      <w:tr>
        <w:tc>
          <w:tcPr>
            <w:tcW w:type="dxa" w:w="27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在宅医療・訪問看護ステーション</w:t>
            </w:r>
          </w:p>
        </w:tc>
        <w:tc>
          <w:tcPr>
            <w:tcW w:type="dxa" w:w="66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在宅療養を支える。24時間対応の連携体制</w:t>
            </w:r>
          </w:p>
        </w:tc>
      </w:tr>
    </w:tbl>
    <w:p>
      <w:pPr>
        <w:spacing w:after="120" w:line="300"/>
      </w:pPr>
      <w:r>
        <w:t xml:space="preserve">救命救急センターを核に、ドクターカーと連携した迅速な初期対応を行う。市内は約15分で救急搬送が可能な範囲に収まるよう医療拠点が配置され、里山部にはオンライン診療と巡回診療を組み合わせて対応する。</w:t>
      </w:r>
    </w:p>
    <w:p>
      <w:pPr>
        <w:pStyle w:val="Heading2"/>
      </w:pPr>
      <w:r>
        <w:t xml:space="preserve">7.2 保育 ── 育てる手を、街じゅうに</w:t>
      </w:r>
    </w:p>
    <w:p>
      <w:pPr>
        <w:spacing w:after="120" w:line="300"/>
      </w:pPr>
      <w:r>
        <w:t xml:space="preserve">市は「待機児童ゼロ」を継続するだけでなく、保育の担い手そのものを街全体で増やす仕組みを整えている。中心にあるのが、子育てを終えた世代を保育の戦力として迎える制度群である。</w:t>
      </w:r>
    </w:p>
    <w:p>
      <w:pPr>
        <w:pStyle w:val="Heading3"/>
      </w:pPr>
      <w:r>
        <w:t xml:space="preserve">7.2.1 シニア保育士制度</w:t>
      </w:r>
    </w:p>
    <w:p>
      <w:pPr>
        <w:spacing w:after="120" w:line="300"/>
      </w:pPr>
      <w:r>
        <w:t xml:space="preserve">子育てを終えたシニアが、その経験を活かして保育の現場に立つ制度。市が独自に養成講座と認定を行い、有資格の保育士を補佐する「シニア保育士」として有償で活躍できる。子どもにとっては「もう一人のおじいちゃん・おばあちゃん」が、現役保育士にとっては心強い支え手が増える。</w:t>
      </w:r>
    </w:p>
    <w:p>
      <w:pPr>
        <w:pStyle w:val="ListParagraph"/>
        <w:numPr>
          <w:ilvl w:val="0"/>
          <w:numId w:val="3"/>
        </w:numPr>
        <w:spacing w:after="60" w:line="290"/>
      </w:pPr>
      <w:r>
        <w:t xml:space="preserve">市独自の養成講座（無料）を修了するとシニア保育士として登録できる。</w:t>
      </w:r>
    </w:p>
    <w:p>
      <w:pPr>
        <w:pStyle w:val="ListParagraph"/>
        <w:numPr>
          <w:ilvl w:val="0"/>
          <w:numId w:val="3"/>
        </w:numPr>
        <w:spacing w:after="60" w:line="290"/>
      </w:pPr>
      <w:r>
        <w:t xml:space="preserve">勤務はシフト制で、短時間・週数日からの参加が可能。年齢に合わせた無理のない働き方。</w:t>
      </w:r>
    </w:p>
    <w:p>
      <w:pPr>
        <w:pStyle w:val="ListParagraph"/>
        <w:numPr>
          <w:ilvl w:val="0"/>
          <w:numId w:val="3"/>
        </w:numPr>
        <w:spacing w:after="60" w:line="290"/>
      </w:pPr>
      <w:r>
        <w:t xml:space="preserve">活動には報酬に加え「とうかる元気ポイント」が付与され、生活に還元される。</w:t>
      </w:r>
    </w:p>
    <w:p>
      <w:pPr>
        <w:pStyle w:val="Heading3"/>
      </w:pPr>
      <w:r>
        <w:t xml:space="preserve">7.2.2 東軽保育園 × 東軽シニア園</w:t>
      </w:r>
    </w:p>
    <w:p>
      <w:pPr>
        <w:spacing w:after="120" w:line="300"/>
      </w:pPr>
      <w:r>
        <w:t xml:space="preserve">市の中核施設として、保育園と高齢者の通所施設を同じ敷地・同じ建物に併設した「東軽保育園 × 東軽シニア園」を整備する。子どもとシニアが日常的に交流し、行事・食事・遊びを共にする。子どもは多世代のなかで育ち、シニアは役割と笑顔を得る ── 世代循環ケアを象徴する施設である。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5B7C8A" w:sz="18"/>
              <w:bottom w:val="none"/>
              <w:right w:val="none"/>
            </w:tcBorders>
            <w:shd w:fill="F5F3EE" w:val="clear"/>
            <w:tcMar>
              <w:top w:type="dxa" w:w="120"/>
              <w:left w:type="dxa" w:w="200"/>
              <w:bottom w:type="dxa" w:w="120"/>
              <w:right w:type="dxa" w:w="160"/>
            </w:tcMar>
          </w:tcPr>
          <w:p>
            <w:pPr>
              <w:spacing w:after="80" w:line="290"/>
            </w:pPr>
            <w:r>
              <w:rPr>
                <w:b/>
                <w:bCs/>
                <w:color w:val="2F5D50"/>
                <w:sz w:val="21"/>
                <w:szCs w:val="21"/>
              </w:rPr>
              <w:t xml:space="preserve">東軽保育園 × 東軽シニア園</w:t>
            </w:r>
          </w:p>
          <w:p>
            <w:pPr>
              <w:spacing w:after="0" w:line="290"/>
            </w:pPr>
            <w:r>
              <w:t xml:space="preserve">同一施設内で、保育園児とシニア園の利用者が一日の多くの時間を共有。シニア保育士制度の実践の場でもあり、子どもの成長とシニアの介護予防を同時に実現する全国モデル。</w:t>
            </w:r>
          </w:p>
        </w:tc>
      </w:tr>
    </w:tbl>
    <w:p>
      <w:pPr>
        <w:pStyle w:val="Heading3"/>
      </w:pPr>
      <w:r>
        <w:t xml:space="preserve">7.2.3 ベビーシッター登録制度</w:t>
      </w:r>
    </w:p>
    <w:p>
      <w:pPr>
        <w:spacing w:after="120" w:line="300"/>
      </w:pPr>
      <w:r>
        <w:t xml:space="preserve">市内の子育てを終えた人を対象に、市が研修・登録を行う独自のベビーシッター制度。登録者は身元と研修が市に保証され、利用者は安心して依頼できる。通常の保育に加え、病児保育や土日・夜間など、既存の保育では手が届きにくい時間帯にも対応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D9D4CC" w:sz="1"/>
              <w:left w:val="single" w:color="D9D4CC" w:sz="1"/>
              <w:bottom w:val="single" w:color="D9D4CC" w:sz="1"/>
              <w:right w:val="single" w:color="D9D4CC" w:sz="1"/>
            </w:tcBorders>
            <w:shd w:fill="2F5D50" w:val="clear"/>
            <w:tcMar>
              <w:top w:type="dxa" w:w="70"/>
              <w:left w:type="dxa" w:w="110"/>
              <w:bottom w:type="dxa" w:w="70"/>
              <w:right w:type="dxa" w:w="110"/>
            </w:tcMar>
            <w:vAlign w:val="center"/>
          </w:tcPr>
          <w:p>
            <w:pPr>
              <w:spacing w:after="0"/>
            </w:pPr>
            <w:r>
              <w:rPr>
                <w:b/>
                <w:bCs/>
                <w:color w:val="FFFFFF"/>
                <w:sz w:val="20"/>
                <w:szCs w:val="20"/>
              </w:rPr>
              <w:t xml:space="preserve">項目</w:t>
            </w:r>
          </w:p>
        </w:tc>
        <w:tc>
          <w:tcPr>
            <w:tcW w:type="dxa" w:w="7060"/>
            <w:tcBorders>
              <w:top w:val="single" w:color="D9D4CC" w:sz="1"/>
              <w:left w:val="single" w:color="D9D4CC" w:sz="1"/>
              <w:bottom w:val="single" w:color="D9D4CC" w:sz="1"/>
              <w:right w:val="single" w:color="D9D4CC" w:sz="1"/>
            </w:tcBorders>
            <w:shd w:fill="2F5D50" w:val="clear"/>
            <w:tcMar>
              <w:top w:type="dxa" w:w="70"/>
              <w:left w:type="dxa" w:w="110"/>
              <w:bottom w:type="dxa" w:w="70"/>
              <w:right w:type="dxa" w:w="110"/>
            </w:tcMar>
            <w:vAlign w:val="center"/>
          </w:tcPr>
          <w:p>
            <w:pPr>
              <w:spacing w:after="0"/>
            </w:pPr>
            <w:r>
              <w:rPr>
                <w:b/>
                <w:bCs/>
                <w:color w:val="FFFFFF"/>
                <w:sz w:val="20"/>
                <w:szCs w:val="20"/>
              </w:rPr>
              <w:t xml:space="preserve">内容</w:t>
            </w:r>
          </w:p>
        </w:tc>
      </w:tr>
      <w:tr>
        <w:tc>
          <w:tcPr>
            <w:tcW w:type="dxa" w:w="23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対象シッター</w:t>
            </w:r>
          </w:p>
        </w:tc>
        <w:tc>
          <w:tcPr>
            <w:tcW w:type="dxa" w:w="70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市内在住で子育てを終えた人。市の研修・身元確認を経て登録</w:t>
            </w:r>
          </w:p>
        </w:tc>
      </w:tr>
      <w:tr>
        <w:tc>
          <w:tcPr>
            <w:tcW w:type="dxa" w:w="23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利用できる時間</w:t>
            </w:r>
          </w:p>
        </w:tc>
        <w:tc>
          <w:tcPr>
            <w:tcW w:type="dxa" w:w="70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平日の延長時間に加え、土日・祝日・夜間も対応可</w:t>
            </w:r>
          </w:p>
        </w:tc>
      </w:tr>
      <w:tr>
        <w:tc>
          <w:tcPr>
            <w:tcW w:type="dxa" w:w="23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病児・病後児</w:t>
            </w:r>
          </w:p>
        </w:tc>
        <w:tc>
          <w:tcPr>
            <w:tcW w:type="dxa" w:w="70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研修を受けた登録者が、軽症の病児・病後児保育にも対応</w:t>
            </w:r>
          </w:p>
        </w:tc>
      </w:tr>
      <w:tr>
        <w:tc>
          <w:tcPr>
            <w:tcW w:type="dxa" w:w="23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マッチング</w:t>
            </w:r>
          </w:p>
        </w:tc>
        <w:tc>
          <w:tcPr>
            <w:tcW w:type="dxa" w:w="70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市独自のマッチングアプリ「とうかるシッター」で予約・決済・評価を一括</w:t>
            </w:r>
          </w:p>
        </w:tc>
      </w:tr>
      <w:tr>
        <w:tc>
          <w:tcPr>
            <w:tcW w:type="dxa" w:w="23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利用料</w:t>
            </w:r>
          </w:p>
        </w:tc>
        <w:tc>
          <w:tcPr>
            <w:tcW w:type="dxa" w:w="70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市が一部を補助。子育て世帯の負担を抑える</w:t>
            </w:r>
          </w:p>
        </w:tc>
      </w:tr>
    </w:tbl>
    <w:p>
      <w:pPr>
        <w:spacing w:after="120" w:line="300"/>
      </w:pPr>
      <w:r>
        <w:t xml:space="preserve">「とうかるシッター」は、利用者とシッターの条件・空き時間・相性をアプリ上でマッチングし、急な発熱や休日の預け先を素早く見つけられる。登録者の評価とサポート履歴が可視化され、双方が安心して使える仕組みになっている。</w:t>
      </w:r>
    </w:p>
    <w:p>
      <w:pPr>
        <w:pStyle w:val="Heading2"/>
      </w:pPr>
      <w:r>
        <w:t xml:space="preserve">7.3 介護 ── 支えられる側を、減らす街</w:t>
      </w:r>
    </w:p>
    <w:p>
      <w:pPr>
        <w:spacing w:after="120" w:line="300"/>
      </w:pPr>
      <w:r>
        <w:t xml:space="preserve">市の介護政策の核心は、「要介護になってから手厚く支える」前に、「要介護にならないよう先回りする」ことにある。要支援にも至らない段階から関わり、心身の活動量と社会とのつながりを保つことで、介護への移行そのものを遅らせる ── 予防を起点とした介護モデルを構築している。</w:t>
      </w:r>
    </w:p>
    <w:p>
      <w:pPr>
        <w:pStyle w:val="Heading3"/>
      </w:pPr>
      <w:r>
        <w:t xml:space="preserve">7.3.1 東軽ミドルシニア園（仮称）</w:t>
      </w:r>
    </w:p>
    <w:p>
      <w:pPr>
        <w:spacing w:after="120" w:line="300"/>
      </w:pPr>
      <w:r>
        <w:t xml:space="preserve">要支援と、支援を必要としない自立段階のあいだにいる「ミドルシニア」のための通所施設。要介護への移行を防ぐことを目的とし、運動・栄養・認知活動・就労体験を組み合わせたプログラムを提供する。介護施設ではなく、「介護に入らないための施設」という新しい類型である。</w:t>
      </w:r>
    </w:p>
    <w:p>
      <w:pPr>
        <w:pStyle w:val="ListParagraph"/>
        <w:numPr>
          <w:ilvl w:val="0"/>
          <w:numId w:val="3"/>
        </w:numPr>
        <w:spacing w:after="60" w:line="290"/>
      </w:pPr>
      <w:r>
        <w:t xml:space="preserve">対象：要支援未満〜要支援の、自立して暮らしているが将来に備えたい層。</w:t>
      </w:r>
    </w:p>
    <w:p>
      <w:pPr>
        <w:pStyle w:val="ListParagraph"/>
        <w:numPr>
          <w:ilvl w:val="0"/>
          <w:numId w:val="3"/>
        </w:numPr>
        <w:spacing w:after="60" w:line="290"/>
      </w:pPr>
      <w:r>
        <w:t xml:space="preserve">内容：運動・口腔・栄養・認知のプログラムに、軽作業や地域活動への参加を組み合わせる。</w:t>
      </w:r>
    </w:p>
    <w:p>
      <w:pPr>
        <w:pStyle w:val="ListParagraph"/>
        <w:numPr>
          <w:ilvl w:val="0"/>
          <w:numId w:val="3"/>
        </w:numPr>
        <w:spacing w:after="60" w:line="290"/>
      </w:pPr>
      <w:r>
        <w:t xml:space="preserve">ねらい：要介護への移行を遅らせ、健康寿命を延ばす。市はその効果をデータで検証し全国へ発信。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08D57" w:sz="18"/>
              <w:bottom w:val="none"/>
              <w:right w:val="none"/>
            </w:tcBorders>
            <w:shd w:fill="F5F3EE" w:val="clear"/>
            <w:tcMar>
              <w:top w:type="dxa" w:w="120"/>
              <w:left w:type="dxa" w:w="200"/>
              <w:bottom w:type="dxa" w:w="120"/>
              <w:right w:type="dxa" w:w="160"/>
            </w:tcMar>
          </w:tcPr>
          <w:p>
            <w:pPr>
              <w:spacing w:after="80" w:line="290"/>
            </w:pPr>
            <w:r>
              <w:rPr>
                <w:b/>
                <w:bCs/>
                <w:color w:val="B08D57"/>
                <w:sz w:val="20"/>
                <w:szCs w:val="20"/>
              </w:rPr>
              <w:t xml:space="preserve">施設名称について（要検討）</w:t>
            </w:r>
          </w:p>
          <w:p>
            <w:pPr>
              <w:spacing w:after="0" w:line="290"/>
            </w:pPr>
            <w:r>
              <w:t xml:space="preserve">「東軽ミドルシニア園」は仮称。候補として、活躍を前向きに表す「東軽はつらつ園」「東軽現役クラブ」、世代をつなぐ意味の「東軽つなぎ園」なども検討対象とする。正式名称は今後の市民公募により決定する。</w:t>
            </w:r>
          </w:p>
        </w:tc>
      </w:tr>
    </w:tbl>
    <w:p>
      <w:pPr>
        <w:pStyle w:val="Heading3"/>
      </w:pPr>
      <w:r>
        <w:t xml:space="preserve">7.3.2 生涯現役支援 ── 入居者による労働支援</w:t>
      </w:r>
    </w:p>
    <w:p>
      <w:pPr>
        <w:spacing w:after="120" w:line="300"/>
      </w:pPr>
      <w:r>
        <w:t xml:space="preserve">老人施設の入居者が、希望に応じて軽作業や役割を担い、社会とのつながりと収入を得られる「生涯現役支援」を行う。施設内の手仕事、子ども向けの読み聞かせ、市内企業の在宅でできる軽作業など、一人ひとりの体力と意欲に合わせた仕事を用意する。「介護される人」から「まだ働ける人」へと、役割の捉え方を変える取り組みである。</w:t>
      </w:r>
    </w:p>
    <w:p>
      <w:pPr>
        <w:pStyle w:val="Heading3"/>
      </w:pPr>
      <w:r>
        <w:t xml:space="preserve">7.3.3 キッズニア × シニアバージョン</w:t>
      </w:r>
    </w:p>
    <w:p>
      <w:pPr>
        <w:spacing w:after="120" w:line="300"/>
      </w:pPr>
      <w:r>
        <w:t xml:space="preserve">子どもが職業を体験する施設「キッズニア」の発想を高齢者向けに展開した体験施設を整備する。シニアが、かつての職業や新しい仕事を「もう一度」体験し、得意を活かして社会参加できる場。ここでの活動はミドルシニア園や生涯現役支援とも接続し、楽しみながら介護予防につながる。</w:t>
      </w:r>
    </w:p>
    <w:p>
      <w:pPr>
        <w:pStyle w:val="Heading3"/>
      </w:pPr>
      <w:r>
        <w:t xml:space="preserve">7.3.4 介護職人材の優遇制度</w:t>
      </w:r>
    </w:p>
    <w:p>
      <w:pPr>
        <w:spacing w:after="120" w:line="300"/>
      </w:pPr>
      <w:r>
        <w:t xml:space="preserve">「保育と介護のモデル都市」を実現するには、担い手が欠かせない。市は介護職を最も大切にする自治体として、全国でも突出した優遇制度を設け、人材の確保と定着を図る。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D9D4CC" w:sz="1"/>
              <w:left w:val="single" w:color="D9D4CC" w:sz="1"/>
              <w:bottom w:val="single" w:color="D9D4CC" w:sz="1"/>
              <w:right w:val="single" w:color="D9D4CC" w:sz="1"/>
            </w:tcBorders>
            <w:shd w:fill="2F5D50" w:val="clear"/>
            <w:tcMar>
              <w:top w:type="dxa" w:w="70"/>
              <w:left w:type="dxa" w:w="110"/>
              <w:bottom w:type="dxa" w:w="70"/>
              <w:right w:type="dxa" w:w="110"/>
            </w:tcMar>
            <w:vAlign w:val="center"/>
          </w:tcPr>
          <w:p>
            <w:pPr>
              <w:spacing w:after="0"/>
            </w:pPr>
            <w:r>
              <w:rPr>
                <w:b/>
                <w:bCs/>
                <w:color w:val="FFFFFF"/>
                <w:sz w:val="20"/>
                <w:szCs w:val="20"/>
              </w:rPr>
              <w:t xml:space="preserve">優遇制度</w:t>
            </w:r>
          </w:p>
        </w:tc>
        <w:tc>
          <w:tcPr>
            <w:tcW w:type="dxa" w:w="7060"/>
            <w:tcBorders>
              <w:top w:val="single" w:color="D9D4CC" w:sz="1"/>
              <w:left w:val="single" w:color="D9D4CC" w:sz="1"/>
              <w:bottom w:val="single" w:color="D9D4CC" w:sz="1"/>
              <w:right w:val="single" w:color="D9D4CC" w:sz="1"/>
            </w:tcBorders>
            <w:shd w:fill="2F5D50" w:val="clear"/>
            <w:tcMar>
              <w:top w:type="dxa" w:w="70"/>
              <w:left w:type="dxa" w:w="110"/>
              <w:bottom w:type="dxa" w:w="70"/>
              <w:right w:type="dxa" w:w="110"/>
            </w:tcMar>
            <w:vAlign w:val="center"/>
          </w:tcPr>
          <w:p>
            <w:pPr>
              <w:spacing w:after="0"/>
            </w:pPr>
            <w:r>
              <w:rPr>
                <w:b/>
                <w:bCs/>
                <w:color w:val="FFFFFF"/>
                <w:sz w:val="20"/>
                <w:szCs w:val="20"/>
              </w:rPr>
              <w:t xml:space="preserve">内容</w:t>
            </w:r>
          </w:p>
        </w:tc>
      </w:tr>
      <w:tr>
        <w:tc>
          <w:tcPr>
            <w:tcW w:type="dxa" w:w="23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住宅補助</w:t>
            </w:r>
          </w:p>
        </w:tc>
        <w:tc>
          <w:tcPr>
            <w:tcW w:type="dxa" w:w="70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市内で働く介護職に、家賃または住宅取得費を手厚く補助。移住者も対象</w:t>
            </w:r>
          </w:p>
        </w:tc>
      </w:tr>
      <w:tr>
        <w:tc>
          <w:tcPr>
            <w:tcW w:type="dxa" w:w="23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保育料 全額補助</w:t>
            </w:r>
          </w:p>
        </w:tc>
        <w:tc>
          <w:tcPr>
            <w:tcW w:type="dxa" w:w="70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介護職として働く世帯の子の保育料を全額補助。働きながら子育てを両立</w:t>
            </w:r>
          </w:p>
        </w:tc>
      </w:tr>
      <w:tr>
        <w:tc>
          <w:tcPr>
            <w:tcW w:type="dxa" w:w="23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資格取得支援</w:t>
            </w:r>
          </w:p>
        </w:tc>
        <w:tc>
          <w:tcPr>
            <w:tcW w:type="dxa" w:w="70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介護資格の取得費用を市が負担。シニア保育士からの転身も支援</w:t>
            </w:r>
          </w:p>
        </w:tc>
      </w:tr>
      <w:tr>
        <w:tc>
          <w:tcPr>
            <w:tcW w:type="dxa" w:w="23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処遇上乗せ</w:t>
            </w:r>
          </w:p>
        </w:tc>
        <w:tc>
          <w:tcPr>
            <w:tcW w:type="dxa" w:w="70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市独自の処遇改善手当を上乗せし、安心して長く働ける環境を整える</w:t>
            </w:r>
          </w:p>
        </w:tc>
      </w:tr>
    </w:tbl>
    <w:p>
      <w:pPr>
        <w:pStyle w:val="Heading2"/>
      </w:pPr>
      <w:r>
        <w:t xml:space="preserve">7.4 高齢者福祉と地域包括ケア</w:t>
      </w:r>
    </w:p>
    <w:p>
      <w:pPr>
        <w:spacing w:after="120" w:line="300"/>
      </w:pPr>
      <w:r>
        <w:t xml:space="preserve">「住み慣れた街で、最後まで自分らしく」を理念に、医療・介護・生活支援・住まいを一体で提供する地域包括ケアを整備。市独自の配車サービスにより、運転をやめた高齢者や山あいに暮らす人の移動を支え、孤立を防ぐ。前述の予防型施設・生涯現役支援と組み合わせることで、要介護になっても地域とのつながりが途切れない設計とする。</w:t>
      </w:r>
    </w:p>
    <w:p>
      <w:pPr>
        <w:pStyle w:val="ListParagraph"/>
        <w:numPr>
          <w:ilvl w:val="0"/>
          <w:numId w:val="3"/>
        </w:numPr>
        <w:spacing w:after="60" w:line="290"/>
      </w:pPr>
      <w:r>
        <w:t xml:space="preserve">地域包括支援センターを各生活拠点に設置し、相談から介護予防までを一括対応。</w:t>
      </w:r>
    </w:p>
    <w:p>
      <w:pPr>
        <w:pStyle w:val="ListParagraph"/>
        <w:numPr>
          <w:ilvl w:val="0"/>
          <w:numId w:val="3"/>
        </w:numPr>
        <w:spacing w:after="60" w:line="290"/>
      </w:pPr>
      <w:r>
        <w:t xml:space="preserve">シニア向けサービス付き住宅を住宅地内に分散配置し、世代の分断を防ぐ。</w:t>
      </w:r>
    </w:p>
    <w:p>
      <w:pPr>
        <w:pStyle w:val="ListParagraph"/>
        <w:numPr>
          <w:ilvl w:val="0"/>
          <w:numId w:val="3"/>
        </w:numPr>
        <w:spacing w:after="60" w:line="290"/>
      </w:pPr>
      <w:r>
        <w:t xml:space="preserve">「とうかる元気ポイント」：健康活動・地域貢献・シニア保育などに応じて付与し生活に還元。</w:t>
      </w:r>
    </w:p>
    <w:p>
      <w:pPr>
        <w:pStyle w:val="Heading2"/>
      </w:pPr>
      <w:r>
        <w:t xml:space="preserve">7.5 子育て・障がい福祉</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9D4CC" w:sz="1"/>
              <w:left w:val="single" w:color="D9D4CC" w:sz="1"/>
              <w:bottom w:val="single" w:color="D9D4CC" w:sz="1"/>
              <w:right w:val="single" w:color="D9D4CC" w:sz="1"/>
            </w:tcBorders>
            <w:shd w:fill="2F5D50" w:val="clear"/>
            <w:tcMar>
              <w:top w:type="dxa" w:w="70"/>
              <w:left w:type="dxa" w:w="110"/>
              <w:bottom w:type="dxa" w:w="70"/>
              <w:right w:type="dxa" w:w="110"/>
            </w:tcMar>
            <w:vAlign w:val="center"/>
          </w:tcPr>
          <w:p>
            <w:pPr>
              <w:spacing w:after="0"/>
            </w:pPr>
            <w:r>
              <w:rPr>
                <w:b/>
                <w:bCs/>
                <w:color w:val="FFFFFF"/>
                <w:sz w:val="20"/>
                <w:szCs w:val="20"/>
              </w:rPr>
              <w:t xml:space="preserve">分野</w:t>
            </w:r>
          </w:p>
        </w:tc>
        <w:tc>
          <w:tcPr>
            <w:tcW w:type="dxa" w:w="6960"/>
            <w:tcBorders>
              <w:top w:val="single" w:color="D9D4CC" w:sz="1"/>
              <w:left w:val="single" w:color="D9D4CC" w:sz="1"/>
              <w:bottom w:val="single" w:color="D9D4CC" w:sz="1"/>
              <w:right w:val="single" w:color="D9D4CC" w:sz="1"/>
            </w:tcBorders>
            <w:shd w:fill="2F5D50" w:val="clear"/>
            <w:tcMar>
              <w:top w:type="dxa" w:w="70"/>
              <w:left w:type="dxa" w:w="110"/>
              <w:bottom w:type="dxa" w:w="70"/>
              <w:right w:type="dxa" w:w="110"/>
            </w:tcMar>
            <w:vAlign w:val="center"/>
          </w:tcPr>
          <w:p>
            <w:pPr>
              <w:spacing w:after="0"/>
            </w:pPr>
            <w:r>
              <w:rPr>
                <w:b/>
                <w:bCs/>
                <w:color w:val="FFFFFF"/>
                <w:sz w:val="20"/>
                <w:szCs w:val="20"/>
              </w:rPr>
              <w:t xml:space="preserve">主な取り組み</w:t>
            </w:r>
          </w:p>
        </w:tc>
      </w:tr>
      <w:tr>
        <w:tc>
          <w:tcPr>
            <w:tcW w:type="dxa" w:w="24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子育て支援</w:t>
            </w:r>
          </w:p>
        </w:tc>
        <w:tc>
          <w:tcPr>
            <w:tcW w:type="dxa" w:w="69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産後ケア施設、病児保育、子育て世帯の交流拠点「とうかるひろば」を各地区に設置</w:t>
            </w:r>
          </w:p>
        </w:tc>
      </w:tr>
      <w:tr>
        <w:tc>
          <w:tcPr>
            <w:tcW w:type="dxa" w:w="24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医療的ケア児支援</w:t>
            </w:r>
          </w:p>
        </w:tc>
        <w:tc>
          <w:tcPr>
            <w:tcW w:type="dxa" w:w="69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保育・教育・医療が連携した受け入れ体制。専門コーディネーターを配置</w:t>
            </w:r>
          </w:p>
        </w:tc>
      </w:tr>
      <w:tr>
        <w:tc>
          <w:tcPr>
            <w:tcW w:type="dxa" w:w="24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障がい福祉</w:t>
            </w:r>
          </w:p>
        </w:tc>
        <w:tc>
          <w:tcPr>
            <w:tcW w:type="dxa" w:w="69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就労支援・生活支援を地域企業と連携。市内企業の障がい者雇用率は全国平均を上回る</w:t>
            </w:r>
          </w:p>
        </w:tc>
      </w:tr>
    </w:tbl>
    <w:p>
      <w:r>
        <w:br w:type="page"/>
      </w:r>
    </w:p>
    <w:p>
      <w:pPr>
        <w:pStyle w:val="Heading1"/>
      </w:pPr>
      <w:r>
        <w:t xml:space="preserve">8. 交通</w:t>
      </w:r>
    </w:p>
    <w:p>
      <w:pPr>
        <w:spacing w:after="160" w:line="320"/>
      </w:pPr>
      <w:r>
        <w:rPr>
          <w:i/>
          <w:iCs/>
          <w:color w:val="2F5D50"/>
          <w:sz w:val="23"/>
          <w:szCs w:val="23"/>
        </w:rPr>
        <w:t xml:space="preserve">山に囲まれた地形ゆえ、移動は車が基本。だからこそ、車を運転できない人も取り残さない ── 市独自の配車サービスが、移動の自由を支える。</w:t>
      </w:r>
    </w:p>
    <w:p>
      <w:pPr>
        <w:pStyle w:val="Heading2"/>
      </w:pPr>
      <w:r>
        <w:t xml:space="preserve">8.1 広域アクセス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D9D4CC" w:sz="1"/>
              <w:left w:val="single" w:color="D9D4CC" w:sz="1"/>
              <w:bottom w:val="single" w:color="D9D4CC" w:sz="1"/>
              <w:right w:val="single" w:color="D9D4CC" w:sz="1"/>
            </w:tcBorders>
            <w:shd w:fill="2F5D50" w:val="clear"/>
            <w:tcMar>
              <w:top w:type="dxa" w:w="70"/>
              <w:left w:type="dxa" w:w="110"/>
              <w:bottom w:type="dxa" w:w="70"/>
              <w:right w:type="dxa" w:w="110"/>
            </w:tcMar>
            <w:vAlign w:val="center"/>
          </w:tcPr>
          <w:p>
            <w:pPr>
              <w:spacing w:after="0"/>
            </w:pPr>
            <w:r>
              <w:rPr>
                <w:b/>
                <w:bCs/>
                <w:color w:val="FFFFFF"/>
                <w:sz w:val="20"/>
                <w:szCs w:val="20"/>
              </w:rPr>
              <w:t xml:space="preserve">手段</w:t>
            </w:r>
          </w:p>
        </w:tc>
        <w:tc>
          <w:tcPr>
            <w:tcW w:type="dxa" w:w="7460"/>
            <w:tcBorders>
              <w:top w:val="single" w:color="D9D4CC" w:sz="1"/>
              <w:left w:val="single" w:color="D9D4CC" w:sz="1"/>
              <w:bottom w:val="single" w:color="D9D4CC" w:sz="1"/>
              <w:right w:val="single" w:color="D9D4CC" w:sz="1"/>
            </w:tcBorders>
            <w:shd w:fill="2F5D50" w:val="clear"/>
            <w:tcMar>
              <w:top w:type="dxa" w:w="70"/>
              <w:left w:type="dxa" w:w="110"/>
              <w:bottom w:type="dxa" w:w="70"/>
              <w:right w:type="dxa" w:w="110"/>
            </w:tcMar>
            <w:vAlign w:val="center"/>
          </w:tcPr>
          <w:p>
            <w:pPr>
              <w:spacing w:after="0"/>
            </w:pPr>
            <w:r>
              <w:rPr>
                <w:b/>
                <w:bCs/>
                <w:color w:val="FFFFFF"/>
                <w:sz w:val="20"/>
                <w:szCs w:val="20"/>
              </w:rPr>
              <w:t xml:space="preserve">内容</w:t>
            </w:r>
          </w:p>
        </w:tc>
      </w:tr>
      <w:tr>
        <w:tc>
          <w:tcPr>
            <w:tcW w:type="dxa" w:w="19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新幹線</w:t>
            </w:r>
          </w:p>
        </w:tc>
        <w:tc>
          <w:tcPr>
            <w:tcW w:type="dxa" w:w="74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東軽井沢駅から首都圏中心部まで約1時間。1時間に2〜3本</w:t>
            </w:r>
          </w:p>
        </w:tc>
      </w:tr>
      <w:tr>
        <w:tc>
          <w:tcPr>
            <w:tcW w:type="dxa" w:w="19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在来線</w:t>
            </w:r>
          </w:p>
        </w:tc>
        <w:tc>
          <w:tcPr>
            <w:tcW w:type="dxa" w:w="74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山あいの近隣都市を結ぶローカル線が2路線。観光・通勤に利用</w:t>
            </w:r>
          </w:p>
        </w:tc>
      </w:tr>
      <w:tr>
        <w:tc>
          <w:tcPr>
            <w:tcW w:type="dxa" w:w="19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高速道路</w:t>
            </w:r>
          </w:p>
        </w:tc>
        <w:tc>
          <w:tcPr>
            <w:tcW w:type="dxa" w:w="74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市街地近くにIC。内陸物流の要衝で、産業集積を支える</w:t>
            </w:r>
          </w:p>
        </w:tc>
      </w:tr>
      <w:tr>
        <w:tc>
          <w:tcPr>
            <w:tcW w:type="dxa" w:w="19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近隣の里山・温泉</w:t>
            </w:r>
          </w:p>
        </w:tc>
        <w:tc>
          <w:tcPr>
            <w:tcW w:type="dxa" w:w="74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車で20分ほどで里山の温泉地。週末の市民の行楽地でもある</w:t>
            </w:r>
          </w:p>
        </w:tc>
      </w:tr>
    </w:tbl>
    <w:p>
      <w:pPr>
        <w:pStyle w:val="Heading2"/>
      </w:pPr>
      <w:r>
        <w:t xml:space="preserve">8.2 市内交通 ── 車を前提に、移動の自由を保証する</w:t>
      </w:r>
    </w:p>
    <w:p>
      <w:pPr>
        <w:spacing w:after="120" w:line="300"/>
      </w:pPr>
      <w:r>
        <w:t xml:space="preserve">東軽井沢市は三方を山に囲まれた盆地に集落が点在する地形であり、日常の移動は自家用車が基本となる。市はこの現実を直視したうえで、「車を運転できない人を、地形のせいで孤立させない」ことを交通政策の根幹に据える。その中核が、市が運営する独自の配車サービス「とうかるライド」である。</w:t>
      </w:r>
    </w:p>
    <w:p>
      <w:pPr>
        <w:pStyle w:val="Heading3"/>
      </w:pPr>
      <w:r>
        <w:t xml:space="preserve">8.2.1 市独自配車サービス「とうかるライド」</w:t>
      </w:r>
    </w:p>
    <w:p>
      <w:pPr>
        <w:spacing w:after="120" w:line="300"/>
      </w:pPr>
      <w:r>
        <w:t xml:space="preserve">「とうかるライド」は、市内全域を対象とした市運営のオンデマンド配車サービスである。専用アプリまたは電話で呼ぶと、近くを走る車両が迎えに来て、目的地まで運ぶ。鉄道のような固定路線を持たないため、山あいの集落や住宅地の奥まで対応でき、財政負担の大きい大規模交通インフラを建設せずに「移動の足」を確保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D9D4CC" w:sz="1"/>
              <w:left w:val="single" w:color="D9D4CC" w:sz="1"/>
              <w:bottom w:val="single" w:color="D9D4CC" w:sz="1"/>
              <w:right w:val="single" w:color="D9D4CC" w:sz="1"/>
            </w:tcBorders>
            <w:shd w:fill="2F5D50" w:val="clear"/>
            <w:tcMar>
              <w:top w:type="dxa" w:w="70"/>
              <w:left w:type="dxa" w:w="110"/>
              <w:bottom w:type="dxa" w:w="70"/>
              <w:right w:type="dxa" w:w="110"/>
            </w:tcMar>
            <w:vAlign w:val="center"/>
          </w:tcPr>
          <w:p>
            <w:pPr>
              <w:spacing w:after="0"/>
            </w:pPr>
            <w:r>
              <w:rPr>
                <w:b/>
                <w:bCs/>
                <w:color w:val="FFFFFF"/>
                <w:sz w:val="20"/>
                <w:szCs w:val="20"/>
              </w:rPr>
              <w:t xml:space="preserve">項目</w:t>
            </w:r>
          </w:p>
        </w:tc>
        <w:tc>
          <w:tcPr>
            <w:tcW w:type="dxa" w:w="7260"/>
            <w:tcBorders>
              <w:top w:val="single" w:color="D9D4CC" w:sz="1"/>
              <w:left w:val="single" w:color="D9D4CC" w:sz="1"/>
              <w:bottom w:val="single" w:color="D9D4CC" w:sz="1"/>
              <w:right w:val="single" w:color="D9D4CC" w:sz="1"/>
            </w:tcBorders>
            <w:shd w:fill="2F5D50" w:val="clear"/>
            <w:tcMar>
              <w:top w:type="dxa" w:w="70"/>
              <w:left w:type="dxa" w:w="110"/>
              <w:bottom w:type="dxa" w:w="70"/>
              <w:right w:type="dxa" w:w="110"/>
            </w:tcMar>
            <w:vAlign w:val="center"/>
          </w:tcPr>
          <w:p>
            <w:pPr>
              <w:spacing w:after="0"/>
            </w:pPr>
            <w:r>
              <w:rPr>
                <w:b/>
                <w:bCs/>
                <w:color w:val="FFFFFF"/>
                <w:sz w:val="20"/>
                <w:szCs w:val="20"/>
              </w:rPr>
              <w:t xml:space="preserve">内容</w:t>
            </w:r>
          </w:p>
        </w:tc>
      </w:tr>
      <w:tr>
        <w:tc>
          <w:tcPr>
            <w:tcW w:type="dxa" w:w="21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対象エリア</w:t>
            </w:r>
          </w:p>
        </w:tc>
        <w:tc>
          <w:tcPr>
            <w:tcW w:type="dxa" w:w="72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市内全域限定。市外への送迎は行わない</w:t>
            </w:r>
          </w:p>
        </w:tc>
      </w:tr>
      <w:tr>
        <w:tc>
          <w:tcPr>
            <w:tcW w:type="dxa" w:w="21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呼び方</w:t>
            </w:r>
          </w:p>
        </w:tc>
        <w:tc>
          <w:tcPr>
            <w:tcW w:type="dxa" w:w="72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アプリ「とうかるライド」または電話で配車。乗降所のほか自宅前も指定可</w:t>
            </w:r>
          </w:p>
        </w:tc>
      </w:tr>
      <w:tr>
        <w:tc>
          <w:tcPr>
            <w:tcW w:type="dxa" w:w="21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運行形態</w:t>
            </w:r>
          </w:p>
        </w:tc>
        <w:tc>
          <w:tcPr>
            <w:tcW w:type="dxa" w:w="72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予約・即時の両対応。同方向の利用者を相乗りでまとめ、効率と低料金を両立</w:t>
            </w:r>
          </w:p>
        </w:tc>
      </w:tr>
      <w:tr>
        <w:tc>
          <w:tcPr>
            <w:tcW w:type="dxa" w:w="21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料金</w:t>
            </w:r>
          </w:p>
        </w:tc>
        <w:tc>
          <w:tcPr>
            <w:tcW w:type="dxa" w:w="72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市が運営し低廉な定額・区間制。高齢者・子ども・通学・通院は割引</w:t>
            </w:r>
          </w:p>
        </w:tc>
      </w:tr>
      <w:tr>
        <w:tc>
          <w:tcPr>
            <w:tcW w:type="dxa" w:w="21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車両</w:t>
            </w:r>
          </w:p>
        </w:tc>
        <w:tc>
          <w:tcPr>
            <w:tcW w:type="dxa" w:w="72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ユニバーサルデザイン車両を含む。車いす・ベビーカーのまま乗車可</w:t>
            </w:r>
          </w:p>
        </w:tc>
      </w:tr>
      <w:tr>
        <w:tc>
          <w:tcPr>
            <w:tcW w:type="dxa" w:w="21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優先利用</w:t>
            </w:r>
          </w:p>
        </w:tc>
        <w:tc>
          <w:tcPr>
            <w:tcW w:type="dxa" w:w="72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運転免許を返納した高齢者、妊産婦、子育て世帯、通院者を優先枠で支援</w:t>
            </w:r>
          </w:p>
        </w:tc>
      </w:tr>
    </w:tbl>
    <w:p>
      <w:pPr>
        <w:spacing w:after="120" w:line="300"/>
      </w:pPr>
      <w:r>
        <w:t xml:space="preserve">「とうかるライド」アプリは、配車予約・相乗りマッチング・料金決済・到着案内を一括で行う。第7章の子育て支援（とうかるシッター）や高齢者の通院支援とも連携し、移動を必要とする人と車をつなぐ市の生活インフラとなっている。</w:t>
      </w:r>
    </w:p>
    <w:p>
      <w:pPr>
        <w:pStyle w:val="Heading3"/>
      </w:pPr>
      <w:r>
        <w:t xml:space="preserve">8.2.2 補完する交通</w:t>
      </w:r>
    </w:p>
    <w:p>
      <w:pPr>
        <w:pStyle w:val="ListParagraph"/>
        <w:numPr>
          <w:ilvl w:val="0"/>
          <w:numId w:val="3"/>
        </w:numPr>
        <w:spacing w:after="60" w:line="290"/>
      </w:pPr>
      <w:r>
        <w:t xml:space="preserve">コミュニティ巡回バス「みはらし号」：駅と主要拠点・病院を結ぶ低料金の定時運行。</w:t>
      </w:r>
    </w:p>
    <w:p>
      <w:pPr>
        <w:pStyle w:val="ListParagraph"/>
        <w:numPr>
          <w:ilvl w:val="0"/>
          <w:numId w:val="3"/>
        </w:numPr>
        <w:spacing w:after="60" w:line="290"/>
      </w:pPr>
      <w:r>
        <w:t xml:space="preserve">タクシー事業者との連携：繁忙時は地元タクシーと協調し、待ち時間を抑える。</w:t>
      </w:r>
    </w:p>
    <w:p>
      <w:pPr>
        <w:pStyle w:val="ListParagraph"/>
        <w:numPr>
          <w:ilvl w:val="0"/>
          <w:numId w:val="3"/>
        </w:numPr>
        <w:spacing w:after="60" w:line="290"/>
      </w:pPr>
      <w:r>
        <w:t xml:space="preserve">通学・通院の専用便：学校・病院の時間帯に合わせた配車枠を確保。</w:t>
      </w:r>
    </w:p>
    <w:p>
      <w:pPr>
        <w:pStyle w:val="Heading2"/>
      </w:pPr>
      <w:r>
        <w:t xml:space="preserve">8.3 自転車と歩行者の街</w:t>
      </w:r>
    </w:p>
    <w:p>
      <w:pPr>
        <w:spacing w:after="120" w:line="300"/>
      </w:pPr>
      <w:r>
        <w:t xml:space="preserve">車が基本とはいえ、市街地と各生活拠点の内部は「歩く速度に合わせた街」として設計されている。幹線沿いに連続した自転車道と広い歩道を整備し、河川沿いの緑道は通勤・通学路としても機能する。短距離は徒歩と自転車、拠点をまたぐ移動は車と配車サービス、という役割分担で街全体が成り立ってい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D9D4CC" w:sz="1"/>
              <w:left w:val="single" w:color="D9D4CC" w:sz="1"/>
              <w:bottom w:val="single" w:color="D9D4CC" w:sz="1"/>
              <w:right w:val="single" w:color="D9D4CC" w:sz="1"/>
            </w:tcBorders>
            <w:shd w:fill="2F5D50" w:val="clear"/>
            <w:tcMar>
              <w:top w:type="dxa" w:w="70"/>
              <w:left w:type="dxa" w:w="110"/>
              <w:bottom w:type="dxa" w:w="70"/>
              <w:right w:type="dxa" w:w="110"/>
            </w:tcMar>
            <w:vAlign w:val="center"/>
          </w:tcPr>
          <w:p>
            <w:pPr>
              <w:spacing w:after="0"/>
            </w:pPr>
            <w:r>
              <w:rPr>
                <w:b/>
                <w:bCs/>
                <w:color w:val="FFFFFF"/>
                <w:sz w:val="20"/>
                <w:szCs w:val="20"/>
              </w:rPr>
              <w:t xml:space="preserve">項目</w:t>
            </w:r>
          </w:p>
        </w:tc>
        <w:tc>
          <w:tcPr>
            <w:tcW w:type="dxa" w:w="7060"/>
            <w:tcBorders>
              <w:top w:val="single" w:color="D9D4CC" w:sz="1"/>
              <w:left w:val="single" w:color="D9D4CC" w:sz="1"/>
              <w:bottom w:val="single" w:color="D9D4CC" w:sz="1"/>
              <w:right w:val="single" w:color="D9D4CC" w:sz="1"/>
            </w:tcBorders>
            <w:shd w:fill="2F5D50" w:val="clear"/>
            <w:tcMar>
              <w:top w:type="dxa" w:w="70"/>
              <w:left w:type="dxa" w:w="110"/>
              <w:bottom w:type="dxa" w:w="70"/>
              <w:right w:type="dxa" w:w="110"/>
            </w:tcMar>
            <w:vAlign w:val="center"/>
          </w:tcPr>
          <w:p>
            <w:pPr>
              <w:spacing w:after="0"/>
            </w:pPr>
            <w:r>
              <w:rPr>
                <w:b/>
                <w:bCs/>
                <w:color w:val="FFFFFF"/>
                <w:sz w:val="20"/>
                <w:szCs w:val="20"/>
              </w:rPr>
              <w:t xml:space="preserve">内容</w:t>
            </w:r>
          </w:p>
        </w:tc>
      </w:tr>
      <w:tr>
        <w:tc>
          <w:tcPr>
            <w:tcW w:type="dxa" w:w="23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自転車道</w:t>
            </w:r>
          </w:p>
        </w:tc>
        <w:tc>
          <w:tcPr>
            <w:tcW w:type="dxa" w:w="70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幹線・緑道に連続整備。市内の主要拠点を安全に接続</w:t>
            </w:r>
          </w:p>
        </w:tc>
      </w:tr>
      <w:tr>
        <w:tc>
          <w:tcPr>
            <w:tcW w:type="dxa" w:w="23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シェアサイクル</w:t>
            </w:r>
          </w:p>
        </w:tc>
        <w:tc>
          <w:tcPr>
            <w:tcW w:type="dxa" w:w="70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「とうかるバイク」を駅・各生活拠点に配置。配車サービスと役割を補完</w:t>
            </w:r>
          </w:p>
        </w:tc>
      </w:tr>
      <w:tr>
        <w:tc>
          <w:tcPr>
            <w:tcW w:type="dxa" w:w="23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歩行者空間</w:t>
            </w:r>
          </w:p>
        </w:tc>
        <w:tc>
          <w:tcPr>
            <w:tcW w:type="dxa" w:w="70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宿場通り・駅前は歩行者優先。週末は一部車両通行止め</w:t>
            </w:r>
          </w:p>
        </w:tc>
      </w:tr>
      <w:tr>
        <w:tc>
          <w:tcPr>
            <w:tcW w:type="dxa" w:w="23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駐車場政策</w:t>
            </w:r>
          </w:p>
        </w:tc>
        <w:tc>
          <w:tcPr>
            <w:tcW w:type="dxa" w:w="70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拠点ごとに集約駐車場を整備し、街なかは歩行者を優先する設計</w:t>
            </w:r>
          </w:p>
        </w:tc>
      </w:tr>
    </w:tbl>
    <w:p>
      <w:r>
        <w:br w:type="page"/>
      </w:r>
    </w:p>
    <w:p>
      <w:pPr>
        <w:pStyle w:val="Heading1"/>
      </w:pPr>
      <w:r>
        <w:t xml:space="preserve">9. 観光・文化</w:t>
      </w:r>
    </w:p>
    <w:p>
      <w:pPr>
        <w:spacing w:after="160" w:line="320"/>
      </w:pPr>
      <w:r>
        <w:rPr>
          <w:i/>
          <w:iCs/>
          <w:color w:val="2F5D50"/>
          <w:sz w:val="23"/>
          <w:szCs w:val="23"/>
        </w:rPr>
        <w:t xml:space="preserve">暮らしの延長に、観光がある。住む人がいちばんの常連になる街。</w:t>
      </w:r>
    </w:p>
    <w:p>
      <w:pPr>
        <w:pStyle w:val="Heading2"/>
      </w:pPr>
      <w:r>
        <w:t xml:space="preserve">9.1 主な観光資源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600"/>
        <w:gridCol w:w="5460"/>
      </w:tblGrid>
      <w:tr>
        <w:trPr>
          <w:tblHeader/>
        </w:trPr>
        <w:tc>
          <w:tcPr>
            <w:tcW w:type="dxa" w:w="2300"/>
            <w:tcBorders>
              <w:top w:val="single" w:color="D9D4CC" w:sz="1"/>
              <w:left w:val="single" w:color="D9D4CC" w:sz="1"/>
              <w:bottom w:val="single" w:color="D9D4CC" w:sz="1"/>
              <w:right w:val="single" w:color="D9D4CC" w:sz="1"/>
            </w:tcBorders>
            <w:shd w:fill="2F5D50" w:val="clear"/>
            <w:tcMar>
              <w:top w:type="dxa" w:w="70"/>
              <w:left w:type="dxa" w:w="110"/>
              <w:bottom w:type="dxa" w:w="70"/>
              <w:right w:type="dxa" w:w="110"/>
            </w:tcMar>
            <w:vAlign w:val="center"/>
          </w:tcPr>
          <w:p>
            <w:pPr>
              <w:spacing w:after="0"/>
            </w:pPr>
            <w:r>
              <w:rPr>
                <w:b/>
                <w:bCs/>
                <w:color w:val="FFFFFF"/>
                <w:sz w:val="20"/>
                <w:szCs w:val="20"/>
              </w:rPr>
              <w:t xml:space="preserve">名称</w:t>
            </w:r>
          </w:p>
        </w:tc>
        <w:tc>
          <w:tcPr>
            <w:tcW w:type="dxa" w:w="1600"/>
            <w:tcBorders>
              <w:top w:val="single" w:color="D9D4CC" w:sz="1"/>
              <w:left w:val="single" w:color="D9D4CC" w:sz="1"/>
              <w:bottom w:val="single" w:color="D9D4CC" w:sz="1"/>
              <w:right w:val="single" w:color="D9D4CC" w:sz="1"/>
            </w:tcBorders>
            <w:shd w:fill="2F5D50" w:val="clear"/>
            <w:tcMar>
              <w:top w:type="dxa" w:w="70"/>
              <w:left w:type="dxa" w:w="110"/>
              <w:bottom w:type="dxa" w:w="70"/>
              <w:right w:type="dxa" w:w="110"/>
            </w:tcMar>
            <w:vAlign w:val="center"/>
          </w:tcPr>
          <w:p>
            <w:pPr>
              <w:spacing w:after="0"/>
            </w:pPr>
            <w:r>
              <w:rPr>
                <w:b/>
                <w:bCs/>
                <w:color w:val="FFFFFF"/>
                <w:sz w:val="20"/>
                <w:szCs w:val="20"/>
              </w:rPr>
              <w:t xml:space="preserve">種別</w:t>
            </w:r>
          </w:p>
        </w:tc>
        <w:tc>
          <w:tcPr>
            <w:tcW w:type="dxa" w:w="5460"/>
            <w:tcBorders>
              <w:top w:val="single" w:color="D9D4CC" w:sz="1"/>
              <w:left w:val="single" w:color="D9D4CC" w:sz="1"/>
              <w:bottom w:val="single" w:color="D9D4CC" w:sz="1"/>
              <w:right w:val="single" w:color="D9D4CC" w:sz="1"/>
            </w:tcBorders>
            <w:shd w:fill="2F5D50" w:val="clear"/>
            <w:tcMar>
              <w:top w:type="dxa" w:w="70"/>
              <w:left w:type="dxa" w:w="110"/>
              <w:bottom w:type="dxa" w:w="70"/>
              <w:right w:type="dxa" w:w="110"/>
            </w:tcMar>
            <w:vAlign w:val="center"/>
          </w:tcPr>
          <w:p>
            <w:pPr>
              <w:spacing w:after="0"/>
            </w:pPr>
            <w:r>
              <w:rPr>
                <w:b/>
                <w:bCs/>
                <w:color w:val="FFFFFF"/>
                <w:sz w:val="20"/>
                <w:szCs w:val="20"/>
              </w:rPr>
              <w:t xml:space="preserve">見どころ</w:t>
            </w:r>
          </w:p>
        </w:tc>
      </w:tr>
      <w:tr>
        <w:tc>
          <w:tcPr>
            <w:tcW w:type="dxa" w:w="23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宿場通り</w:t>
            </w:r>
          </w:p>
        </w:tc>
        <w:tc>
          <w:tcPr>
            <w:tcW w:type="dxa" w:w="16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歴史町並み</w:t>
            </w:r>
          </w:p>
        </w:tc>
        <w:tc>
          <w:tcPr>
            <w:tcW w:type="dxa" w:w="54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格子戸の町家、個店、ギャラリー。和ろうそくの「宿場あかり祭」</w:t>
            </w:r>
          </w:p>
        </w:tc>
      </w:tr>
      <w:tr>
        <w:tc>
          <w:tcPr>
            <w:tcW w:type="dxa" w:w="23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東軽井沢温泉郷</w:t>
            </w:r>
          </w:p>
        </w:tc>
        <w:tc>
          <w:tcPr>
            <w:tcW w:type="dxa" w:w="16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温泉</w:t>
            </w:r>
          </w:p>
        </w:tc>
        <w:tc>
          <w:tcPr>
            <w:tcW w:type="dxa" w:w="54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市街地近くの湧出。湯けむりの宿と日帰り湯。冬の雪見風呂が名物</w:t>
            </w:r>
          </w:p>
        </w:tc>
      </w:tr>
      <w:tr>
        <w:tc>
          <w:tcPr>
            <w:tcW w:type="dxa" w:w="23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見晴の丘</w:t>
            </w:r>
          </w:p>
        </w:tc>
        <w:tc>
          <w:tcPr>
            <w:tcW w:type="dxa" w:w="16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自然・展望</w:t>
            </w:r>
          </w:p>
        </w:tc>
        <w:tc>
          <w:tcPr>
            <w:tcW w:type="dxa" w:w="54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市街と三方の山並みを一望。朝霧と紅葉の名所</w:t>
            </w:r>
          </w:p>
        </w:tc>
      </w:tr>
      <w:tr>
        <w:tc>
          <w:tcPr>
            <w:tcW w:type="dxa" w:w="23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千石川グリーンウェイ</w:t>
            </w:r>
          </w:p>
        </w:tc>
        <w:tc>
          <w:tcPr>
            <w:tcW w:type="dxa" w:w="16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自然・緑道</w:t>
            </w:r>
          </w:p>
        </w:tc>
        <w:tc>
          <w:tcPr>
            <w:tcW w:type="dxa" w:w="54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桜並木と新緑、川沿いのカフェ。散歩・サイクリング</w:t>
            </w:r>
          </w:p>
        </w:tc>
      </w:tr>
      <w:tr>
        <w:tc>
          <w:tcPr>
            <w:tcW w:type="dxa" w:w="23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白嶺の里（車で約20分）</w:t>
            </w:r>
          </w:p>
        </w:tc>
        <w:tc>
          <w:tcPr>
            <w:tcW w:type="dxa" w:w="16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里山・自然</w:t>
            </w:r>
          </w:p>
        </w:tc>
        <w:tc>
          <w:tcPr>
            <w:tcW w:type="dxa" w:w="54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夏の涼、秋の紅葉、冬の雪景色。山あいの静かな行楽地</w:t>
            </w:r>
          </w:p>
        </w:tc>
      </w:tr>
      <w:tr>
        <w:tc>
          <w:tcPr>
            <w:tcW w:type="dxa" w:w="23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東軽井沢市立美術館</w:t>
            </w:r>
          </w:p>
        </w:tc>
        <w:tc>
          <w:tcPr>
            <w:tcW w:type="dxa" w:w="16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文化施設</w:t>
            </w:r>
          </w:p>
        </w:tc>
        <w:tc>
          <w:tcPr>
            <w:tcW w:type="dxa" w:w="54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石とガラスの建築。現代美術と地域の工芸を展示</w:t>
            </w:r>
          </w:p>
        </w:tc>
      </w:tr>
      <w:tr>
        <w:tc>
          <w:tcPr>
            <w:tcW w:type="dxa" w:w="23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素材科学館 MATERIA</w:t>
            </w:r>
          </w:p>
        </w:tc>
        <w:tc>
          <w:tcPr>
            <w:tcW w:type="dxa" w:w="16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産業観光</w:t>
            </w:r>
          </w:p>
        </w:tc>
        <w:tc>
          <w:tcPr>
            <w:tcW w:type="dxa" w:w="54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市の素材産業を体験的に学べる科学館。家族連れに人気</w:t>
            </w:r>
          </w:p>
        </w:tc>
      </w:tr>
      <w:tr>
        <w:tc>
          <w:tcPr>
            <w:tcW w:type="dxa" w:w="23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東軽プラムの園</w:t>
            </w:r>
          </w:p>
        </w:tc>
        <w:tc>
          <w:tcPr>
            <w:tcW w:type="dxa" w:w="16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食・果樹観光</w:t>
            </w:r>
          </w:p>
        </w:tc>
        <w:tc>
          <w:tcPr>
            <w:tcW w:type="dxa" w:w="54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梅・桃・プラムの果樹観光施設。花見・収穫体験・ジャムやジュースづくり</w:t>
            </w:r>
          </w:p>
        </w:tc>
      </w:tr>
    </w:tbl>
    <w:p>
      <w:pPr>
        <w:pStyle w:val="Heading2"/>
      </w:pPr>
      <w:r>
        <w:t xml:space="preserve">9.2 四季の表情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D9D4CC" w:sz="1"/>
              <w:left w:val="single" w:color="D9D4CC" w:sz="1"/>
              <w:bottom w:val="single" w:color="D9D4CC" w:sz="1"/>
              <w:right w:val="single" w:color="D9D4CC" w:sz="1"/>
            </w:tcBorders>
            <w:shd w:fill="2F5D50" w:val="clear"/>
            <w:tcMar>
              <w:top w:type="dxa" w:w="70"/>
              <w:left w:type="dxa" w:w="110"/>
              <w:bottom w:type="dxa" w:w="70"/>
              <w:right w:type="dxa" w:w="110"/>
            </w:tcMar>
            <w:vAlign w:val="center"/>
          </w:tcPr>
          <w:p>
            <w:pPr>
              <w:spacing w:after="0"/>
            </w:pPr>
            <w:r>
              <w:rPr>
                <w:b/>
                <w:bCs/>
                <w:color w:val="FFFFFF"/>
                <w:sz w:val="20"/>
                <w:szCs w:val="20"/>
              </w:rPr>
              <w:t xml:space="preserve">季節</w:t>
            </w:r>
          </w:p>
        </w:tc>
        <w:tc>
          <w:tcPr>
            <w:tcW w:type="dxa" w:w="7960"/>
            <w:tcBorders>
              <w:top w:val="single" w:color="D9D4CC" w:sz="1"/>
              <w:left w:val="single" w:color="D9D4CC" w:sz="1"/>
              <w:bottom w:val="single" w:color="D9D4CC" w:sz="1"/>
              <w:right w:val="single" w:color="D9D4CC" w:sz="1"/>
            </w:tcBorders>
            <w:shd w:fill="2F5D50" w:val="clear"/>
            <w:tcMar>
              <w:top w:type="dxa" w:w="70"/>
              <w:left w:type="dxa" w:w="110"/>
              <w:bottom w:type="dxa" w:w="70"/>
              <w:right w:type="dxa" w:w="110"/>
            </w:tcMar>
            <w:vAlign w:val="center"/>
          </w:tcPr>
          <w:p>
            <w:pPr>
              <w:spacing w:after="0"/>
            </w:pPr>
            <w:r>
              <w:rPr>
                <w:b/>
                <w:bCs/>
                <w:color w:val="FFFFFF"/>
                <w:sz w:val="20"/>
                <w:szCs w:val="20"/>
              </w:rPr>
              <w:t xml:space="preserve">風景とできごと</w:t>
            </w:r>
          </w:p>
        </w:tc>
      </w:tr>
      <w:tr>
        <w:tc>
          <w:tcPr>
            <w:tcW w:type="dxa" w:w="14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春</w:t>
            </w:r>
          </w:p>
        </w:tc>
        <w:tc>
          <w:tcPr>
            <w:tcW w:type="dxa" w:w="79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千石川の桜並木、新緑の里山、宿場通りの花めぐり</w:t>
            </w:r>
          </w:p>
        </w:tc>
      </w:tr>
      <w:tr>
        <w:tc>
          <w:tcPr>
            <w:tcW w:type="dxa" w:w="14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夏</w:t>
            </w:r>
          </w:p>
        </w:tc>
        <w:tc>
          <w:tcPr>
            <w:tcW w:type="dxa" w:w="79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冷涼な気候の涼、緑道のサイクリング、夜の星空観察</w:t>
            </w:r>
          </w:p>
        </w:tc>
      </w:tr>
      <w:tr>
        <w:tc>
          <w:tcPr>
            <w:tcW w:type="dxa" w:w="14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秋</w:t>
            </w:r>
          </w:p>
        </w:tc>
        <w:tc>
          <w:tcPr>
            <w:tcW w:type="dxa" w:w="79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見晴の丘と里山の紅葉、収穫祭、宿場あかり祭</w:t>
            </w:r>
          </w:p>
        </w:tc>
      </w:tr>
      <w:tr>
        <w:tc>
          <w:tcPr>
            <w:tcW w:type="dxa" w:w="14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冬</w:t>
            </w:r>
          </w:p>
        </w:tc>
        <w:tc>
          <w:tcPr>
            <w:tcW w:type="dxa" w:w="79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晴天の雪景色、温泉郷の雪見風呂、里山の雪遊び</w:t>
            </w:r>
          </w:p>
        </w:tc>
      </w:tr>
    </w:tbl>
    <w:p>
      <w:pPr>
        <w:pStyle w:val="Heading2"/>
      </w:pPr>
      <w:r>
        <w:t xml:space="preserve">9.3 芸術・文化</w:t>
      </w:r>
    </w:p>
    <w:p>
      <w:pPr>
        <w:spacing w:after="120" w:line="300"/>
      </w:pPr>
      <w:r>
        <w:t xml:space="preserve">市は「つくる文化」を大切にし、素材産業の街らしくガラス・木工・金属の工芸が盛んである。美術館・工房・ギャラリーが街に点在し、市民が日常的に芸術に触れられる環境がある。</w:t>
      </w:r>
    </w:p>
    <w:p>
      <w:pPr>
        <w:pStyle w:val="ListParagraph"/>
        <w:numPr>
          <w:ilvl w:val="0"/>
          <w:numId w:val="3"/>
        </w:numPr>
        <w:spacing w:after="60" w:line="290"/>
      </w:pPr>
      <w:r>
        <w:t xml:space="preserve">東軽井沢国際ガラス・ビエンナーレ：2年に一度、素材をテーマにした国際芸術祭。</w:t>
      </w:r>
    </w:p>
    <w:p>
      <w:pPr>
        <w:pStyle w:val="ListParagraph"/>
        <w:numPr>
          <w:ilvl w:val="0"/>
          <w:numId w:val="3"/>
        </w:numPr>
        <w:spacing w:after="60" w:line="290"/>
      </w:pPr>
      <w:r>
        <w:t xml:space="preserve">まちなか工房めぐり：市内の工房を一斉開放し、制作見学と体験を提供。</w:t>
      </w:r>
    </w:p>
    <w:p>
      <w:pPr>
        <w:pStyle w:val="ListParagraph"/>
        <w:numPr>
          <w:ilvl w:val="0"/>
          <w:numId w:val="3"/>
        </w:numPr>
        <w:spacing w:after="60" w:line="290"/>
      </w:pPr>
      <w:r>
        <w:t xml:space="preserve">宿場の音楽会：歴史的建物を会場にした小規模クラシック・ジャズの演奏会。</w:t>
      </w:r>
    </w:p>
    <w:p>
      <w:r>
        <w:br w:type="page"/>
      </w:r>
    </w:p>
    <w:p>
      <w:pPr>
        <w:pStyle w:val="Heading1"/>
      </w:pPr>
      <w:r>
        <w:t xml:space="preserve">10. 産業・企業</w:t>
      </w:r>
    </w:p>
    <w:p>
      <w:pPr>
        <w:spacing w:after="160" w:line="320"/>
      </w:pPr>
      <w:r>
        <w:rPr>
          <w:i/>
          <w:iCs/>
          <w:color w:val="2F5D50"/>
          <w:sz w:val="23"/>
          <w:szCs w:val="23"/>
        </w:rPr>
        <w:t xml:space="preserve">世界の製品の「見えない中身」を、この盆地がつくっている。素材・化学・電子材料の集積地。</w:t>
      </w:r>
    </w:p>
    <w:p>
      <w:pPr>
        <w:pStyle w:val="Heading2"/>
      </w:pPr>
      <w:r>
        <w:t xml:space="preserve">10.1 産業構造</w:t>
      </w:r>
    </w:p>
    <w:p>
      <w:pPr>
        <w:spacing w:after="120" w:line="300"/>
      </w:pPr>
      <w:r>
        <w:t xml:space="preserve">東軽井沢市の経済は、素材・化学・電子材料・精密化学を中心とする「中間財・素材型」の産業構造を持つ。最終製品ではなく、世界中の製品に組み込まれる高機能素材や部材を供給する企業が多く、景気変動に比較的強い高付加価値型の経済を形成している。</w:t>
      </w:r>
    </w:p>
    <w:p>
      <w:pPr>
        <w:pStyle w:val="Heading2"/>
      </w:pPr>
      <w:r>
        <w:t xml:space="preserve">10.2 主要企業（すべて架空）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5160"/>
      </w:tblGrid>
      <w:tr>
        <w:trPr>
          <w:tblHeader/>
        </w:trPr>
        <w:tc>
          <w:tcPr>
            <w:tcW w:type="dxa" w:w="2300"/>
            <w:tcBorders>
              <w:top w:val="single" w:color="D9D4CC" w:sz="1"/>
              <w:left w:val="single" w:color="D9D4CC" w:sz="1"/>
              <w:bottom w:val="single" w:color="D9D4CC" w:sz="1"/>
              <w:right w:val="single" w:color="D9D4CC" w:sz="1"/>
            </w:tcBorders>
            <w:shd w:fill="2F5D50" w:val="clear"/>
            <w:tcMar>
              <w:top w:type="dxa" w:w="70"/>
              <w:left w:type="dxa" w:w="110"/>
              <w:bottom w:type="dxa" w:w="70"/>
              <w:right w:type="dxa" w:w="110"/>
            </w:tcMar>
            <w:vAlign w:val="center"/>
          </w:tcPr>
          <w:p>
            <w:pPr>
              <w:spacing w:after="0"/>
            </w:pPr>
            <w:r>
              <w:rPr>
                <w:b/>
                <w:bCs/>
                <w:color w:val="FFFFFF"/>
                <w:sz w:val="20"/>
                <w:szCs w:val="20"/>
              </w:rPr>
              <w:t xml:space="preserve">企業名</w:t>
            </w:r>
          </w:p>
        </w:tc>
        <w:tc>
          <w:tcPr>
            <w:tcW w:type="dxa" w:w="1900"/>
            <w:tcBorders>
              <w:top w:val="single" w:color="D9D4CC" w:sz="1"/>
              <w:left w:val="single" w:color="D9D4CC" w:sz="1"/>
              <w:bottom w:val="single" w:color="D9D4CC" w:sz="1"/>
              <w:right w:val="single" w:color="D9D4CC" w:sz="1"/>
            </w:tcBorders>
            <w:shd w:fill="2F5D50" w:val="clear"/>
            <w:tcMar>
              <w:top w:type="dxa" w:w="70"/>
              <w:left w:type="dxa" w:w="110"/>
              <w:bottom w:type="dxa" w:w="70"/>
              <w:right w:type="dxa" w:w="110"/>
            </w:tcMar>
            <w:vAlign w:val="center"/>
          </w:tcPr>
          <w:p>
            <w:pPr>
              <w:spacing w:after="0"/>
            </w:pPr>
            <w:r>
              <w:rPr>
                <w:b/>
                <w:bCs/>
                <w:color w:val="FFFFFF"/>
                <w:sz w:val="20"/>
                <w:szCs w:val="20"/>
              </w:rPr>
              <w:t xml:space="preserve">分野</w:t>
            </w:r>
          </w:p>
        </w:tc>
        <w:tc>
          <w:tcPr>
            <w:tcW w:type="dxa" w:w="5160"/>
            <w:tcBorders>
              <w:top w:val="single" w:color="D9D4CC" w:sz="1"/>
              <w:left w:val="single" w:color="D9D4CC" w:sz="1"/>
              <w:bottom w:val="single" w:color="D9D4CC" w:sz="1"/>
              <w:right w:val="single" w:color="D9D4CC" w:sz="1"/>
            </w:tcBorders>
            <w:shd w:fill="2F5D50" w:val="clear"/>
            <w:tcMar>
              <w:top w:type="dxa" w:w="70"/>
              <w:left w:type="dxa" w:w="110"/>
              <w:bottom w:type="dxa" w:w="70"/>
              <w:right w:type="dxa" w:w="110"/>
            </w:tcMar>
            <w:vAlign w:val="center"/>
          </w:tcPr>
          <w:p>
            <w:pPr>
              <w:spacing w:after="0"/>
            </w:pPr>
            <w:r>
              <w:rPr>
                <w:b/>
                <w:bCs/>
                <w:color w:val="FFFFFF"/>
                <w:sz w:val="20"/>
                <w:szCs w:val="20"/>
              </w:rPr>
              <w:t xml:space="preserve">概要</w:t>
            </w:r>
          </w:p>
        </w:tc>
      </w:tr>
      <w:tr>
        <w:tc>
          <w:tcPr>
            <w:tcW w:type="dxa" w:w="23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白嶺マテリアル</w:t>
            </w:r>
          </w:p>
        </w:tc>
        <w:tc>
          <w:tcPr>
            <w:tcW w:type="dxa" w:w="19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素材・特殊ガラス</w:t>
            </w:r>
          </w:p>
        </w:tc>
        <w:tc>
          <w:tcPr>
            <w:tcW w:type="dxa" w:w="51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高機能ガラス・光学材料で世界的シェア。市を代表する素材メーカー</w:t>
            </w:r>
          </w:p>
        </w:tc>
      </w:tr>
      <w:tr>
        <w:tc>
          <w:tcPr>
            <w:tcW w:type="dxa" w:w="23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セントク化成</w:t>
            </w:r>
          </w:p>
        </w:tc>
        <w:tc>
          <w:tcPr>
            <w:tcW w:type="dxa" w:w="19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精密化学</w:t>
            </w:r>
          </w:p>
        </w:tc>
        <w:tc>
          <w:tcPr>
            <w:tcW w:type="dxa" w:w="51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半導体製造用の高純度薬品・材料。微細加工分野の中核サプライヤー</w:t>
            </w:r>
          </w:p>
        </w:tc>
      </w:tr>
      <w:tr>
        <w:tc>
          <w:tcPr>
            <w:tcW w:type="dxa" w:w="23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ミハラ電子材料</w:t>
            </w:r>
          </w:p>
        </w:tc>
        <w:tc>
          <w:tcPr>
            <w:tcW w:type="dxa" w:w="19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電子材料</w:t>
            </w:r>
          </w:p>
        </w:tc>
        <w:tc>
          <w:tcPr>
            <w:tcW w:type="dxa" w:w="51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回路基板・封止材・電子部品材料。世界の電子機器を下支え</w:t>
            </w:r>
          </w:p>
        </w:tc>
      </w:tr>
      <w:tr>
        <w:tc>
          <w:tcPr>
            <w:tcW w:type="dxa" w:w="23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千石セミコンマテリアル</w:t>
            </w:r>
          </w:p>
        </w:tc>
        <w:tc>
          <w:tcPr>
            <w:tcW w:type="dxa" w:w="19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半導体材料</w:t>
            </w:r>
          </w:p>
        </w:tc>
        <w:tc>
          <w:tcPr>
            <w:tcW w:type="dxa" w:w="51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ウェハ周辺材料・先端パッケージ材料を供給</w:t>
            </w:r>
          </w:p>
        </w:tc>
      </w:tr>
      <w:tr>
        <w:tc>
          <w:tcPr>
            <w:tcW w:type="dxa" w:w="23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コトブキ・エナジー</w:t>
            </w:r>
          </w:p>
        </w:tc>
        <w:tc>
          <w:tcPr>
            <w:tcW w:type="dxa" w:w="19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次世代エネルギー</w:t>
            </w:r>
          </w:p>
        </w:tc>
        <w:tc>
          <w:tcPr>
            <w:tcW w:type="dxa" w:w="51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蓄電・水素関連材料と、地域エネルギーマネジメント</w:t>
            </w:r>
          </w:p>
        </w:tc>
      </w:tr>
      <w:tr>
        <w:tc>
          <w:tcPr>
            <w:tcW w:type="dxa" w:w="23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桑葉メディカル</w:t>
            </w:r>
          </w:p>
        </w:tc>
        <w:tc>
          <w:tcPr>
            <w:tcW w:type="dxa" w:w="19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医療材料</w:t>
            </w:r>
          </w:p>
        </w:tc>
        <w:tc>
          <w:tcPr>
            <w:tcW w:type="dxa" w:w="51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人工関節・カテーテル等の医療用高機能素材</w:t>
            </w:r>
          </w:p>
        </w:tc>
      </w:tr>
      <w:tr>
        <w:tc>
          <w:tcPr>
            <w:tcW w:type="dxa" w:w="23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トウカル・ロボティクス</w:t>
            </w:r>
          </w:p>
        </w:tc>
        <w:tc>
          <w:tcPr>
            <w:tcW w:type="dxa" w:w="19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ロボティクス</w:t>
            </w:r>
          </w:p>
        </w:tc>
        <w:tc>
          <w:tcPr>
            <w:tcW w:type="dxa" w:w="51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研究・生産現場向けの精密ロボットと自動化システム</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F5D50" w:sz="18"/>
              <w:bottom w:val="none"/>
              <w:right w:val="none"/>
            </w:tcBorders>
            <w:shd w:fill="E9EFEC" w:val="clear"/>
            <w:tcMar>
              <w:top w:type="dxa" w:w="120"/>
              <w:left w:type="dxa" w:w="200"/>
              <w:bottom w:type="dxa" w:w="120"/>
              <w:right w:type="dxa" w:w="160"/>
            </w:tcMar>
          </w:tcPr>
          <w:p>
            <w:pPr>
              <w:spacing w:after="80" w:line="290"/>
            </w:pPr>
            <w:r>
              <w:rPr>
                <w:b/>
                <w:bCs/>
                <w:color w:val="2F5D50"/>
                <w:sz w:val="21"/>
                <w:szCs w:val="21"/>
              </w:rPr>
              <w:t xml:space="preserve">「素材の街」のかたち</w:t>
            </w:r>
          </w:p>
          <w:p>
            <w:pPr>
              <w:spacing w:after="0" w:line="290"/>
            </w:pPr>
            <w:r>
              <w:t xml:space="preserve">東軽井沢の企業は、互いに顧客であり共同研究者でもある。素材メーカーが化学メーカーに材料を供給し、電子材料メーカーがそれを加工し、ロボティクス企業が生産を自動化する ── 一つの盆地のなかでサプライチェーンの上流が完結する点が、この街の強みである。</w:t>
            </w:r>
          </w:p>
        </w:tc>
      </w:tr>
    </w:tbl>
    <w:p>
      <w:pPr>
        <w:pStyle w:val="Heading2"/>
      </w:pPr>
      <w:r>
        <w:t xml:space="preserve">10.3 研究開発とスタートアップ支援</w:t>
      </w:r>
    </w:p>
    <w:p>
      <w:pPr>
        <w:spacing w:after="120" w:line="300"/>
      </w:pPr>
      <w:r>
        <w:t xml:space="preserve">見晴台研究学園地区を中心に、大企業のR&amp;D拠点と公的研究機関、専門学校、そしてスタートアップが密集している。市は若い企業の挑戦を後押しする仕組みを整えている。</w:t>
      </w:r>
    </w:p>
    <w:p>
      <w:pPr>
        <w:pStyle w:val="ListParagraph"/>
        <w:numPr>
          <w:ilvl w:val="0"/>
          <w:numId w:val="3"/>
        </w:numPr>
        <w:spacing w:after="60" w:line="290"/>
      </w:pPr>
      <w:r>
        <w:t xml:space="preserve">オープンラボ千石：高額な研究装置を共用でき、起業初期の負担を下げる。</w:t>
      </w:r>
    </w:p>
    <w:p>
      <w:pPr>
        <w:pStyle w:val="ListParagraph"/>
        <w:numPr>
          <w:ilvl w:val="0"/>
          <w:numId w:val="3"/>
        </w:numPr>
        <w:spacing w:after="60" w:line="290"/>
      </w:pPr>
      <w:r>
        <w:t xml:space="preserve">素材系アクセラレーター「SEED-M」：市と企業が共同で出資・伴走支援。</w:t>
      </w:r>
    </w:p>
    <w:p>
      <w:pPr>
        <w:pStyle w:val="ListParagraph"/>
        <w:numPr>
          <w:ilvl w:val="0"/>
          <w:numId w:val="3"/>
        </w:numPr>
        <w:spacing w:after="60" w:line="290"/>
      </w:pPr>
      <w:r>
        <w:t xml:space="preserve">研究者・技術者向けの住宅・保育・配偶者就労支援を一体で提供し、人材定着を図る。</w:t>
      </w:r>
    </w:p>
    <w:p>
      <w:r>
        <w:br w:type="page"/>
      </w:r>
    </w:p>
    <w:p>
      <w:pPr>
        <w:pStyle w:val="Heading1"/>
      </w:pPr>
      <w:r>
        <w:t xml:space="preserve">11. 商業</w:t>
      </w:r>
    </w:p>
    <w:p>
      <w:pPr>
        <w:spacing w:after="160" w:line="320"/>
      </w:pPr>
      <w:r>
        <w:rPr>
          <w:i/>
          <w:iCs/>
          <w:color w:val="2F5D50"/>
          <w:sz w:val="23"/>
          <w:szCs w:val="23"/>
        </w:rPr>
        <w:t xml:space="preserve">大型店と個店が、奪い合わず棲み分ける。買い物が、街歩きそのものになる。</w:t>
      </w:r>
    </w:p>
    <w:p>
      <w:pPr>
        <w:pStyle w:val="Heading2"/>
      </w:pPr>
      <w:r>
        <w:t xml:space="preserve">11.1 商業の構成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5360"/>
      </w:tblGrid>
      <w:tr>
        <w:trPr>
          <w:tblHeader/>
        </w:trPr>
        <w:tc>
          <w:tcPr>
            <w:tcW w:type="dxa" w:w="2100"/>
            <w:tcBorders>
              <w:top w:val="single" w:color="D9D4CC" w:sz="1"/>
              <w:left w:val="single" w:color="D9D4CC" w:sz="1"/>
              <w:bottom w:val="single" w:color="D9D4CC" w:sz="1"/>
              <w:right w:val="single" w:color="D9D4CC" w:sz="1"/>
            </w:tcBorders>
            <w:shd w:fill="2F5D50" w:val="clear"/>
            <w:tcMar>
              <w:top w:type="dxa" w:w="70"/>
              <w:left w:type="dxa" w:w="110"/>
              <w:bottom w:type="dxa" w:w="70"/>
              <w:right w:type="dxa" w:w="110"/>
            </w:tcMar>
            <w:vAlign w:val="center"/>
          </w:tcPr>
          <w:p>
            <w:pPr>
              <w:spacing w:after="0"/>
            </w:pPr>
            <w:r>
              <w:rPr>
                <w:b/>
                <w:bCs/>
                <w:color w:val="FFFFFF"/>
                <w:sz w:val="20"/>
                <w:szCs w:val="20"/>
              </w:rPr>
              <w:t xml:space="preserve">エリア</w:t>
            </w:r>
          </w:p>
        </w:tc>
        <w:tc>
          <w:tcPr>
            <w:tcW w:type="dxa" w:w="1900"/>
            <w:tcBorders>
              <w:top w:val="single" w:color="D9D4CC" w:sz="1"/>
              <w:left w:val="single" w:color="D9D4CC" w:sz="1"/>
              <w:bottom w:val="single" w:color="D9D4CC" w:sz="1"/>
              <w:right w:val="single" w:color="D9D4CC" w:sz="1"/>
            </w:tcBorders>
            <w:shd w:fill="2F5D50" w:val="clear"/>
            <w:tcMar>
              <w:top w:type="dxa" w:w="70"/>
              <w:left w:type="dxa" w:w="110"/>
              <w:bottom w:type="dxa" w:w="70"/>
              <w:right w:type="dxa" w:w="110"/>
            </w:tcMar>
            <w:vAlign w:val="center"/>
          </w:tcPr>
          <w:p>
            <w:pPr>
              <w:spacing w:after="0"/>
            </w:pPr>
            <w:r>
              <w:rPr>
                <w:b/>
                <w:bCs/>
                <w:color w:val="FFFFFF"/>
                <w:sz w:val="20"/>
                <w:szCs w:val="20"/>
              </w:rPr>
              <w:t xml:space="preserve">性格</w:t>
            </w:r>
          </w:p>
        </w:tc>
        <w:tc>
          <w:tcPr>
            <w:tcW w:type="dxa" w:w="5360"/>
            <w:tcBorders>
              <w:top w:val="single" w:color="D9D4CC" w:sz="1"/>
              <w:left w:val="single" w:color="D9D4CC" w:sz="1"/>
              <w:bottom w:val="single" w:color="D9D4CC" w:sz="1"/>
              <w:right w:val="single" w:color="D9D4CC" w:sz="1"/>
            </w:tcBorders>
            <w:shd w:fill="2F5D50" w:val="clear"/>
            <w:tcMar>
              <w:top w:type="dxa" w:w="70"/>
              <w:left w:type="dxa" w:w="110"/>
              <w:bottom w:type="dxa" w:w="70"/>
              <w:right w:type="dxa" w:w="110"/>
            </w:tcMar>
            <w:vAlign w:val="center"/>
          </w:tcPr>
          <w:p>
            <w:pPr>
              <w:spacing w:after="0"/>
            </w:pPr>
            <w:r>
              <w:rPr>
                <w:b/>
                <w:bCs/>
                <w:color w:val="FFFFFF"/>
                <w:sz w:val="20"/>
                <w:szCs w:val="20"/>
              </w:rPr>
              <w:t xml:space="preserve">内容</w:t>
            </w:r>
          </w:p>
        </w:tc>
      </w:tr>
      <w:tr>
        <w:tc>
          <w:tcPr>
            <w:tcW w:type="dxa" w:w="21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駅前商業地区</w:t>
            </w:r>
          </w:p>
        </w:tc>
        <w:tc>
          <w:tcPr>
            <w:tcW w:type="dxa" w:w="19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都市の玄関</w:t>
            </w:r>
          </w:p>
        </w:tc>
        <w:tc>
          <w:tcPr>
            <w:tcW w:type="dxa" w:w="53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駅直結の複合施設、ホテル、書店、カフェ。落ち着いた中層</w:t>
            </w:r>
          </w:p>
        </w:tc>
      </w:tr>
      <w:tr>
        <w:tc>
          <w:tcPr>
            <w:tcW w:type="dxa" w:w="21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宿場通り</w:t>
            </w:r>
          </w:p>
        </w:tc>
        <w:tc>
          <w:tcPr>
            <w:tcW w:type="dxa" w:w="19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個店の集積</w:t>
            </w:r>
          </w:p>
        </w:tc>
        <w:tc>
          <w:tcPr>
            <w:tcW w:type="dxa" w:w="53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町家を活かした工芸店・飲食・ギャラリー。観光と日常が交差</w:t>
            </w:r>
          </w:p>
        </w:tc>
      </w:tr>
      <w:tr>
        <w:tc>
          <w:tcPr>
            <w:tcW w:type="dxa" w:w="21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桑の里モール</w:t>
            </w:r>
          </w:p>
        </w:tc>
        <w:tc>
          <w:tcPr>
            <w:tcW w:type="dxa" w:w="19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生活商業</w:t>
            </w:r>
          </w:p>
        </w:tc>
        <w:tc>
          <w:tcPr>
            <w:tcW w:type="dxa" w:w="53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住宅地に近い中規模モール。スーパー・専門店・クリニック併設</w:t>
            </w:r>
          </w:p>
        </w:tc>
      </w:tr>
      <w:tr>
        <w:tc>
          <w:tcPr>
            <w:tcW w:type="dxa" w:w="21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クラスター商店街</w:t>
            </w:r>
          </w:p>
        </w:tc>
        <w:tc>
          <w:tcPr>
            <w:tcW w:type="dxa" w:w="19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地域密着</w:t>
            </w:r>
          </w:p>
        </w:tc>
        <w:tc>
          <w:tcPr>
            <w:tcW w:type="dxa" w:w="53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各生活拠点の小商店街。歩いて日常の買い物が完結</w:t>
            </w:r>
          </w:p>
        </w:tc>
      </w:tr>
    </w:tbl>
    <w:p>
      <w:pPr>
        <w:pStyle w:val="Heading2"/>
      </w:pPr>
      <w:r>
        <w:t xml:space="preserve">11.2 カフェと食</w:t>
      </w:r>
    </w:p>
    <w:p>
      <w:pPr>
        <w:spacing w:after="120" w:line="300"/>
      </w:pPr>
      <w:r>
        <w:t xml:space="preserve">「おしゃれなカフェが似合う街」として知られ、焙煎所併設のコーヒー店やベーカリー、地元食材を使ったレストランが多い。緑道沿いや町家を改装した店舗が点在し、街歩きの楽しみとなっている。</w:t>
      </w:r>
    </w:p>
    <w:p>
      <w:pPr>
        <w:pStyle w:val="ListParagraph"/>
        <w:numPr>
          <w:ilvl w:val="0"/>
          <w:numId w:val="3"/>
        </w:numPr>
        <w:spacing w:after="60" w:line="290"/>
      </w:pPr>
      <w:r>
        <w:t xml:space="preserve">緑道沿いのオープンカフェ群（千石川グリーンウェイ）。</w:t>
      </w:r>
    </w:p>
    <w:p>
      <w:pPr>
        <w:pStyle w:val="ListParagraph"/>
        <w:numPr>
          <w:ilvl w:val="0"/>
          <w:numId w:val="3"/>
        </w:numPr>
        <w:spacing w:after="60" w:line="290"/>
      </w:pPr>
      <w:r>
        <w:t xml:space="preserve">宿場通りの町家カフェ・甘味処。</w:t>
      </w:r>
    </w:p>
    <w:p>
      <w:pPr>
        <w:pStyle w:val="ListParagraph"/>
        <w:numPr>
          <w:ilvl w:val="0"/>
          <w:numId w:val="3"/>
        </w:numPr>
        <w:spacing w:after="60" w:line="290"/>
      </w:pPr>
      <w:r>
        <w:t xml:space="preserve">地元のクラフトビールと、プラムの園のジュース・里の野菜を出すビストロ。</w:t>
      </w:r>
    </w:p>
    <w:p>
      <w:pPr>
        <w:pStyle w:val="Heading2"/>
      </w:pPr>
      <w:r>
        <w:t xml:space="preserve">11.3 ホテル・宿泊</w:t>
      </w:r>
    </w:p>
    <w:p>
      <w:pPr>
        <w:spacing w:after="120" w:line="300"/>
      </w:pPr>
      <w:r>
        <w:t xml:space="preserve">宿泊の中心は東軽井沢温泉郷で、大小あわせて10軒ほどの旅館・ホテルが軒を連ねる。湯けむりの宿が並ぶ温泉郷に、駅前のシティホテルや宿場の町家宿が加わり、出張・観光・長期滞在のいずれにも対応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5060"/>
      </w:tblGrid>
      <w:tr>
        <w:trPr>
          <w:tblHeader/>
        </w:trPr>
        <w:tc>
          <w:tcPr>
            <w:tcW w:type="dxa" w:w="2400"/>
            <w:tcBorders>
              <w:top w:val="single" w:color="D9D4CC" w:sz="1"/>
              <w:left w:val="single" w:color="D9D4CC" w:sz="1"/>
              <w:bottom w:val="single" w:color="D9D4CC" w:sz="1"/>
              <w:right w:val="single" w:color="D9D4CC" w:sz="1"/>
            </w:tcBorders>
            <w:shd w:fill="2F5D50" w:val="clear"/>
            <w:tcMar>
              <w:top w:type="dxa" w:w="70"/>
              <w:left w:type="dxa" w:w="110"/>
              <w:bottom w:type="dxa" w:w="70"/>
              <w:right w:type="dxa" w:w="110"/>
            </w:tcMar>
            <w:vAlign w:val="center"/>
          </w:tcPr>
          <w:p>
            <w:pPr>
              <w:spacing w:after="0"/>
            </w:pPr>
            <w:r>
              <w:rPr>
                <w:b/>
                <w:bCs/>
                <w:color w:val="FFFFFF"/>
                <w:sz w:val="20"/>
                <w:szCs w:val="20"/>
              </w:rPr>
              <w:t xml:space="preserve">宿泊施設</w:t>
            </w:r>
          </w:p>
        </w:tc>
        <w:tc>
          <w:tcPr>
            <w:tcW w:type="dxa" w:w="1900"/>
            <w:tcBorders>
              <w:top w:val="single" w:color="D9D4CC" w:sz="1"/>
              <w:left w:val="single" w:color="D9D4CC" w:sz="1"/>
              <w:bottom w:val="single" w:color="D9D4CC" w:sz="1"/>
              <w:right w:val="single" w:color="D9D4CC" w:sz="1"/>
            </w:tcBorders>
            <w:shd w:fill="2F5D50" w:val="clear"/>
            <w:tcMar>
              <w:top w:type="dxa" w:w="70"/>
              <w:left w:type="dxa" w:w="110"/>
              <w:bottom w:type="dxa" w:w="70"/>
              <w:right w:type="dxa" w:w="110"/>
            </w:tcMar>
            <w:vAlign w:val="center"/>
          </w:tcPr>
          <w:p>
            <w:pPr>
              <w:spacing w:after="0"/>
            </w:pPr>
            <w:r>
              <w:rPr>
                <w:b/>
                <w:bCs/>
                <w:color w:val="FFFFFF"/>
                <w:sz w:val="20"/>
                <w:szCs w:val="20"/>
              </w:rPr>
              <w:t xml:space="preserve">タイプ</w:t>
            </w:r>
          </w:p>
        </w:tc>
        <w:tc>
          <w:tcPr>
            <w:tcW w:type="dxa" w:w="5060"/>
            <w:tcBorders>
              <w:top w:val="single" w:color="D9D4CC" w:sz="1"/>
              <w:left w:val="single" w:color="D9D4CC" w:sz="1"/>
              <w:bottom w:val="single" w:color="D9D4CC" w:sz="1"/>
              <w:right w:val="single" w:color="D9D4CC" w:sz="1"/>
            </w:tcBorders>
            <w:shd w:fill="2F5D50" w:val="clear"/>
            <w:tcMar>
              <w:top w:type="dxa" w:w="70"/>
              <w:left w:type="dxa" w:w="110"/>
              <w:bottom w:type="dxa" w:w="70"/>
              <w:right w:type="dxa" w:w="110"/>
            </w:tcMar>
            <w:vAlign w:val="center"/>
          </w:tcPr>
          <w:p>
            <w:pPr>
              <w:spacing w:after="0"/>
            </w:pPr>
            <w:r>
              <w:rPr>
                <w:b/>
                <w:bCs/>
                <w:color w:val="FFFFFF"/>
                <w:sz w:val="20"/>
                <w:szCs w:val="20"/>
              </w:rPr>
              <w:t xml:space="preserve">特徴</w:t>
            </w:r>
          </w:p>
        </w:tc>
      </w:tr>
      <w:tr>
        <w:tc>
          <w:tcPr>
            <w:tcW w:type="dxa" w:w="24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東軽井沢温泉郷の旅館・ホテル</w:t>
            </w:r>
          </w:p>
        </w:tc>
        <w:tc>
          <w:tcPr>
            <w:tcW w:type="dxa" w:w="19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温泉旅館・ホテル</w:t>
            </w:r>
          </w:p>
        </w:tc>
        <w:tc>
          <w:tcPr>
            <w:tcW w:type="dxa" w:w="50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温泉郷に10軒ほど。雪見風呂と地元料理。日帰り湯から滞在型まで</w:t>
            </w:r>
          </w:p>
        </w:tc>
      </w:tr>
      <w:tr>
        <w:tc>
          <w:tcPr>
            <w:tcW w:type="dxa" w:w="24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ホテル東軽井沢</w:t>
            </w:r>
          </w:p>
        </w:tc>
        <w:tc>
          <w:tcPr>
            <w:tcW w:type="dxa" w:w="19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シティホテル</w:t>
            </w:r>
          </w:p>
        </w:tc>
        <w:tc>
          <w:tcPr>
            <w:tcW w:type="dxa" w:w="50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駅前。出張・観光の拠点。上質で簡素なデザイン</w:t>
            </w:r>
          </w:p>
        </w:tc>
      </w:tr>
      <w:tr>
        <w:tc>
          <w:tcPr>
            <w:tcW w:type="dxa" w:w="24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宿場の町家宿</w:t>
            </w:r>
          </w:p>
        </w:tc>
        <w:tc>
          <w:tcPr>
            <w:tcW w:type="dxa" w:w="19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古民家ステイ</w:t>
            </w:r>
          </w:p>
        </w:tc>
        <w:tc>
          <w:tcPr>
            <w:tcW w:type="dxa" w:w="50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歴史的町家を改装した小規模宿。一棟貸しも</w:t>
            </w:r>
          </w:p>
        </w:tc>
      </w:tr>
      <w:tr>
        <w:tc>
          <w:tcPr>
            <w:tcW w:type="dxa" w:w="24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里山リトリート</w:t>
            </w:r>
          </w:p>
        </w:tc>
        <w:tc>
          <w:tcPr>
            <w:tcW w:type="dxa" w:w="19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滞在型</w:t>
            </w:r>
          </w:p>
        </w:tc>
        <w:tc>
          <w:tcPr>
            <w:tcW w:type="dxa" w:w="50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車で20分ほどの里山。長期滞在・ワーケーション向け</w:t>
            </w:r>
          </w:p>
        </w:tc>
      </w:tr>
    </w:tbl>
    <w:p>
      <w:r>
        <w:br w:type="page"/>
      </w:r>
    </w:p>
    <w:p>
      <w:pPr>
        <w:pStyle w:val="Heading1"/>
      </w:pPr>
      <w:r>
        <w:t xml:space="preserve">12. 市民生活</w:t>
      </w:r>
    </w:p>
    <w:p>
      <w:pPr>
        <w:spacing w:after="160" w:line="320"/>
      </w:pPr>
      <w:r>
        <w:rPr>
          <w:i/>
          <w:iCs/>
          <w:color w:val="2F5D50"/>
          <w:sz w:val="23"/>
          <w:szCs w:val="23"/>
        </w:rPr>
        <w:t xml:space="preserve">急がない。比べない。けれど、つくることはやめない。── 東軽の人の気質。</w:t>
      </w:r>
    </w:p>
    <w:p>
      <w:pPr>
        <w:pStyle w:val="Heading2"/>
      </w:pPr>
      <w:r>
        <w:t xml:space="preserve">12.1 市民性</w:t>
      </w:r>
    </w:p>
    <w:p>
      <w:pPr>
        <w:spacing w:after="120" w:line="300"/>
      </w:pPr>
      <w:r>
        <w:t xml:space="preserve">東軽井沢の市民は、控えめで実直、ものづくりに敬意を払い、自然と季節に寄り添って暮らす気質を持つとされる。研究者・技術者と、宿場以来の商家や農家、そして移住者が混ざり合い、互いの違いを穏やかに受け入れる土壌がある。派手な消費よりも、質のよいものを長く使う価値観が根付いている。</w:t>
      </w:r>
    </w:p>
    <w:p>
      <w:pPr>
        <w:pStyle w:val="Heading2"/>
      </w:pPr>
      <w:r>
        <w:t xml:space="preserve">12.2 休日の過ごし方</w:t>
      </w:r>
    </w:p>
    <w:p>
      <w:pPr>
        <w:pStyle w:val="ListParagraph"/>
        <w:numPr>
          <w:ilvl w:val="0"/>
          <w:numId w:val="3"/>
        </w:numPr>
        <w:spacing w:after="60" w:line="290"/>
      </w:pPr>
      <w:r>
        <w:t xml:space="preserve">朝、見晴の丘や緑道を散歩・ランニングし、帰りにカフェに寄る。</w:t>
      </w:r>
    </w:p>
    <w:p>
      <w:pPr>
        <w:pStyle w:val="ListParagraph"/>
        <w:numPr>
          <w:ilvl w:val="0"/>
          <w:numId w:val="3"/>
        </w:numPr>
        <w:spacing w:after="60" w:line="290"/>
      </w:pPr>
      <w:r>
        <w:t xml:space="preserve">週末は車で20分ほどの里山や温泉へ。夏は涼を求め、冬は雪景色を楽しむ。</w:t>
      </w:r>
    </w:p>
    <w:p>
      <w:pPr>
        <w:pStyle w:val="ListParagraph"/>
        <w:numPr>
          <w:ilvl w:val="0"/>
          <w:numId w:val="3"/>
        </w:numPr>
        <w:spacing w:after="60" w:line="290"/>
      </w:pPr>
      <w:r>
        <w:t xml:space="preserve">まちなか工房で木工やガラスの制作体験。子どもは科学館「MATERIA」へ。</w:t>
      </w:r>
    </w:p>
    <w:p>
      <w:pPr>
        <w:pStyle w:val="ListParagraph"/>
        <w:numPr>
          <w:ilvl w:val="0"/>
          <w:numId w:val="3"/>
        </w:numPr>
        <w:spacing w:after="60" w:line="290"/>
      </w:pPr>
      <w:r>
        <w:t xml:space="preserve">家庭菜園やシェア農園で土に触れる市民も多い。</w:t>
      </w:r>
    </w:p>
    <w:p>
      <w:pPr>
        <w:pStyle w:val="Heading2"/>
      </w:pPr>
      <w:r>
        <w:t xml:space="preserve">12.3 地域コミュニティ</w:t>
      </w:r>
    </w:p>
    <w:p>
      <w:pPr>
        <w:spacing w:after="120" w:line="300"/>
      </w:pPr>
      <w:r>
        <w:t xml:space="preserve">各生活拠点（クラスター）には、図書スペース・カフェ・相談窓口を兼ねた「まちの居間」が置かれ、世代を超えた交流の場になっている。自治会・子ども会・シニアサークルに加え、企業の研究者が地域の科学教室を開くなど、産業と暮らしが地続きであることが特徴であ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5B7C8A" w:sz="18"/>
              <w:bottom w:val="none"/>
              <w:right w:val="none"/>
            </w:tcBorders>
            <w:shd w:fill="F5F3EE" w:val="clear"/>
            <w:tcMar>
              <w:top w:type="dxa" w:w="120"/>
              <w:left w:type="dxa" w:w="200"/>
              <w:bottom w:type="dxa" w:w="120"/>
              <w:right w:type="dxa" w:w="160"/>
            </w:tcMar>
          </w:tcPr>
          <w:p>
            <w:pPr>
              <w:spacing w:after="80" w:line="290"/>
            </w:pPr>
            <w:r>
              <w:rPr>
                <w:b/>
                <w:bCs/>
                <w:color w:val="2F5D50"/>
                <w:sz w:val="21"/>
                <w:szCs w:val="21"/>
              </w:rPr>
              <w:t xml:space="preserve">「まちの居間」という発想</w:t>
            </w:r>
          </w:p>
          <w:p>
            <w:pPr>
              <w:spacing w:after="0" w:line="290"/>
            </w:pPr>
            <w:r>
              <w:t xml:space="preserve">市内に点在する「まちの居間」は、誰でも立ち寄れる小さな公共空間。本を読み、コーヒーを飲み、子どもが宿題をし、高齢者が将棋を指す。行政手続きの相談もここでできる。孤立を生まない都市の、最小単位の装置である。</w:t>
            </w:r>
          </w:p>
        </w:tc>
      </w:tr>
    </w:tbl>
    <w:p>
      <w:r>
        <w:br w:type="page"/>
      </w:r>
    </w:p>
    <w:p>
      <w:pPr>
        <w:pStyle w:val="Heading1"/>
      </w:pPr>
      <w:r>
        <w:t xml:space="preserve">13. 年間イベント</w:t>
      </w:r>
    </w:p>
    <w:p>
      <w:pPr>
        <w:spacing w:after="160" w:line="320"/>
      </w:pPr>
      <w:r>
        <w:rPr>
          <w:i/>
          <w:iCs/>
          <w:color w:val="2F5D50"/>
          <w:sz w:val="23"/>
          <w:szCs w:val="23"/>
        </w:rPr>
        <w:t xml:space="preserve">季節が、街のカレンダーを書いている。</w:t>
      </w:r>
    </w:p>
    <w:p>
      <w:pPr>
        <w:pStyle w:val="Heading2"/>
      </w:pPr>
      <w:r>
        <w:t xml:space="preserve">13.1 イベントカレンダー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tblHeader/>
        </w:trPr>
        <w:tc>
          <w:tcPr>
            <w:tcW w:type="dxa" w:w="1200"/>
            <w:tcBorders>
              <w:top w:val="single" w:color="D9D4CC" w:sz="1"/>
              <w:left w:val="single" w:color="D9D4CC" w:sz="1"/>
              <w:bottom w:val="single" w:color="D9D4CC" w:sz="1"/>
              <w:right w:val="single" w:color="D9D4CC" w:sz="1"/>
            </w:tcBorders>
            <w:shd w:fill="2F5D50" w:val="clear"/>
            <w:tcMar>
              <w:top w:type="dxa" w:w="70"/>
              <w:left w:type="dxa" w:w="110"/>
              <w:bottom w:type="dxa" w:w="70"/>
              <w:right w:type="dxa" w:w="110"/>
            </w:tcMar>
            <w:vAlign w:val="center"/>
          </w:tcPr>
          <w:p>
            <w:pPr>
              <w:spacing w:after="0"/>
            </w:pPr>
            <w:r>
              <w:rPr>
                <w:b/>
                <w:bCs/>
                <w:color w:val="FFFFFF"/>
                <w:sz w:val="20"/>
                <w:szCs w:val="20"/>
              </w:rPr>
              <w:t xml:space="preserve">時期</w:t>
            </w:r>
          </w:p>
        </w:tc>
        <w:tc>
          <w:tcPr>
            <w:tcW w:type="dxa" w:w="3000"/>
            <w:tcBorders>
              <w:top w:val="single" w:color="D9D4CC" w:sz="1"/>
              <w:left w:val="single" w:color="D9D4CC" w:sz="1"/>
              <w:bottom w:val="single" w:color="D9D4CC" w:sz="1"/>
              <w:right w:val="single" w:color="D9D4CC" w:sz="1"/>
            </w:tcBorders>
            <w:shd w:fill="2F5D50" w:val="clear"/>
            <w:tcMar>
              <w:top w:type="dxa" w:w="70"/>
              <w:left w:type="dxa" w:w="110"/>
              <w:bottom w:type="dxa" w:w="70"/>
              <w:right w:type="dxa" w:w="110"/>
            </w:tcMar>
            <w:vAlign w:val="center"/>
          </w:tcPr>
          <w:p>
            <w:pPr>
              <w:spacing w:after="0"/>
            </w:pPr>
            <w:r>
              <w:rPr>
                <w:b/>
                <w:bCs/>
                <w:color w:val="FFFFFF"/>
                <w:sz w:val="20"/>
                <w:szCs w:val="20"/>
              </w:rPr>
              <w:t xml:space="preserve">イベント</w:t>
            </w:r>
          </w:p>
        </w:tc>
        <w:tc>
          <w:tcPr>
            <w:tcW w:type="dxa" w:w="5160"/>
            <w:tcBorders>
              <w:top w:val="single" w:color="D9D4CC" w:sz="1"/>
              <w:left w:val="single" w:color="D9D4CC" w:sz="1"/>
              <w:bottom w:val="single" w:color="D9D4CC" w:sz="1"/>
              <w:right w:val="single" w:color="D9D4CC" w:sz="1"/>
            </w:tcBorders>
            <w:shd w:fill="2F5D50" w:val="clear"/>
            <w:tcMar>
              <w:top w:type="dxa" w:w="70"/>
              <w:left w:type="dxa" w:w="110"/>
              <w:bottom w:type="dxa" w:w="70"/>
              <w:right w:type="dxa" w:w="110"/>
            </w:tcMar>
            <w:vAlign w:val="center"/>
          </w:tcPr>
          <w:p>
            <w:pPr>
              <w:spacing w:after="0"/>
            </w:pPr>
            <w:r>
              <w:rPr>
                <w:b/>
                <w:bCs/>
                <w:color w:val="FFFFFF"/>
                <w:sz w:val="20"/>
                <w:szCs w:val="20"/>
              </w:rPr>
              <w:t xml:space="preserve">内容</w:t>
            </w:r>
          </w:p>
        </w:tc>
      </w:tr>
      <w:tr>
        <w:tc>
          <w:tcPr>
            <w:tcW w:type="dxa" w:w="12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3月</w:t>
            </w:r>
          </w:p>
        </w:tc>
        <w:tc>
          <w:tcPr>
            <w:tcW w:type="dxa" w:w="30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宿場ひな巡り</w:t>
            </w:r>
          </w:p>
        </w:tc>
        <w:tc>
          <w:tcPr>
            <w:tcW w:type="dxa" w:w="51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宿場通りの町家に雛飾りを展示。春の訪れを祝う</w:t>
            </w:r>
          </w:p>
        </w:tc>
      </w:tr>
      <w:tr>
        <w:tc>
          <w:tcPr>
            <w:tcW w:type="dxa" w:w="12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4月</w:t>
            </w:r>
          </w:p>
        </w:tc>
        <w:tc>
          <w:tcPr>
            <w:tcW w:type="dxa" w:w="30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千石川さくら回廊</w:t>
            </w:r>
          </w:p>
        </w:tc>
        <w:tc>
          <w:tcPr>
            <w:tcW w:type="dxa" w:w="51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桜並木のライトアップと緑道の屋台</w:t>
            </w:r>
          </w:p>
        </w:tc>
      </w:tr>
      <w:tr>
        <w:tc>
          <w:tcPr>
            <w:tcW w:type="dxa" w:w="12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5月</w:t>
            </w:r>
          </w:p>
        </w:tc>
        <w:tc>
          <w:tcPr>
            <w:tcW w:type="dxa" w:w="30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まちなか工房めぐり（春）</w:t>
            </w:r>
          </w:p>
        </w:tc>
        <w:tc>
          <w:tcPr>
            <w:tcW w:type="dxa" w:w="51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市内の工房を一斉開放、制作体験</w:t>
            </w:r>
          </w:p>
        </w:tc>
      </w:tr>
      <w:tr>
        <w:tc>
          <w:tcPr>
            <w:tcW w:type="dxa" w:w="12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6月</w:t>
            </w:r>
          </w:p>
        </w:tc>
        <w:tc>
          <w:tcPr>
            <w:tcW w:type="dxa" w:w="30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里山リトリート・ウィーク</w:t>
            </w:r>
          </w:p>
        </w:tc>
        <w:tc>
          <w:tcPr>
            <w:tcW w:type="dxa" w:w="51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ワーケーションと自然体験の催し</w:t>
            </w:r>
          </w:p>
        </w:tc>
      </w:tr>
      <w:tr>
        <w:tc>
          <w:tcPr>
            <w:tcW w:type="dxa" w:w="12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7月</w:t>
            </w:r>
          </w:p>
        </w:tc>
        <w:tc>
          <w:tcPr>
            <w:tcW w:type="dxa" w:w="30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東軽サイエンス・サマー</w:t>
            </w:r>
          </w:p>
        </w:tc>
        <w:tc>
          <w:tcPr>
            <w:tcW w:type="dxa" w:w="51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子ども向け科学イベント。企業・研究機関が出展</w:t>
            </w:r>
          </w:p>
        </w:tc>
      </w:tr>
      <w:tr>
        <w:tc>
          <w:tcPr>
            <w:tcW w:type="dxa" w:w="12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8月</w:t>
            </w:r>
          </w:p>
        </w:tc>
        <w:tc>
          <w:tcPr>
            <w:tcW w:type="dxa" w:w="30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星空ナイト＆夏の音楽祭</w:t>
            </w:r>
          </w:p>
        </w:tc>
        <w:tc>
          <w:tcPr>
            <w:tcW w:type="dxa" w:w="51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見晴の丘での天体観察と野外コンサート</w:t>
            </w:r>
          </w:p>
        </w:tc>
      </w:tr>
      <w:tr>
        <w:tc>
          <w:tcPr>
            <w:tcW w:type="dxa" w:w="12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9月</w:t>
            </w:r>
          </w:p>
        </w:tc>
        <w:tc>
          <w:tcPr>
            <w:tcW w:type="dxa" w:w="30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東軽プラム収穫祭</w:t>
            </w:r>
          </w:p>
        </w:tc>
        <w:tc>
          <w:tcPr>
            <w:tcW w:type="dxa" w:w="51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プラムの園での収穫祭とマルシェ</w:t>
            </w:r>
          </w:p>
        </w:tc>
      </w:tr>
      <w:tr>
        <w:tc>
          <w:tcPr>
            <w:tcW w:type="dxa" w:w="12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10月</w:t>
            </w:r>
          </w:p>
        </w:tc>
        <w:tc>
          <w:tcPr>
            <w:tcW w:type="dxa" w:w="30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見晴の丘 紅葉まつり</w:t>
            </w:r>
          </w:p>
        </w:tc>
        <w:tc>
          <w:tcPr>
            <w:tcW w:type="dxa" w:w="51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紅葉の展望と里のグルメ</w:t>
            </w:r>
          </w:p>
        </w:tc>
      </w:tr>
      <w:tr>
        <w:tc>
          <w:tcPr>
            <w:tcW w:type="dxa" w:w="12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10月</w:t>
            </w:r>
          </w:p>
        </w:tc>
        <w:tc>
          <w:tcPr>
            <w:tcW w:type="dxa" w:w="30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宿場あかり祭</w:t>
            </w:r>
          </w:p>
        </w:tc>
        <w:tc>
          <w:tcPr>
            <w:tcW w:type="dxa" w:w="51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和ろうそくで通りを照らす市最大の催し</w:t>
            </w:r>
          </w:p>
        </w:tc>
      </w:tr>
      <w:tr>
        <w:tc>
          <w:tcPr>
            <w:tcW w:type="dxa" w:w="12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11月</w:t>
            </w:r>
          </w:p>
        </w:tc>
        <w:tc>
          <w:tcPr>
            <w:tcW w:type="dxa" w:w="30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国際ガラス・ビエンナーレ（隔年）</w:t>
            </w:r>
          </w:p>
        </w:tc>
        <w:tc>
          <w:tcPr>
            <w:tcW w:type="dxa" w:w="51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素材をテーマにした国際芸術祭</w:t>
            </w:r>
          </w:p>
        </w:tc>
      </w:tr>
      <w:tr>
        <w:tc>
          <w:tcPr>
            <w:tcW w:type="dxa" w:w="12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12月</w:t>
            </w:r>
          </w:p>
        </w:tc>
        <w:tc>
          <w:tcPr>
            <w:tcW w:type="dxa" w:w="30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ふじ色イルミネーション</w:t>
            </w:r>
          </w:p>
        </w:tc>
        <w:tc>
          <w:tcPr>
            <w:tcW w:type="dxa" w:w="51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駅前・緑道の冬の光の回廊</w:t>
            </w:r>
          </w:p>
        </w:tc>
      </w:tr>
      <w:tr>
        <w:tc>
          <w:tcPr>
            <w:tcW w:type="dxa" w:w="12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2月</w:t>
            </w:r>
          </w:p>
        </w:tc>
        <w:tc>
          <w:tcPr>
            <w:tcW w:type="dxa" w:w="30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雪あかりと温泉まつり</w:t>
            </w:r>
          </w:p>
        </w:tc>
        <w:tc>
          <w:tcPr>
            <w:tcW w:type="dxa" w:w="51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雪景色の温泉郷でのライトアップと湯めぐり</w:t>
            </w:r>
          </w:p>
        </w:tc>
      </w:tr>
    </w:tbl>
    <w:p>
      <w:r>
        <w:br w:type="page"/>
      </w:r>
    </w:p>
    <w:p>
      <w:pPr>
        <w:pStyle w:val="Heading1"/>
      </w:pPr>
      <w:r>
        <w:t xml:space="preserve">14. 将来ビジョン ── 東軽井沢2045</w:t>
      </w:r>
    </w:p>
    <w:p>
      <w:pPr>
        <w:spacing w:after="160" w:line="320"/>
      </w:pPr>
      <w:r>
        <w:rPr>
          <w:i/>
          <w:iCs/>
          <w:color w:val="2F5D50"/>
          <w:sz w:val="23"/>
          <w:szCs w:val="23"/>
        </w:rPr>
        <w:t xml:space="preserve">成長を追わない成熟。静けさを保ったまま、世界とつながり続けるための20年計画。</w:t>
      </w:r>
    </w:p>
    <w:p>
      <w:pPr>
        <w:pStyle w:val="Heading2"/>
      </w:pPr>
      <w:r>
        <w:t xml:space="preserve">14.1 ビジョンの理念</w:t>
      </w:r>
    </w:p>
    <w:p>
      <w:pPr>
        <w:spacing w:after="120" w:line="300"/>
      </w:pPr>
      <w:r>
        <w:t xml:space="preserve">「東軽井沢2045」は、規模の拡大ではなく、質の深化を目指す長期構想である。人口減少と高齢化を前提として受け止めたうえで、いまある暮らしの豊かさと景観・自然・産業の強みを次の世代へ確実に手渡し、「人口5万人でも、日本でいちばん住み続けたい街」であり続けることを目標とする。</w:t>
      </w:r>
    </w:p>
    <w:p>
      <w:pPr>
        <w:pStyle w:val="Heading2"/>
      </w:pPr>
      <w:r>
        <w:t xml:space="preserve">14.2 4つの柱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9D4CC" w:sz="1"/>
              <w:left w:val="single" w:color="D9D4CC" w:sz="1"/>
              <w:bottom w:val="single" w:color="D9D4CC" w:sz="1"/>
              <w:right w:val="single" w:color="D9D4CC" w:sz="1"/>
            </w:tcBorders>
            <w:shd w:fill="2F5D50" w:val="clear"/>
            <w:tcMar>
              <w:top w:type="dxa" w:w="70"/>
              <w:left w:type="dxa" w:w="110"/>
              <w:bottom w:type="dxa" w:w="70"/>
              <w:right w:type="dxa" w:w="110"/>
            </w:tcMar>
            <w:vAlign w:val="center"/>
          </w:tcPr>
          <w:p>
            <w:pPr>
              <w:spacing w:after="0"/>
            </w:pPr>
            <w:r>
              <w:rPr>
                <w:b/>
                <w:bCs/>
                <w:color w:val="FFFFFF"/>
                <w:sz w:val="20"/>
                <w:szCs w:val="20"/>
              </w:rPr>
              <w:t xml:space="preserve">柱</w:t>
            </w:r>
          </w:p>
        </w:tc>
        <w:tc>
          <w:tcPr>
            <w:tcW w:type="dxa" w:w="6760"/>
            <w:tcBorders>
              <w:top w:val="single" w:color="D9D4CC" w:sz="1"/>
              <w:left w:val="single" w:color="D9D4CC" w:sz="1"/>
              <w:bottom w:val="single" w:color="D9D4CC" w:sz="1"/>
              <w:right w:val="single" w:color="D9D4CC" w:sz="1"/>
            </w:tcBorders>
            <w:shd w:fill="2F5D50" w:val="clear"/>
            <w:tcMar>
              <w:top w:type="dxa" w:w="70"/>
              <w:left w:type="dxa" w:w="110"/>
              <w:bottom w:type="dxa" w:w="70"/>
              <w:right w:type="dxa" w:w="110"/>
            </w:tcMar>
            <w:vAlign w:val="center"/>
          </w:tcPr>
          <w:p>
            <w:pPr>
              <w:spacing w:after="0"/>
            </w:pPr>
            <w:r>
              <w:rPr>
                <w:b/>
                <w:bCs/>
                <w:color w:val="FFFFFF"/>
                <w:sz w:val="20"/>
                <w:szCs w:val="20"/>
              </w:rPr>
              <w:t xml:space="preserve">2045年の目標像</w:t>
            </w:r>
          </w:p>
        </w:tc>
      </w:tr>
      <w:tr>
        <w:tc>
          <w:tcPr>
            <w:tcW w:type="dxa" w:w="26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カーボンニュートラル都市</w:t>
            </w:r>
          </w:p>
        </w:tc>
        <w:tc>
          <w:tcPr>
            <w:tcW w:type="dxa" w:w="67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再生可能エネルギーと域内エネルギーマネジメントで、市域の脱炭素を実現</w:t>
            </w:r>
          </w:p>
        </w:tc>
      </w:tr>
      <w:tr>
        <w:tc>
          <w:tcPr>
            <w:tcW w:type="dxa" w:w="26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世界の素材研究ハブ</w:t>
            </w:r>
          </w:p>
        </w:tc>
        <w:tc>
          <w:tcPr>
            <w:tcW w:type="dxa" w:w="67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次世代素材の研究で世界的拠点となり、研究者が集まり続ける街に</w:t>
            </w:r>
          </w:p>
        </w:tc>
      </w:tr>
      <w:tr>
        <w:tc>
          <w:tcPr>
            <w:tcW w:type="dxa" w:w="26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全世代が安心して暮らせる街</w:t>
            </w:r>
          </w:p>
        </w:tc>
        <w:tc>
          <w:tcPr>
            <w:tcW w:type="dxa" w:w="67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子育て・教育・医療・福祉の最高水準を維持し、定住率をさらに高める</w:t>
            </w:r>
          </w:p>
        </w:tc>
      </w:tr>
      <w:tr>
        <w:tc>
          <w:tcPr>
            <w:tcW w:type="dxa" w:w="26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歩いて暮らせる景観都市</w:t>
            </w:r>
          </w:p>
        </w:tc>
        <w:tc>
          <w:tcPr>
            <w:tcW w:type="dxa" w:w="67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配車サービスと緑道を組み合わせ、車に頼りつつも誰もが移動できる美しい街並みを完成させる</w:t>
            </w:r>
          </w:p>
        </w:tc>
      </w:tr>
    </w:tbl>
    <w:p>
      <w:pPr>
        <w:pStyle w:val="Heading2"/>
      </w:pPr>
      <w:r>
        <w:t xml:space="preserve">14.3 ロードマップ</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D9D4CC" w:sz="1"/>
              <w:left w:val="single" w:color="D9D4CC" w:sz="1"/>
              <w:bottom w:val="single" w:color="D9D4CC" w:sz="1"/>
              <w:right w:val="single" w:color="D9D4CC" w:sz="1"/>
            </w:tcBorders>
            <w:shd w:fill="2F5D50" w:val="clear"/>
            <w:tcMar>
              <w:top w:type="dxa" w:w="70"/>
              <w:left w:type="dxa" w:w="110"/>
              <w:bottom w:type="dxa" w:w="70"/>
              <w:right w:type="dxa" w:w="110"/>
            </w:tcMar>
            <w:vAlign w:val="center"/>
          </w:tcPr>
          <w:p>
            <w:pPr>
              <w:spacing w:after="0"/>
            </w:pPr>
            <w:r>
              <w:rPr>
                <w:b/>
                <w:bCs/>
                <w:color w:val="FFFFFF"/>
                <w:sz w:val="20"/>
                <w:szCs w:val="20"/>
              </w:rPr>
              <w:t xml:space="preserve">時期</w:t>
            </w:r>
          </w:p>
        </w:tc>
        <w:tc>
          <w:tcPr>
            <w:tcW w:type="dxa" w:w="7660"/>
            <w:tcBorders>
              <w:top w:val="single" w:color="D9D4CC" w:sz="1"/>
              <w:left w:val="single" w:color="D9D4CC" w:sz="1"/>
              <w:bottom w:val="single" w:color="D9D4CC" w:sz="1"/>
              <w:right w:val="single" w:color="D9D4CC" w:sz="1"/>
            </w:tcBorders>
            <w:shd w:fill="2F5D50" w:val="clear"/>
            <w:tcMar>
              <w:top w:type="dxa" w:w="70"/>
              <w:left w:type="dxa" w:w="110"/>
              <w:bottom w:type="dxa" w:w="70"/>
              <w:right w:type="dxa" w:w="110"/>
            </w:tcMar>
            <w:vAlign w:val="center"/>
          </w:tcPr>
          <w:p>
            <w:pPr>
              <w:spacing w:after="0"/>
            </w:pPr>
            <w:r>
              <w:rPr>
                <w:b/>
                <w:bCs/>
                <w:color w:val="FFFFFF"/>
                <w:sz w:val="20"/>
                <w:szCs w:val="20"/>
              </w:rPr>
              <w:t xml:space="preserve">主な取り組み</w:t>
            </w:r>
          </w:p>
        </w:tc>
      </w:tr>
      <w:tr>
        <w:tc>
          <w:tcPr>
            <w:tcW w:type="dxa" w:w="17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〜2030年</w:t>
            </w:r>
          </w:p>
        </w:tc>
        <w:tc>
          <w:tcPr>
            <w:tcW w:type="dxa" w:w="76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配車サービス「とうかるライド」の車両・対応エリア拡充、再エネ比率の引き上げ、研究学園地区の拡充</w:t>
            </w:r>
          </w:p>
        </w:tc>
      </w:tr>
      <w:tr>
        <w:tc>
          <w:tcPr>
            <w:tcW w:type="dxa" w:w="17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〜2035年</w:t>
            </w:r>
          </w:p>
        </w:tc>
        <w:tc>
          <w:tcPr>
            <w:tcW w:type="dxa" w:w="76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域内エネルギー自給の本格化、全クラスターへの「まちの居間」整備完了</w:t>
            </w:r>
          </w:p>
        </w:tc>
      </w:tr>
      <w:tr>
        <w:tc>
          <w:tcPr>
            <w:tcW w:type="dxa" w:w="17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〜2040年</w:t>
            </w:r>
          </w:p>
        </w:tc>
        <w:tc>
          <w:tcPr>
            <w:tcW w:type="dxa" w:w="76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次世代素材研究ハブの国際拠点化、高齢者ケアの完全地域包括化</w:t>
            </w:r>
          </w:p>
        </w:tc>
      </w:tr>
      <w:tr>
        <w:tc>
          <w:tcPr>
            <w:tcW w:type="dxa" w:w="17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〜2045年</w:t>
            </w:r>
          </w:p>
        </w:tc>
        <w:tc>
          <w:tcPr>
            <w:tcW w:type="dxa" w:w="76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市域カーボンニュートラル達成、景観都市としての完成形へ</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F5D50" w:sz="18"/>
              <w:bottom w:val="none"/>
              <w:right w:val="none"/>
            </w:tcBorders>
            <w:shd w:fill="E9EFEC" w:val="clear"/>
            <w:tcMar>
              <w:top w:type="dxa" w:w="120"/>
              <w:left w:type="dxa" w:w="200"/>
              <w:bottom w:type="dxa" w:w="120"/>
              <w:right w:type="dxa" w:w="160"/>
            </w:tcMar>
          </w:tcPr>
          <w:p>
            <w:pPr>
              <w:spacing w:after="80" w:line="290"/>
            </w:pPr>
            <w:r>
              <w:rPr>
                <w:b/>
                <w:bCs/>
                <w:color w:val="2F5D50"/>
                <w:sz w:val="22"/>
                <w:szCs w:val="22"/>
              </w:rPr>
              <w:t xml:space="preserve">東軽井沢市が、最後に大切にすること</w:t>
            </w:r>
          </w:p>
          <w:p>
            <w:pPr>
              <w:spacing w:after="0" w:line="290"/>
            </w:pPr>
            <w:r>
              <w:t xml:space="preserve">この街は、いちばん速い街でも、いちばん大きい街でもない。けれど、いちばん「住み続けたい」と思える街でありたい。静けさを未来へ手渡すこと ── それが、東軽井沢市の変わらない約束である。</w:t>
            </w:r>
          </w:p>
        </w:tc>
      </w:tr>
    </w:tbl>
    <w:p>
      <w:r>
        <w:br w:type="page"/>
      </w:r>
    </w:p>
    <w:p>
      <w:pPr>
        <w:pStyle w:val="Heading1"/>
      </w:pPr>
      <w:r>
        <w:t xml:space="preserve">付録 ── 設定リファレンス</w:t>
      </w:r>
    </w:p>
    <w:p>
      <w:pPr>
        <w:spacing w:after="160" w:line="320"/>
      </w:pPr>
      <w:r>
        <w:rPr>
          <w:i/>
          <w:iCs/>
          <w:color w:val="2F5D50"/>
          <w:sz w:val="23"/>
          <w:szCs w:val="23"/>
        </w:rPr>
        <w:t xml:space="preserve">以後のすべての制作物が参照する、固有名詞・数値の早見表。</w:t>
      </w:r>
    </w:p>
    <w:p>
      <w:pPr>
        <w:pStyle w:val="Heading2"/>
      </w:pPr>
      <w:r>
        <w:t xml:space="preserve">A. 都市の基本値（クイックリファレンス）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9D4CC" w:sz="1"/>
              <w:left w:val="single" w:color="D9D4CC" w:sz="1"/>
              <w:bottom w:val="single" w:color="D9D4CC" w:sz="1"/>
              <w:right w:val="single" w:color="D9D4CC" w:sz="1"/>
            </w:tcBorders>
            <w:shd w:fill="2F5D50" w:val="clear"/>
            <w:tcMar>
              <w:top w:type="dxa" w:w="70"/>
              <w:left w:type="dxa" w:w="110"/>
              <w:bottom w:type="dxa" w:w="70"/>
              <w:right w:type="dxa" w:w="110"/>
            </w:tcMar>
            <w:vAlign w:val="center"/>
          </w:tcPr>
          <w:p>
            <w:pPr>
              <w:spacing w:after="0"/>
            </w:pPr>
            <w:r>
              <w:rPr>
                <w:b/>
                <w:bCs/>
                <w:color w:val="FFFFFF"/>
                <w:sz w:val="20"/>
                <w:szCs w:val="20"/>
              </w:rPr>
              <w:t xml:space="preserve">項目</w:t>
            </w:r>
          </w:p>
        </w:tc>
        <w:tc>
          <w:tcPr>
            <w:tcW w:type="dxa" w:w="6760"/>
            <w:tcBorders>
              <w:top w:val="single" w:color="D9D4CC" w:sz="1"/>
              <w:left w:val="single" w:color="D9D4CC" w:sz="1"/>
              <w:bottom w:val="single" w:color="D9D4CC" w:sz="1"/>
              <w:right w:val="single" w:color="D9D4CC" w:sz="1"/>
            </w:tcBorders>
            <w:shd w:fill="2F5D50" w:val="clear"/>
            <w:tcMar>
              <w:top w:type="dxa" w:w="70"/>
              <w:left w:type="dxa" w:w="110"/>
              <w:bottom w:type="dxa" w:w="70"/>
              <w:right w:type="dxa" w:w="110"/>
            </w:tcMar>
            <w:vAlign w:val="center"/>
          </w:tcPr>
          <w:p>
            <w:pPr>
              <w:spacing w:after="0"/>
            </w:pPr>
            <w:r>
              <w:rPr>
                <w:b/>
                <w:bCs/>
                <w:color w:val="FFFFFF"/>
                <w:sz w:val="20"/>
                <w:szCs w:val="20"/>
              </w:rPr>
              <w:t xml:space="preserve">値</w:t>
            </w:r>
          </w:p>
        </w:tc>
      </w:tr>
      <w:tr>
        <w:tc>
          <w:tcPr>
            <w:tcW w:type="dxa" w:w="26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人口</w:t>
            </w:r>
          </w:p>
        </w:tc>
        <w:tc>
          <w:tcPr>
            <w:tcW w:type="dxa" w:w="67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54,800 人（世帯 26,325・高齢化率 38.0%）</w:t>
            </w:r>
          </w:p>
        </w:tc>
      </w:tr>
      <w:tr>
        <w:tc>
          <w:tcPr>
            <w:tcW w:type="dxa" w:w="26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面積</w:t>
            </w:r>
          </w:p>
        </w:tc>
        <w:tc>
          <w:tcPr>
            <w:tcW w:type="dxa" w:w="67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約 132.4 km²</w:t>
            </w:r>
          </w:p>
        </w:tc>
      </w:tr>
      <w:tr>
        <w:tc>
          <w:tcPr>
            <w:tcW w:type="dxa" w:w="26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市制施行</w:t>
            </w:r>
          </w:p>
        </w:tc>
        <w:tc>
          <w:tcPr>
            <w:tcW w:type="dxa" w:w="67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1949年</w:t>
            </w:r>
          </w:p>
        </w:tc>
      </w:tr>
      <w:tr>
        <w:tc>
          <w:tcPr>
            <w:tcW w:type="dxa" w:w="26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キャッチコピー</w:t>
            </w:r>
          </w:p>
        </w:tc>
        <w:tc>
          <w:tcPr>
            <w:tcW w:type="dxa" w:w="67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静けさを、未来へ。／ Quiet, by design.</w:t>
            </w:r>
          </w:p>
        </w:tc>
      </w:tr>
      <w:tr>
        <w:tc>
          <w:tcPr>
            <w:tcW w:type="dxa" w:w="26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市の木・花・鳥</w:t>
            </w:r>
          </w:p>
        </w:tc>
        <w:tc>
          <w:tcPr>
            <w:tcW w:type="dxa" w:w="67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クワ（桑）／フジ（藤）／キジ（雉）</w:t>
            </w:r>
          </w:p>
        </w:tc>
      </w:tr>
      <w:tr>
        <w:tc>
          <w:tcPr>
            <w:tcW w:type="dxa" w:w="26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市長</w:t>
            </w:r>
          </w:p>
        </w:tc>
        <w:tc>
          <w:tcPr>
            <w:tcW w:type="dxa" w:w="67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結城 怜（第18代・2期目）</w:t>
            </w:r>
          </w:p>
        </w:tc>
      </w:tr>
      <w:tr>
        <w:tc>
          <w:tcPr>
            <w:tcW w:type="dxa" w:w="26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新幹線</w:t>
            </w:r>
          </w:p>
        </w:tc>
        <w:tc>
          <w:tcPr>
            <w:tcW w:type="dxa" w:w="67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首都圏まで約1時間</w:t>
            </w:r>
          </w:p>
        </w:tc>
      </w:tr>
      <w:tr>
        <w:tc>
          <w:tcPr>
            <w:tcW w:type="dxa" w:w="26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近隣の里山・温泉</w:t>
            </w:r>
          </w:p>
        </w:tc>
        <w:tc>
          <w:tcPr>
            <w:tcW w:type="dxa" w:w="67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車で20分ほど</w:t>
            </w:r>
          </w:p>
        </w:tc>
      </w:tr>
    </w:tbl>
    <w:p>
      <w:pPr>
        <w:pStyle w:val="Heading2"/>
      </w:pPr>
      <w:r>
        <w:t xml:space="preserve">B. 主な地区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9D4CC" w:sz="1"/>
              <w:left w:val="single" w:color="D9D4CC" w:sz="1"/>
              <w:bottom w:val="single" w:color="D9D4CC" w:sz="1"/>
              <w:right w:val="single" w:color="D9D4CC" w:sz="1"/>
            </w:tcBorders>
            <w:shd w:fill="2F5D50" w:val="clear"/>
            <w:tcMar>
              <w:top w:type="dxa" w:w="70"/>
              <w:left w:type="dxa" w:w="110"/>
              <w:bottom w:type="dxa" w:w="70"/>
              <w:right w:type="dxa" w:w="110"/>
            </w:tcMar>
            <w:vAlign w:val="center"/>
          </w:tcPr>
          <w:p>
            <w:pPr>
              <w:spacing w:after="0"/>
            </w:pPr>
            <w:r>
              <w:rPr>
                <w:b/>
                <w:bCs/>
                <w:color w:val="FFFFFF"/>
                <w:sz w:val="20"/>
                <w:szCs w:val="20"/>
              </w:rPr>
              <w:t xml:space="preserve">地区名</w:t>
            </w:r>
          </w:p>
        </w:tc>
        <w:tc>
          <w:tcPr>
            <w:tcW w:type="dxa" w:w="6560"/>
            <w:tcBorders>
              <w:top w:val="single" w:color="D9D4CC" w:sz="1"/>
              <w:left w:val="single" w:color="D9D4CC" w:sz="1"/>
              <w:bottom w:val="single" w:color="D9D4CC" w:sz="1"/>
              <w:right w:val="single" w:color="D9D4CC" w:sz="1"/>
            </w:tcBorders>
            <w:shd w:fill="2F5D50" w:val="clear"/>
            <w:tcMar>
              <w:top w:type="dxa" w:w="70"/>
              <w:left w:type="dxa" w:w="110"/>
              <w:bottom w:type="dxa" w:w="70"/>
              <w:right w:type="dxa" w:w="110"/>
            </w:tcMar>
            <w:vAlign w:val="center"/>
          </w:tcPr>
          <w:p>
            <w:pPr>
              <w:spacing w:after="0"/>
            </w:pPr>
            <w:r>
              <w:rPr>
                <w:b/>
                <w:bCs/>
                <w:color w:val="FFFFFF"/>
                <w:sz w:val="20"/>
                <w:szCs w:val="20"/>
              </w:rPr>
              <w:t xml:space="preserve">役割</w:t>
            </w:r>
          </w:p>
        </w:tc>
      </w:tr>
      <w:tr>
        <w:tc>
          <w:tcPr>
            <w:tcW w:type="dxa" w:w="28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駅前・中央地区</w:t>
            </w:r>
          </w:p>
        </w:tc>
        <w:tc>
          <w:tcPr>
            <w:tcW w:type="dxa" w:w="65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都市の玄関口・行政・商業</w:t>
            </w:r>
          </w:p>
        </w:tc>
      </w:tr>
      <w:tr>
        <w:tc>
          <w:tcPr>
            <w:tcW w:type="dxa" w:w="28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宿場・旧市街地区</w:t>
            </w:r>
          </w:p>
        </w:tc>
        <w:tc>
          <w:tcPr>
            <w:tcW w:type="dxa" w:w="65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歴史景観・個店</w:t>
            </w:r>
          </w:p>
        </w:tc>
      </w:tr>
      <w:tr>
        <w:tc>
          <w:tcPr>
            <w:tcW w:type="dxa" w:w="28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千石テクノパーク</w:t>
            </w:r>
          </w:p>
        </w:tc>
        <w:tc>
          <w:tcPr>
            <w:tcW w:type="dxa" w:w="65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工業・生産</w:t>
            </w:r>
          </w:p>
        </w:tc>
      </w:tr>
      <w:tr>
        <w:tc>
          <w:tcPr>
            <w:tcW w:type="dxa" w:w="28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見晴台研究学園地区</w:t>
            </w:r>
          </w:p>
        </w:tc>
        <w:tc>
          <w:tcPr>
            <w:tcW w:type="dxa" w:w="65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研究・専門学校・スタートアップ</w:t>
            </w:r>
          </w:p>
        </w:tc>
      </w:tr>
      <w:tr>
        <w:tc>
          <w:tcPr>
            <w:tcW w:type="dxa" w:w="28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里山・自然保全地区</w:t>
            </w:r>
          </w:p>
        </w:tc>
        <w:tc>
          <w:tcPr>
            <w:tcW w:type="dxa" w:w="65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森林・水源・景観の背景</w:t>
            </w:r>
          </w:p>
        </w:tc>
      </w:tr>
    </w:tbl>
    <w:p>
      <w:pPr>
        <w:pStyle w:val="Heading2"/>
      </w:pPr>
      <w:r>
        <w:t xml:space="preserve">C. 主要企業（架空）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9D4CC" w:sz="1"/>
              <w:left w:val="single" w:color="D9D4CC" w:sz="1"/>
              <w:bottom w:val="single" w:color="D9D4CC" w:sz="1"/>
              <w:right w:val="single" w:color="D9D4CC" w:sz="1"/>
            </w:tcBorders>
            <w:shd w:fill="2F5D50" w:val="clear"/>
            <w:tcMar>
              <w:top w:type="dxa" w:w="70"/>
              <w:left w:type="dxa" w:w="110"/>
              <w:bottom w:type="dxa" w:w="70"/>
              <w:right w:type="dxa" w:w="110"/>
            </w:tcMar>
            <w:vAlign w:val="center"/>
          </w:tcPr>
          <w:p>
            <w:pPr>
              <w:spacing w:after="0"/>
            </w:pPr>
            <w:r>
              <w:rPr>
                <w:b/>
                <w:bCs/>
                <w:color w:val="FFFFFF"/>
                <w:sz w:val="20"/>
                <w:szCs w:val="20"/>
              </w:rPr>
              <w:t xml:space="preserve">企業名</w:t>
            </w:r>
          </w:p>
        </w:tc>
        <w:tc>
          <w:tcPr>
            <w:tcW w:type="dxa" w:w="6360"/>
            <w:tcBorders>
              <w:top w:val="single" w:color="D9D4CC" w:sz="1"/>
              <w:left w:val="single" w:color="D9D4CC" w:sz="1"/>
              <w:bottom w:val="single" w:color="D9D4CC" w:sz="1"/>
              <w:right w:val="single" w:color="D9D4CC" w:sz="1"/>
            </w:tcBorders>
            <w:shd w:fill="2F5D50" w:val="clear"/>
            <w:tcMar>
              <w:top w:type="dxa" w:w="70"/>
              <w:left w:type="dxa" w:w="110"/>
              <w:bottom w:type="dxa" w:w="70"/>
              <w:right w:type="dxa" w:w="110"/>
            </w:tcMar>
            <w:vAlign w:val="center"/>
          </w:tcPr>
          <w:p>
            <w:pPr>
              <w:spacing w:after="0"/>
            </w:pPr>
            <w:r>
              <w:rPr>
                <w:b/>
                <w:bCs/>
                <w:color w:val="FFFFFF"/>
                <w:sz w:val="20"/>
                <w:szCs w:val="20"/>
              </w:rPr>
              <w:t xml:space="preserve">分野</w:t>
            </w:r>
          </w:p>
        </w:tc>
      </w:tr>
      <w:tr>
        <w:tc>
          <w:tcPr>
            <w:tcW w:type="dxa" w:w="30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白嶺マテリアル</w:t>
            </w:r>
          </w:p>
        </w:tc>
        <w:tc>
          <w:tcPr>
            <w:tcW w:type="dxa" w:w="63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素材・特殊ガラス</w:t>
            </w:r>
          </w:p>
        </w:tc>
      </w:tr>
      <w:tr>
        <w:tc>
          <w:tcPr>
            <w:tcW w:type="dxa" w:w="30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セントク化成</w:t>
            </w:r>
          </w:p>
        </w:tc>
        <w:tc>
          <w:tcPr>
            <w:tcW w:type="dxa" w:w="63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精密化学</w:t>
            </w:r>
          </w:p>
        </w:tc>
      </w:tr>
      <w:tr>
        <w:tc>
          <w:tcPr>
            <w:tcW w:type="dxa" w:w="30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ミハラ電子材料</w:t>
            </w:r>
          </w:p>
        </w:tc>
        <w:tc>
          <w:tcPr>
            <w:tcW w:type="dxa" w:w="63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電子材料</w:t>
            </w:r>
          </w:p>
        </w:tc>
      </w:tr>
      <w:tr>
        <w:tc>
          <w:tcPr>
            <w:tcW w:type="dxa" w:w="30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千石セミコンマテリアル</w:t>
            </w:r>
          </w:p>
        </w:tc>
        <w:tc>
          <w:tcPr>
            <w:tcW w:type="dxa" w:w="63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半導体材料</w:t>
            </w:r>
          </w:p>
        </w:tc>
      </w:tr>
      <w:tr>
        <w:tc>
          <w:tcPr>
            <w:tcW w:type="dxa" w:w="30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コトブキ・エナジー</w:t>
            </w:r>
          </w:p>
        </w:tc>
        <w:tc>
          <w:tcPr>
            <w:tcW w:type="dxa" w:w="63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次世代エネルギー</w:t>
            </w:r>
          </w:p>
        </w:tc>
      </w:tr>
      <w:tr>
        <w:tc>
          <w:tcPr>
            <w:tcW w:type="dxa" w:w="30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桑葉メディカル</w:t>
            </w:r>
          </w:p>
        </w:tc>
        <w:tc>
          <w:tcPr>
            <w:tcW w:type="dxa" w:w="63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医療材料</w:t>
            </w:r>
          </w:p>
        </w:tc>
      </w:tr>
      <w:tr>
        <w:tc>
          <w:tcPr>
            <w:tcW w:type="dxa" w:w="30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トウカル・ロボティクス</w:t>
            </w:r>
          </w:p>
        </w:tc>
        <w:tc>
          <w:tcPr>
            <w:tcW w:type="dxa" w:w="63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ロボティクス</w:t>
            </w:r>
          </w:p>
        </w:tc>
      </w:tr>
    </w:tbl>
    <w:p>
      <w:pPr>
        <w:pStyle w:val="Heading2"/>
      </w:pPr>
      <w:r>
        <w:t xml:space="preserve">D. 主な施設・地名</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rPr>
          <w:tblHeader/>
        </w:trPr>
        <w:tc>
          <w:tcPr>
            <w:tcW w:type="dxa" w:w="4800"/>
            <w:tcBorders>
              <w:top w:val="single" w:color="D9D4CC" w:sz="1"/>
              <w:left w:val="single" w:color="D9D4CC" w:sz="1"/>
              <w:bottom w:val="single" w:color="D9D4CC" w:sz="1"/>
              <w:right w:val="single" w:color="D9D4CC" w:sz="1"/>
            </w:tcBorders>
            <w:shd w:fill="2F5D50" w:val="clear"/>
            <w:tcMar>
              <w:top w:type="dxa" w:w="70"/>
              <w:left w:type="dxa" w:w="110"/>
              <w:bottom w:type="dxa" w:w="70"/>
              <w:right w:type="dxa" w:w="110"/>
            </w:tcMar>
            <w:vAlign w:val="center"/>
          </w:tcPr>
          <w:p>
            <w:pPr>
              <w:spacing w:after="0"/>
            </w:pPr>
            <w:r>
              <w:rPr>
                <w:b/>
                <w:bCs/>
                <w:color w:val="FFFFFF"/>
                <w:sz w:val="20"/>
                <w:szCs w:val="20"/>
              </w:rPr>
              <w:t xml:space="preserve">名称</w:t>
            </w:r>
          </w:p>
        </w:tc>
        <w:tc>
          <w:tcPr>
            <w:tcW w:type="dxa" w:w="4560"/>
            <w:tcBorders>
              <w:top w:val="single" w:color="D9D4CC" w:sz="1"/>
              <w:left w:val="single" w:color="D9D4CC" w:sz="1"/>
              <w:bottom w:val="single" w:color="D9D4CC" w:sz="1"/>
              <w:right w:val="single" w:color="D9D4CC" w:sz="1"/>
            </w:tcBorders>
            <w:shd w:fill="2F5D50" w:val="clear"/>
            <w:tcMar>
              <w:top w:type="dxa" w:w="70"/>
              <w:left w:type="dxa" w:w="110"/>
              <w:bottom w:type="dxa" w:w="70"/>
              <w:right w:type="dxa" w:w="110"/>
            </w:tcMar>
            <w:vAlign w:val="center"/>
          </w:tcPr>
          <w:p>
            <w:pPr>
              <w:spacing w:after="0"/>
            </w:pPr>
            <w:r>
              <w:rPr>
                <w:b/>
                <w:bCs/>
                <w:color w:val="FFFFFF"/>
                <w:sz w:val="20"/>
                <w:szCs w:val="20"/>
              </w:rPr>
              <w:t xml:space="preserve">種別</w:t>
            </w:r>
          </w:p>
        </w:tc>
      </w:tr>
      <w:tr>
        <w:tc>
          <w:tcPr>
            <w:tcW w:type="dxa" w:w="48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東軽井沢駅</w:t>
            </w:r>
          </w:p>
        </w:tc>
        <w:tc>
          <w:tcPr>
            <w:tcW w:type="dxa" w:w="45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新幹線駅</w:t>
            </w:r>
          </w:p>
        </w:tc>
      </w:tr>
      <w:tr>
        <w:tc>
          <w:tcPr>
            <w:tcW w:type="dxa" w:w="48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配車サービス「とうかるライド」</w:t>
            </w:r>
          </w:p>
        </w:tc>
        <w:tc>
          <w:tcPr>
            <w:tcW w:type="dxa" w:w="45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市内交通（市運営）</w:t>
            </w:r>
          </w:p>
        </w:tc>
      </w:tr>
      <w:tr>
        <w:tc>
          <w:tcPr>
            <w:tcW w:type="dxa" w:w="48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桑の里中央公園／千石川グリーンウェイ／見晴の丘公園</w:t>
            </w:r>
          </w:p>
        </w:tc>
        <w:tc>
          <w:tcPr>
            <w:tcW w:type="dxa" w:w="45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公園・緑地</w:t>
            </w:r>
          </w:p>
        </w:tc>
      </w:tr>
      <w:tr>
        <w:tc>
          <w:tcPr>
            <w:tcW w:type="dxa" w:w="48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県立東軽井沢理数高等学校／東軽井沢ケアカレッジ</w:t>
            </w:r>
          </w:p>
        </w:tc>
        <w:tc>
          <w:tcPr>
            <w:tcW w:type="dxa" w:w="45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教育機関</w:t>
            </w:r>
          </w:p>
        </w:tc>
      </w:tr>
      <w:tr>
        <w:tc>
          <w:tcPr>
            <w:tcW w:type="dxa" w:w="48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東軽井沢市民総合病院／見晴台メディカルセンター</w:t>
            </w:r>
          </w:p>
        </w:tc>
        <w:tc>
          <w:tcPr>
            <w:tcW w:type="dxa" w:w="45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医療機関</w:t>
            </w:r>
          </w:p>
        </w:tc>
      </w:tr>
      <w:tr>
        <w:tc>
          <w:tcPr>
            <w:tcW w:type="dxa" w:w="48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東軽保育園 × 東軽シニア園</w:t>
            </w:r>
          </w:p>
        </w:tc>
        <w:tc>
          <w:tcPr>
            <w:tcW w:type="dxa" w:w="45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多世代ケア施設</w:t>
            </w:r>
          </w:p>
        </w:tc>
      </w:tr>
      <w:tr>
        <w:tc>
          <w:tcPr>
            <w:tcW w:type="dxa" w:w="48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東軽ミドルシニア園（仮称）</w:t>
            </w:r>
          </w:p>
        </w:tc>
        <w:tc>
          <w:tcPr>
            <w:tcW w:type="dxa" w:w="45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介護予防施設</w:t>
            </w:r>
          </w:p>
        </w:tc>
      </w:tr>
      <w:tr>
        <w:tc>
          <w:tcPr>
            <w:tcW w:type="dxa" w:w="48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東軽井沢市立美術館／素材科学館 MATERIA</w:t>
            </w:r>
          </w:p>
        </w:tc>
        <w:tc>
          <w:tcPr>
            <w:tcW w:type="dxa" w:w="45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文化・産業観光</w:t>
            </w:r>
          </w:p>
        </w:tc>
      </w:tr>
      <w:tr>
        <w:tc>
          <w:tcPr>
            <w:tcW w:type="dxa" w:w="48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宿場通り／東軽井沢温泉郷／東軽プラムの園</w:t>
            </w:r>
          </w:p>
        </w:tc>
        <w:tc>
          <w:tcPr>
            <w:tcW w:type="dxa" w:w="45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観光</w:t>
            </w:r>
          </w:p>
        </w:tc>
      </w:tr>
      <w:tr>
        <w:tc>
          <w:tcPr>
            <w:tcW w:type="dxa" w:w="48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東軽井沢先端素材研究機構（HIMS）／オープンラボ千石</w:t>
            </w:r>
          </w:p>
        </w:tc>
        <w:tc>
          <w:tcPr>
            <w:tcW w:type="dxa" w:w="45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研究機関</w:t>
            </w:r>
          </w:p>
        </w:tc>
      </w:tr>
    </w:tbl>
    <w:p>
      <w:pPr>
        <w:pStyle w:val="Heading2"/>
      </w:pPr>
      <w:r>
        <w:t xml:space="preserve">E. 保育・介護モデルの主な制度（クイックリファレンス）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9D4CC" w:sz="1"/>
              <w:left w:val="single" w:color="D9D4CC" w:sz="1"/>
              <w:bottom w:val="single" w:color="D9D4CC" w:sz="1"/>
              <w:right w:val="single" w:color="D9D4CC" w:sz="1"/>
            </w:tcBorders>
            <w:shd w:fill="2F5D50" w:val="clear"/>
            <w:tcMar>
              <w:top w:type="dxa" w:w="70"/>
              <w:left w:type="dxa" w:w="110"/>
              <w:bottom w:type="dxa" w:w="70"/>
              <w:right w:type="dxa" w:w="110"/>
            </w:tcMar>
            <w:vAlign w:val="center"/>
          </w:tcPr>
          <w:p>
            <w:pPr>
              <w:spacing w:after="0"/>
            </w:pPr>
            <w:r>
              <w:rPr>
                <w:b/>
                <w:bCs/>
                <w:color w:val="FFFFFF"/>
                <w:sz w:val="20"/>
                <w:szCs w:val="20"/>
              </w:rPr>
              <w:t xml:space="preserve">制度・施設</w:t>
            </w:r>
          </w:p>
        </w:tc>
        <w:tc>
          <w:tcPr>
            <w:tcW w:type="dxa" w:w="6160"/>
            <w:tcBorders>
              <w:top w:val="single" w:color="D9D4CC" w:sz="1"/>
              <w:left w:val="single" w:color="D9D4CC" w:sz="1"/>
              <w:bottom w:val="single" w:color="D9D4CC" w:sz="1"/>
              <w:right w:val="single" w:color="D9D4CC" w:sz="1"/>
            </w:tcBorders>
            <w:shd w:fill="2F5D50" w:val="clear"/>
            <w:tcMar>
              <w:top w:type="dxa" w:w="70"/>
              <w:left w:type="dxa" w:w="110"/>
              <w:bottom w:type="dxa" w:w="70"/>
              <w:right w:type="dxa" w:w="110"/>
            </w:tcMar>
            <w:vAlign w:val="center"/>
          </w:tcPr>
          <w:p>
            <w:pPr>
              <w:spacing w:after="0"/>
            </w:pPr>
            <w:r>
              <w:rPr>
                <w:b/>
                <w:bCs/>
                <w:color w:val="FFFFFF"/>
                <w:sz w:val="20"/>
                <w:szCs w:val="20"/>
              </w:rPr>
              <w:t xml:space="preserve">要点</w:t>
            </w:r>
          </w:p>
        </w:tc>
      </w:tr>
      <w:tr>
        <w:tc>
          <w:tcPr>
            <w:tcW w:type="dxa" w:w="32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シニア保育士制度</w:t>
            </w:r>
          </w:p>
        </w:tc>
        <w:tc>
          <w:tcPr>
            <w:tcW w:type="dxa" w:w="61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子育てを終えたシニアが市の養成講座を経て保育を補佐（有償）</w:t>
            </w:r>
          </w:p>
        </w:tc>
      </w:tr>
      <w:tr>
        <w:tc>
          <w:tcPr>
            <w:tcW w:type="dxa" w:w="32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東軽保育園 × 東軽シニア園</w:t>
            </w:r>
          </w:p>
        </w:tc>
        <w:tc>
          <w:tcPr>
            <w:tcW w:type="dxa" w:w="61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保育園と高齢者通所施設を同一施設に併設した多世代交流拠点</w:t>
            </w:r>
          </w:p>
        </w:tc>
      </w:tr>
      <w:tr>
        <w:tc>
          <w:tcPr>
            <w:tcW w:type="dxa" w:w="32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ベビーシッター登録制度</w:t>
            </w:r>
          </w:p>
        </w:tc>
        <w:tc>
          <w:tcPr>
            <w:tcW w:type="dxa" w:w="61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市内の育児終了者が研修・登録。病児・土日・夜間に対応</w:t>
            </w:r>
          </w:p>
        </w:tc>
      </w:tr>
      <w:tr>
        <w:tc>
          <w:tcPr>
            <w:tcW w:type="dxa" w:w="32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とうかるシッター</w:t>
            </w:r>
          </w:p>
        </w:tc>
        <w:tc>
          <w:tcPr>
            <w:tcW w:type="dxa" w:w="61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シッターと利用者をつなぐ市独自のマッチングアプリ</w:t>
            </w:r>
          </w:p>
        </w:tc>
      </w:tr>
      <w:tr>
        <w:tc>
          <w:tcPr>
            <w:tcW w:type="dxa" w:w="32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東軽ミドルシニア園（仮称）</w:t>
            </w:r>
          </w:p>
        </w:tc>
        <w:tc>
          <w:tcPr>
            <w:tcW w:type="dxa" w:w="61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要支援未満〜要支援が対象。要介護への移行を防ぐ予防施設</w:t>
            </w:r>
          </w:p>
        </w:tc>
      </w:tr>
      <w:tr>
        <w:tc>
          <w:tcPr>
            <w:tcW w:type="dxa" w:w="32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生涯現役支援</w:t>
            </w:r>
          </w:p>
        </w:tc>
        <w:tc>
          <w:tcPr>
            <w:tcW w:type="dxa" w:w="61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老人施設入居者が軽作業や役割を担い、社会参加と収入を得る</w:t>
            </w:r>
          </w:p>
        </w:tc>
      </w:tr>
      <w:tr>
        <w:tc>
          <w:tcPr>
            <w:tcW w:type="dxa" w:w="320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bCs/>
                <w:sz w:val="19"/>
                <w:szCs w:val="19"/>
              </w:rPr>
              <w:t xml:space="preserve">キッズニア×シニア版</w:t>
            </w:r>
          </w:p>
        </w:tc>
        <w:tc>
          <w:tcPr>
            <w:tcW w:type="dxa" w:w="6160"/>
            <w:tcBorders>
              <w:top w:val="single" w:color="D9D4CC" w:sz="1"/>
              <w:left w:val="single" w:color="D9D4CC" w:sz="1"/>
              <w:bottom w:val="single" w:color="D9D4CC" w:sz="1"/>
              <w:right w:val="single" w:color="D9D4CC" w:sz="1"/>
            </w:tcBorders>
            <w:shd w:fill="FFFFFF" w:val="clear"/>
            <w:tcMar>
              <w:top w:type="dxa" w:w="60"/>
              <w:left w:type="dxa" w:w="110"/>
              <w:bottom w:type="dxa" w:w="60"/>
              <w:right w:type="dxa" w:w="110"/>
            </w:tcMar>
            <w:vAlign w:val="center"/>
          </w:tcPr>
          <w:p>
            <w:pPr>
              <w:spacing w:after="0" w:line="270"/>
            </w:pPr>
            <w:r>
              <w:rPr>
                <w:b w:val="false"/>
                <w:bCs w:val="false"/>
                <w:sz w:val="19"/>
                <w:szCs w:val="19"/>
              </w:rPr>
              <w:t xml:space="preserve">シニアが職業や得意を再体験できる社会参加・予防の施設</w:t>
            </w:r>
          </w:p>
        </w:tc>
      </w:tr>
      <w:tr>
        <w:tc>
          <w:tcPr>
            <w:tcW w:type="dxa" w:w="320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bCs/>
                <w:sz w:val="19"/>
                <w:szCs w:val="19"/>
              </w:rPr>
              <w:t xml:space="preserve">介護職人材優遇制度</w:t>
            </w:r>
          </w:p>
        </w:tc>
        <w:tc>
          <w:tcPr>
            <w:tcW w:type="dxa" w:w="6160"/>
            <w:tcBorders>
              <w:top w:val="single" w:color="D9D4CC" w:sz="1"/>
              <w:left w:val="single" w:color="D9D4CC" w:sz="1"/>
              <w:bottom w:val="single" w:color="D9D4CC" w:sz="1"/>
              <w:right w:val="single" w:color="D9D4CC" w:sz="1"/>
            </w:tcBorders>
            <w:shd w:fill="F5F3EE" w:val="clear"/>
            <w:tcMar>
              <w:top w:type="dxa" w:w="60"/>
              <w:left w:type="dxa" w:w="110"/>
              <w:bottom w:type="dxa" w:w="60"/>
              <w:right w:type="dxa" w:w="110"/>
            </w:tcMar>
            <w:vAlign w:val="center"/>
          </w:tcPr>
          <w:p>
            <w:pPr>
              <w:spacing w:after="0" w:line="270"/>
            </w:pPr>
            <w:r>
              <w:rPr>
                <w:b w:val="false"/>
                <w:bCs w:val="false"/>
                <w:sz w:val="19"/>
                <w:szCs w:val="19"/>
              </w:rPr>
              <w:t xml:space="preserve">住宅補助・保育料全額補助・資格取得支援・処遇上乗せ</w:t>
            </w:r>
          </w:p>
        </w:tc>
      </w:tr>
    </w:tbl>
    <w:p>
      <w:pPr>
        <w:spacing w:after="120"/>
      </w:pPr>
      <w:r>
        <w:t xml:space="preserve"/>
      </w:r>
    </w:p>
    <w:p>
      <w:pPr>
        <w:pBdr>
          <w:top w:val="single" w:color="2F5D50" w:sz="6" w:space="10"/>
        </w:pBdr>
        <w:spacing w:before="240"/>
        <w:jc w:val="center"/>
      </w:pPr>
      <w:r>
        <w:rPr>
          <w:color w:val="8A8276"/>
          <w:sz w:val="18"/>
          <w:szCs w:val="18"/>
        </w:rPr>
        <w:t xml:space="preserve">東軽井沢市 公式設定（ワールドバイブル）第1版 ── 本書をもって唯一の正とする。</w:t>
      </w:r>
    </w:p>
    <w:sectPr>
      <w:headerReference w:type="default" r:id="rId7"/>
      <w:footerReference w:type="default" r:id="rId8"/>
      <w:pgSz w:w="12240" w:h="15840" w:orient="portrait"/>
      <w:pgMar w:top="1320" w:right="1440" w:bottom="132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4CC" w:sz="4" w:space="4"/>
      </w:pBdr>
      <w:spacing w:before="60"/>
      <w:jc w:val="center"/>
    </w:pPr>
    <w:r>
      <w:rPr>
        <w:color w:val="8A8276"/>
        <w:sz w:val="16"/>
        <w:szCs w:val="16"/>
      </w:rPr>
      <w:t xml:space="preserve">— </w:t>
    </w:r>
    <w:r>
      <w:rPr>
        <w:color w:val="8A8276"/>
        <w:sz w:val="16"/>
        <w:szCs w:val="16"/>
      </w:rPr>
      <w:fldChar w:fldCharType="begin"/>
      <w:instrText xml:space="preserve">PAGE</w:instrText>
      <w:fldChar w:fldCharType="separate"/>
      <w:fldChar w:fldCharType="end"/>
    </w:r>
    <w:r>
      <w:rPr>
        <w:color w:val="8A8276"/>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4CC" w:sz="4" w:space="4"/>
      </w:pBdr>
      <w:tabs>
        <w:tab w:val="right" w:pos="9360"/>
      </w:tabs>
      <w:spacing w:after="60"/>
    </w:pPr>
    <w:r>
      <w:rPr>
        <w:color w:val="8A8276"/>
        <w:sz w:val="15"/>
        <w:szCs w:val="15"/>
      </w:rPr>
      <w:t xml:space="preserve">東軽井沢市 ｜ 公式設定（ワールドバイブル）</w:t>
    </w:r>
    <w:r>
      <w:rPr>
        <w:i/>
        <w:iCs/>
        <w:color w:val="8A8276"/>
        <w:sz w:val="15"/>
        <w:szCs w:val="15"/>
      </w:rPr>
      <w:t xml:space="preserve">	Quiet, by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rPr>
        <w:color w:val="2F5D50"/>
      </w:rPr>
    </w:lvl>
  </w:abstractNum>
  <w:abstractNum w:abstractNumId="3"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color w:val="24242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5D50" w:sz="16" w:space="6"/>
      </w:pBdr>
      <w:spacing w:after="200" w:before="320"/>
      <w:outlineLvl w:val="0"/>
    </w:pPr>
    <w:rPr>
      <w:rFonts w:ascii="Yu Gothic" w:cs="Yu Gothic" w:eastAsia="Yu Gothic" w:hAnsi="Yu Gothic"/>
      <w:b/>
      <w:bCs/>
      <w:color w:val="1C2B2D"/>
      <w:sz w:val="40"/>
      <w:szCs w:val="40"/>
    </w:rPr>
  </w:style>
  <w:style w:type="paragraph" w:styleId="Heading2">
    <w:name w:val="Heading 2"/>
    <w:basedOn w:val="Normal"/>
    <w:next w:val="Normal"/>
    <w:qFormat/>
    <w:pPr>
      <w:pBdr>
        <w:left w:val="single" w:color="B08D57" w:sz="22" w:space="8"/>
      </w:pBdr>
      <w:spacing w:after="130" w:before="260"/>
      <w:ind w:left="120"/>
      <w:outlineLvl w:val="1"/>
    </w:pPr>
    <w:rPr>
      <w:rFonts w:ascii="Yu Gothic" w:cs="Yu Gothic" w:eastAsia="Yu Gothic" w:hAnsi="Yu Gothic"/>
      <w:b/>
      <w:bCs/>
      <w:color w:val="2F5D50"/>
      <w:sz w:val="28"/>
      <w:szCs w:val="28"/>
    </w:rPr>
  </w:style>
  <w:style w:type="paragraph" w:styleId="Heading3">
    <w:name w:val="Heading 3"/>
    <w:basedOn w:val="Normal"/>
    <w:next w:val="Normal"/>
    <w:qFormat/>
    <w:pPr>
      <w:spacing w:after="90" w:before="160"/>
      <w:outlineLvl w:val="2"/>
    </w:pPr>
    <w:rPr>
      <w:rFonts w:ascii="Yu Gothic" w:cs="Yu Gothic" w:eastAsia="Yu Gothic" w:hAnsi="Yu Gothic"/>
      <w:b/>
      <w:bCs/>
      <w:color w:val="1C2B2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東軽井沢市 公式設定（ワールドバイブル）</dc:title>
  <dc:creator>東軽井沢市役所 都市戦略部 都市ブランド室</dc:creator>
  <dc:description>Higashi-Karuizawa City World Bible</dc:description>
  <cp:lastModifiedBy>Un-named</cp:lastModifiedBy>
  <cp:revision>1</cp:revision>
  <dcterms:created xsi:type="dcterms:W3CDTF">2026-06-28T09:39:21.117Z</dcterms:created>
  <dcterms:modified xsi:type="dcterms:W3CDTF">2026-06-28T09:39:21.118Z</dcterms:modified>
</cp:coreProperties>
</file>

<file path=docProps/custom.xml><?xml version="1.0" encoding="utf-8"?>
<Properties xmlns="http://schemas.openxmlformats.org/officeDocument/2006/custom-properties" xmlns:vt="http://schemas.openxmlformats.org/officeDocument/2006/docPropsVTypes"/>
</file>