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lcim-udp-ppt-structure"/>
    <w:p>
      <w:pPr>
        <w:pStyle w:val="Heading1"/>
      </w:pPr>
      <w:r>
        <w:t xml:space="preserve">Holcim UDP – PPT Structure</w:t>
      </w:r>
    </w:p>
    <w:bookmarkEnd w:id="20"/>
    <w:bookmarkStart w:id="21" w:name="Xd1f75623b3739ada1ab6e94361755eafd202ad3"/>
    <w:p>
      <w:pPr>
        <w:pStyle w:val="Heading1"/>
      </w:pPr>
      <w:r>
        <w:t xml:space="preserve">Databricks Governance, Authentication &amp; Access Control Architecture</w:t>
      </w:r>
    </w:p>
    <w:p>
      <w:r>
        <w:pict>
          <v:rect style="width:0;height:1.5pt" o:hralign="center" o:hrstd="t" o:hr="t"/>
        </w:pict>
      </w:r>
    </w:p>
    <w:bookmarkEnd w:id="21"/>
    <w:bookmarkStart w:id="24" w:name="slide-1-title-slide"/>
    <w:p>
      <w:pPr>
        <w:pStyle w:val="Heading1"/>
      </w:pPr>
      <w:r>
        <w:t xml:space="preserve">Slide 1 – Title Slide</w:t>
      </w:r>
    </w:p>
    <w:bookmarkStart w:id="23" w:name="holcim-unified-data-platform-udp"/>
    <w:p>
      <w:pPr>
        <w:pStyle w:val="Heading2"/>
      </w:pPr>
      <w:r>
        <w:t xml:space="preserve">Holcim Unified Data Platform (UDP)</w:t>
      </w:r>
    </w:p>
    <w:bookmarkStart w:id="22" w:name="X04882d27505c22627a24a7d0c3f10b1a48784b4"/>
    <w:p>
      <w:pPr>
        <w:pStyle w:val="Heading3"/>
      </w:pPr>
      <w:r>
        <w:t xml:space="preserve">Databricks Governance, Authentication &amp; Environment Architecture</w:t>
      </w:r>
    </w:p>
    <w:p>
      <w:pPr>
        <w:pStyle w:val="FirstParagraph"/>
      </w:pPr>
      <w:r>
        <w:t xml:space="preserve">Prepared By:</w:t>
      </w:r>
    </w:p>
    <w:p>
      <w:pPr>
        <w:pStyle w:val="Compact"/>
        <w:numPr>
          <w:ilvl w:val="0"/>
          <w:numId w:val="1001"/>
        </w:numPr>
      </w:pPr>
      <w:r>
        <w:t xml:space="preserve">Deloitte</w:t>
      </w:r>
    </w:p>
    <w:p>
      <w:pPr>
        <w:pStyle w:val="FirstParagraph"/>
      </w:pPr>
      <w:r>
        <w:t xml:space="preserve">Project:</w:t>
      </w:r>
    </w:p>
    <w:p>
      <w:pPr>
        <w:pStyle w:val="Compact"/>
        <w:numPr>
          <w:ilvl w:val="0"/>
          <w:numId w:val="1002"/>
        </w:numPr>
      </w:pPr>
      <w:r>
        <w:t xml:space="preserve">Holcim UDP Platform</w:t>
      </w:r>
    </w:p>
    <w:p>
      <w:pPr>
        <w:pStyle w:val="FirstParagraph"/>
      </w:pPr>
      <w:r>
        <w:t xml:space="preserve">Technologies:</w:t>
      </w:r>
    </w:p>
    <w:p>
      <w:pPr>
        <w:pStyle w:val="Compact"/>
        <w:numPr>
          <w:ilvl w:val="0"/>
          <w:numId w:val="1003"/>
        </w:numPr>
      </w:pPr>
      <w:r>
        <w:t xml:space="preserve">Databricks</w:t>
      </w:r>
    </w:p>
    <w:p>
      <w:pPr>
        <w:pStyle w:val="Compact"/>
        <w:numPr>
          <w:ilvl w:val="0"/>
          <w:numId w:val="1003"/>
        </w:numPr>
      </w:pPr>
      <w:r>
        <w:t xml:space="preserve">AWS S3</w:t>
      </w:r>
    </w:p>
    <w:p>
      <w:pPr>
        <w:pStyle w:val="Compact"/>
        <w:numPr>
          <w:ilvl w:val="0"/>
          <w:numId w:val="1003"/>
        </w:numPr>
      </w:pPr>
      <w:r>
        <w:t xml:space="preserve">Unity Catalog</w:t>
      </w:r>
    </w:p>
    <w:p>
      <w:pPr>
        <w:pStyle w:val="Compact"/>
        <w:numPr>
          <w:ilvl w:val="0"/>
          <w:numId w:val="1003"/>
        </w:numPr>
      </w:pPr>
      <w:r>
        <w:t xml:space="preserve">Google Workspace SSO</w:t>
      </w:r>
    </w:p>
    <w:p>
      <w:pPr>
        <w:pStyle w:val="Compact"/>
        <w:numPr>
          <w:ilvl w:val="0"/>
          <w:numId w:val="1003"/>
        </w:numPr>
      </w:pPr>
      <w:r>
        <w:t xml:space="preserve">SCIM</w:t>
      </w:r>
    </w:p>
    <w:p>
      <w:pPr>
        <w:pStyle w:val="Compact"/>
        <w:numPr>
          <w:ilvl w:val="0"/>
          <w:numId w:val="1003"/>
        </w:numPr>
      </w:pPr>
      <w:r>
        <w:t xml:space="preserve">IAM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6" w:name="slide-2-agenda"/>
    <w:p>
      <w:pPr>
        <w:pStyle w:val="Heading1"/>
      </w:pPr>
      <w:r>
        <w:t xml:space="preserve">Slide 2 – Agenda</w:t>
      </w:r>
    </w:p>
    <w:bookmarkStart w:id="25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4"/>
        </w:numPr>
      </w:pPr>
      <w:r>
        <w:t xml:space="preserve">Project Overview</w:t>
      </w:r>
    </w:p>
    <w:p>
      <w:pPr>
        <w:pStyle w:val="Compact"/>
        <w:numPr>
          <w:ilvl w:val="0"/>
          <w:numId w:val="1004"/>
        </w:numPr>
      </w:pPr>
      <w:r>
        <w:t xml:space="preserve">High-Level Platform Architecture</w:t>
      </w:r>
    </w:p>
    <w:p>
      <w:pPr>
        <w:pStyle w:val="Compact"/>
        <w:numPr>
          <w:ilvl w:val="0"/>
          <w:numId w:val="1004"/>
        </w:numPr>
      </w:pPr>
      <w:r>
        <w:t xml:space="preserve">User &amp; Identity Layer</w:t>
      </w:r>
    </w:p>
    <w:p>
      <w:pPr>
        <w:pStyle w:val="Compact"/>
        <w:numPr>
          <w:ilvl w:val="0"/>
          <w:numId w:val="1004"/>
        </w:numPr>
      </w:pPr>
      <w:r>
        <w:t xml:space="preserve">Authentication Layer</w:t>
      </w:r>
    </w:p>
    <w:p>
      <w:pPr>
        <w:pStyle w:val="Compact"/>
        <w:numPr>
          <w:ilvl w:val="0"/>
          <w:numId w:val="1004"/>
        </w:numPr>
      </w:pPr>
      <w:r>
        <w:t xml:space="preserve">SCIM Provisioning Layer</w:t>
      </w:r>
    </w:p>
    <w:p>
      <w:pPr>
        <w:pStyle w:val="Compact"/>
        <w:numPr>
          <w:ilvl w:val="0"/>
          <w:numId w:val="1004"/>
        </w:numPr>
      </w:pPr>
      <w:r>
        <w:t xml:space="preserve">RBAC &amp; Group Management Layer</w:t>
      </w:r>
    </w:p>
    <w:p>
      <w:pPr>
        <w:pStyle w:val="Compact"/>
        <w:numPr>
          <w:ilvl w:val="0"/>
          <w:numId w:val="1004"/>
        </w:numPr>
      </w:pPr>
      <w:r>
        <w:t xml:space="preserve">Databricks Environment Layer</w:t>
      </w:r>
    </w:p>
    <w:p>
      <w:pPr>
        <w:pStyle w:val="Compact"/>
        <w:numPr>
          <w:ilvl w:val="0"/>
          <w:numId w:val="1004"/>
        </w:numPr>
      </w:pPr>
      <w:r>
        <w:t xml:space="preserve">Unity Catalog Governance Layer</w:t>
      </w:r>
    </w:p>
    <w:p>
      <w:pPr>
        <w:pStyle w:val="Compact"/>
        <w:numPr>
          <w:ilvl w:val="0"/>
          <w:numId w:val="1004"/>
        </w:numPr>
      </w:pPr>
      <w:r>
        <w:t xml:space="preserve">S3 Storage Architecture Layer</w:t>
      </w:r>
    </w:p>
    <w:p>
      <w:pPr>
        <w:pStyle w:val="Compact"/>
        <w:numPr>
          <w:ilvl w:val="0"/>
          <w:numId w:val="1004"/>
        </w:numPr>
      </w:pPr>
      <w:r>
        <w:t xml:space="preserve">IAM Role-Based Access Layer</w:t>
      </w:r>
    </w:p>
    <w:p>
      <w:pPr>
        <w:pStyle w:val="Compact"/>
        <w:numPr>
          <w:ilvl w:val="0"/>
          <w:numId w:val="1004"/>
        </w:numPr>
      </w:pPr>
      <w:r>
        <w:t xml:space="preserve">Data Product Architecture</w:t>
      </w:r>
    </w:p>
    <w:p>
      <w:pPr>
        <w:pStyle w:val="Compact"/>
        <w:numPr>
          <w:ilvl w:val="0"/>
          <w:numId w:val="1004"/>
        </w:numPr>
      </w:pPr>
      <w:r>
        <w:t xml:space="preserve">Security &amp; Compliance Controls</w:t>
      </w:r>
    </w:p>
    <w:p>
      <w:pPr>
        <w:pStyle w:val="Compact"/>
        <w:numPr>
          <w:ilvl w:val="0"/>
          <w:numId w:val="1004"/>
        </w:numPr>
      </w:pPr>
      <w:r>
        <w:t xml:space="preserve">Operational &amp; CI/CD Approach</w:t>
      </w:r>
    </w:p>
    <w:p>
      <w:pPr>
        <w:pStyle w:val="Compact"/>
        <w:numPr>
          <w:ilvl w:val="0"/>
          <w:numId w:val="1004"/>
        </w:numPr>
      </w:pPr>
      <w:r>
        <w:t xml:space="preserve">Best Practices &amp; Recommendations</w:t>
      </w:r>
    </w:p>
    <w:p>
      <w:pPr>
        <w:pStyle w:val="Compact"/>
        <w:numPr>
          <w:ilvl w:val="0"/>
          <w:numId w:val="1004"/>
        </w:numPr>
      </w:pPr>
      <w:r>
        <w:t xml:space="preserve">Benefits of Proposed Architecture</w:t>
      </w:r>
    </w:p>
    <w:p>
      <w:pPr>
        <w:pStyle w:val="Compact"/>
        <w:numPr>
          <w:ilvl w:val="0"/>
          <w:numId w:val="1004"/>
        </w:numPr>
      </w:pPr>
      <w:r>
        <w:t xml:space="preserve">Final Architecture Summary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slide-3-project-overview"/>
    <w:p>
      <w:pPr>
        <w:pStyle w:val="Heading1"/>
      </w:pPr>
      <w:r>
        <w:t xml:space="preserve">Slide 3 – Project Overview</w:t>
      </w:r>
    </w:p>
    <w:bookmarkStart w:id="27" w:name="project-objective"/>
    <w:p>
      <w:pPr>
        <w:pStyle w:val="Heading2"/>
      </w:pPr>
      <w:r>
        <w:t xml:space="preserve">Project Objective</w:t>
      </w:r>
    </w:p>
    <w:p>
      <w:pPr>
        <w:pStyle w:val="FirstParagraph"/>
      </w:pPr>
      <w:r>
        <w:t xml:space="preserve">Build a secure, scalable and governed enterprise data platform for Holcim using Databricks.</w:t>
      </w:r>
    </w:p>
    <w:bookmarkEnd w:id="27"/>
    <w:bookmarkStart w:id="28" w:name="key-goals"/>
    <w:p>
      <w:pPr>
        <w:pStyle w:val="Heading2"/>
      </w:pPr>
      <w:r>
        <w:t xml:space="preserve">Key Goals</w:t>
      </w:r>
    </w:p>
    <w:p>
      <w:pPr>
        <w:pStyle w:val="Compact"/>
        <w:numPr>
          <w:ilvl w:val="0"/>
          <w:numId w:val="1005"/>
        </w:numPr>
      </w:pPr>
      <w:r>
        <w:t xml:space="preserve">Centralized data platform</w:t>
      </w:r>
    </w:p>
    <w:p>
      <w:pPr>
        <w:pStyle w:val="Compact"/>
        <w:numPr>
          <w:ilvl w:val="0"/>
          <w:numId w:val="1005"/>
        </w:numPr>
      </w:pPr>
      <w:r>
        <w:t xml:space="preserve">Enterprise authentication</w:t>
      </w:r>
    </w:p>
    <w:p>
      <w:pPr>
        <w:pStyle w:val="Compact"/>
        <w:numPr>
          <w:ilvl w:val="0"/>
          <w:numId w:val="1005"/>
        </w:numPr>
      </w:pPr>
      <w:r>
        <w:t xml:space="preserve">Environment isolation</w:t>
      </w:r>
    </w:p>
    <w:p>
      <w:pPr>
        <w:pStyle w:val="Compact"/>
        <w:numPr>
          <w:ilvl w:val="0"/>
          <w:numId w:val="1005"/>
        </w:numPr>
      </w:pPr>
      <w:r>
        <w:t xml:space="preserve">Centralized governance</w:t>
      </w:r>
    </w:p>
    <w:p>
      <w:pPr>
        <w:pStyle w:val="Compact"/>
        <w:numPr>
          <w:ilvl w:val="0"/>
          <w:numId w:val="1005"/>
        </w:numPr>
      </w:pPr>
      <w:r>
        <w:t xml:space="preserve">Secure data access</w:t>
      </w:r>
    </w:p>
    <w:p>
      <w:pPr>
        <w:pStyle w:val="Compact"/>
        <w:numPr>
          <w:ilvl w:val="0"/>
          <w:numId w:val="1005"/>
        </w:numPr>
      </w:pPr>
      <w:r>
        <w:t xml:space="preserve">Scalable data products</w:t>
      </w:r>
    </w:p>
    <w:p>
      <w:pPr>
        <w:pStyle w:val="Compact"/>
        <w:numPr>
          <w:ilvl w:val="0"/>
          <w:numId w:val="1005"/>
        </w:numPr>
      </w:pPr>
      <w:r>
        <w:t xml:space="preserve">AI/ML readiness</w:t>
      </w:r>
    </w:p>
    <w:p>
      <w:pPr>
        <w:pStyle w:val="Compact"/>
        <w:numPr>
          <w:ilvl w:val="0"/>
          <w:numId w:val="1005"/>
        </w:numPr>
      </w:pPr>
      <w:r>
        <w:t xml:space="preserve">Cloud-native architecture</w:t>
      </w:r>
    </w:p>
    <w:bookmarkEnd w:id="28"/>
    <w:bookmarkStart w:id="29" w:name="key-technologies"/>
    <w:p>
      <w:pPr>
        <w:pStyle w:val="Heading2"/>
      </w:pPr>
      <w:r>
        <w:t xml:space="preserve">Key Technologies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Databricks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Unity Catalog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Google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Provisioning</w:t>
            </w:r>
          </w:p>
        </w:tc>
        <w:tc>
          <w:tcPr/>
          <w:p>
            <w:pPr>
              <w:pStyle w:val="Compact"/>
            </w:pPr>
            <w:r>
              <w:t xml:space="preserve">SCIM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Airflow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Transformation</w:t>
            </w:r>
          </w:p>
        </w:tc>
        <w:tc>
          <w:tcPr/>
          <w:p>
            <w:pPr>
              <w:pStyle w:val="Compact"/>
            </w:pPr>
            <w:r>
              <w:t xml:space="preserve">PySpark / dbt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slide-4-high-level-architecture-overview"/>
    <w:p>
      <w:pPr>
        <w:pStyle w:val="Heading1"/>
      </w:pPr>
      <w:r>
        <w:t xml:space="preserve">Slide 4 – High-Level Architecture Overview</w:t>
      </w:r>
    </w:p>
    <w:bookmarkStart w:id="31" w:name="enterprise-architecture-layers"/>
    <w:p>
      <w:pPr>
        <w:pStyle w:val="Heading2"/>
      </w:pPr>
      <w:r>
        <w:t xml:space="preserve">Enterprise Architecture Layers</w:t>
      </w:r>
    </w:p>
    <w:p>
      <w:pPr>
        <w:pStyle w:val="Compact"/>
        <w:numPr>
          <w:ilvl w:val="0"/>
          <w:numId w:val="1006"/>
        </w:numPr>
      </w:pPr>
      <w:r>
        <w:t xml:space="preserve">User &amp; Identity Layer</w:t>
      </w:r>
    </w:p>
    <w:p>
      <w:pPr>
        <w:pStyle w:val="Compact"/>
        <w:numPr>
          <w:ilvl w:val="0"/>
          <w:numId w:val="1006"/>
        </w:numPr>
      </w:pPr>
      <w:r>
        <w:t xml:space="preserve">Authentication Layer</w:t>
      </w:r>
    </w:p>
    <w:p>
      <w:pPr>
        <w:pStyle w:val="Compact"/>
        <w:numPr>
          <w:ilvl w:val="0"/>
          <w:numId w:val="1006"/>
        </w:numPr>
      </w:pPr>
      <w:r>
        <w:t xml:space="preserve">SCIM Provisioning Layer</w:t>
      </w:r>
    </w:p>
    <w:p>
      <w:pPr>
        <w:pStyle w:val="Compact"/>
        <w:numPr>
          <w:ilvl w:val="0"/>
          <w:numId w:val="1006"/>
        </w:numPr>
      </w:pPr>
      <w:r>
        <w:t xml:space="preserve">RBAC &amp; Access Management Layer</w:t>
      </w:r>
    </w:p>
    <w:p>
      <w:pPr>
        <w:pStyle w:val="Compact"/>
        <w:numPr>
          <w:ilvl w:val="0"/>
          <w:numId w:val="1006"/>
        </w:numPr>
      </w:pPr>
      <w:r>
        <w:t xml:space="preserve">Databricks Workspace Layer</w:t>
      </w:r>
    </w:p>
    <w:p>
      <w:pPr>
        <w:pStyle w:val="Compact"/>
        <w:numPr>
          <w:ilvl w:val="0"/>
          <w:numId w:val="1006"/>
        </w:numPr>
      </w:pPr>
      <w:r>
        <w:t xml:space="preserve">Unity Catalog Governance Layer</w:t>
      </w:r>
    </w:p>
    <w:p>
      <w:pPr>
        <w:pStyle w:val="Compact"/>
        <w:numPr>
          <w:ilvl w:val="0"/>
          <w:numId w:val="1006"/>
        </w:numPr>
      </w:pPr>
      <w:r>
        <w:t xml:space="preserve">S3 Storage Layer</w:t>
      </w:r>
    </w:p>
    <w:p>
      <w:pPr>
        <w:pStyle w:val="Compact"/>
        <w:numPr>
          <w:ilvl w:val="0"/>
          <w:numId w:val="1006"/>
        </w:numPr>
      </w:pPr>
      <w:r>
        <w:t xml:space="preserve">Data Processing &amp; Transformation Layer</w:t>
      </w:r>
    </w:p>
    <w:p>
      <w:pPr>
        <w:pStyle w:val="Compact"/>
        <w:numPr>
          <w:ilvl w:val="0"/>
          <w:numId w:val="1006"/>
        </w:numPr>
      </w:pPr>
      <w:r>
        <w:t xml:space="preserve">Data Product Layer</w:t>
      </w:r>
    </w:p>
    <w:p>
      <w:pPr>
        <w:pStyle w:val="Compact"/>
        <w:numPr>
          <w:ilvl w:val="0"/>
          <w:numId w:val="1006"/>
        </w:numPr>
      </w:pPr>
      <w:r>
        <w:t xml:space="preserve">Consumption Layer</w:t>
      </w:r>
    </w:p>
    <w:bookmarkEnd w:id="31"/>
    <w:bookmarkStart w:id="32" w:name="key-design-principles"/>
    <w:p>
      <w:pPr>
        <w:pStyle w:val="Heading2"/>
      </w:pPr>
      <w:r>
        <w:t xml:space="preserve">Key Design Principles</w:t>
      </w:r>
    </w:p>
    <w:p>
      <w:pPr>
        <w:pStyle w:val="Compact"/>
        <w:numPr>
          <w:ilvl w:val="0"/>
          <w:numId w:val="1007"/>
        </w:numPr>
      </w:pPr>
      <w:r>
        <w:t xml:space="preserve">Security-first architecture</w:t>
      </w:r>
    </w:p>
    <w:p>
      <w:pPr>
        <w:pStyle w:val="Compact"/>
        <w:numPr>
          <w:ilvl w:val="0"/>
          <w:numId w:val="1007"/>
        </w:numPr>
      </w:pPr>
      <w:r>
        <w:t xml:space="preserve">Centralized governance</w:t>
      </w:r>
    </w:p>
    <w:p>
      <w:pPr>
        <w:pStyle w:val="Compact"/>
        <w:numPr>
          <w:ilvl w:val="0"/>
          <w:numId w:val="1007"/>
        </w:numPr>
      </w:pPr>
      <w:r>
        <w:t xml:space="preserve">Data-centric access control</w:t>
      </w:r>
    </w:p>
    <w:p>
      <w:pPr>
        <w:pStyle w:val="Compact"/>
        <w:numPr>
          <w:ilvl w:val="0"/>
          <w:numId w:val="1007"/>
        </w:numPr>
      </w:pPr>
      <w:r>
        <w:t xml:space="preserve">Environment isolation</w:t>
      </w:r>
    </w:p>
    <w:p>
      <w:pPr>
        <w:pStyle w:val="Compact"/>
        <w:numPr>
          <w:ilvl w:val="0"/>
          <w:numId w:val="1007"/>
        </w:numPr>
      </w:pPr>
      <w:r>
        <w:t xml:space="preserve">Least privilege access</w:t>
      </w:r>
    </w:p>
    <w:p>
      <w:pPr>
        <w:pStyle w:val="Compact"/>
        <w:numPr>
          <w:ilvl w:val="0"/>
          <w:numId w:val="1007"/>
        </w:numPr>
      </w:pPr>
      <w:r>
        <w:t xml:space="preserve">Cloud-native scalability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lide-5-user-identity-layer"/>
    <w:p>
      <w:pPr>
        <w:pStyle w:val="Heading1"/>
      </w:pPr>
      <w:r>
        <w:t xml:space="preserve">Slide 5 – User &amp; Identity Layer</w:t>
      </w:r>
    </w:p>
    <w:bookmarkEnd w:id="34"/>
    <w:bookmarkStart w:id="40" w:name="user-identity-layer"/>
    <w:p>
      <w:pPr>
        <w:pStyle w:val="Heading1"/>
      </w:pPr>
      <w:r>
        <w:t xml:space="preserve">User &amp; Identity Layer</w:t>
      </w:r>
    </w:p>
    <w:bookmarkStart w:id="35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centralized enterprise identity management.</w:t>
      </w:r>
    </w:p>
    <w:bookmarkEnd w:id="35"/>
    <w:bookmarkStart w:id="36" w:name="identity-provider"/>
    <w:p>
      <w:pPr>
        <w:pStyle w:val="Heading2"/>
      </w:pPr>
      <w:r>
        <w:t xml:space="preserve">Identity Provider</w:t>
      </w:r>
    </w:p>
    <w:p>
      <w:pPr>
        <w:pStyle w:val="FirstParagraph"/>
      </w:pPr>
      <w:r>
        <w:t xml:space="preserve">Google Workspace acts as the centralized Identity Provider (IdP).</w:t>
      </w:r>
    </w:p>
    <w:bookmarkEnd w:id="36"/>
    <w:bookmarkStart w:id="37" w:name="responsibilities"/>
    <w:p>
      <w:pPr>
        <w:pStyle w:val="Heading2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User identity management</w:t>
      </w:r>
    </w:p>
    <w:p>
      <w:pPr>
        <w:pStyle w:val="Compact"/>
        <w:numPr>
          <w:ilvl w:val="0"/>
          <w:numId w:val="1008"/>
        </w:numPr>
      </w:pPr>
      <w:r>
        <w:t xml:space="preserve">Authentication management</w:t>
      </w:r>
    </w:p>
    <w:p>
      <w:pPr>
        <w:pStyle w:val="Compact"/>
        <w:numPr>
          <w:ilvl w:val="0"/>
          <w:numId w:val="1008"/>
        </w:numPr>
      </w:pPr>
      <w:r>
        <w:t xml:space="preserve">Group management</w:t>
      </w:r>
    </w:p>
    <w:p>
      <w:pPr>
        <w:pStyle w:val="Compact"/>
        <w:numPr>
          <w:ilvl w:val="0"/>
          <w:numId w:val="1008"/>
        </w:numPr>
      </w:pPr>
      <w:r>
        <w:t xml:space="preserve">MFA enforcement</w:t>
      </w:r>
    </w:p>
    <w:p>
      <w:pPr>
        <w:pStyle w:val="Compact"/>
        <w:numPr>
          <w:ilvl w:val="0"/>
          <w:numId w:val="1008"/>
        </w:numPr>
      </w:pPr>
      <w:r>
        <w:t xml:space="preserve">User lifecycle management</w:t>
      </w:r>
    </w:p>
    <w:p>
      <w:pPr>
        <w:pStyle w:val="Compact"/>
        <w:numPr>
          <w:ilvl w:val="0"/>
          <w:numId w:val="1008"/>
        </w:numPr>
      </w:pPr>
      <w:r>
        <w:t xml:space="preserve">Enterprise policy enforcement</w:t>
      </w:r>
    </w:p>
    <w:bookmarkEnd w:id="37"/>
    <w:bookmarkStart w:id="38" w:name="benefits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09"/>
        </w:numPr>
      </w:pPr>
      <w:r>
        <w:t xml:space="preserve">Centralized identity governance</w:t>
      </w:r>
    </w:p>
    <w:p>
      <w:pPr>
        <w:pStyle w:val="Compact"/>
        <w:numPr>
          <w:ilvl w:val="0"/>
          <w:numId w:val="1009"/>
        </w:numPr>
      </w:pPr>
      <w:r>
        <w:t xml:space="preserve">Enterprise-grade security</w:t>
      </w:r>
    </w:p>
    <w:p>
      <w:pPr>
        <w:pStyle w:val="Compact"/>
        <w:numPr>
          <w:ilvl w:val="0"/>
          <w:numId w:val="1009"/>
        </w:numPr>
      </w:pPr>
      <w:r>
        <w:t xml:space="preserve">Simplified onboarding/offboarding</w:t>
      </w:r>
    </w:p>
    <w:p>
      <w:pPr>
        <w:pStyle w:val="Compact"/>
        <w:numPr>
          <w:ilvl w:val="0"/>
          <w:numId w:val="1009"/>
        </w:numPr>
      </w:pPr>
      <w:r>
        <w:t xml:space="preserve">Single source of truth</w:t>
      </w:r>
    </w:p>
    <w:bookmarkEnd w:id="38"/>
    <w:bookmarkStart w:id="39" w:name="components"/>
    <w:p>
      <w:pPr>
        <w:pStyle w:val="Heading2"/>
      </w:pPr>
      <w:r>
        <w:t xml:space="preserve">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Workspace</w:t>
            </w:r>
          </w:p>
        </w:tc>
        <w:tc>
          <w:tcPr/>
          <w:p>
            <w:pPr>
              <w:pStyle w:val="Compact"/>
            </w:pPr>
            <w:r>
              <w:t xml:space="preserve">Identity Provider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Google Groups</w:t>
            </w:r>
          </w:p>
        </w:tc>
        <w:tc>
          <w:tcPr/>
          <w:p>
            <w:pPr>
              <w:pStyle w:val="Compact"/>
            </w:pPr>
            <w:r>
              <w:t xml:space="preserve">RBAC 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Security enforcement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1" w:name="slide-6-authentication-layer"/>
    <w:p>
      <w:pPr>
        <w:pStyle w:val="Heading1"/>
      </w:pPr>
      <w:r>
        <w:t xml:space="preserve">Slide 6 – Authentication Layer</w:t>
      </w:r>
    </w:p>
    <w:bookmarkEnd w:id="41"/>
    <w:bookmarkStart w:id="47" w:name="authentication-layer"/>
    <w:p>
      <w:pPr>
        <w:pStyle w:val="Heading1"/>
      </w:pPr>
      <w:r>
        <w:t xml:space="preserve">Authentication Layer</w:t>
      </w:r>
    </w:p>
    <w:bookmarkStart w:id="42" w:name="objective-1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Enable secure enterprise Single Sign-On (SSO).</w:t>
      </w:r>
    </w:p>
    <w:bookmarkEnd w:id="42"/>
    <w:bookmarkStart w:id="43" w:name="authentication-flow"/>
    <w:p>
      <w:pPr>
        <w:pStyle w:val="Heading2"/>
      </w:pPr>
      <w:r>
        <w:t xml:space="preserve">Authentication Flow</w:t>
      </w:r>
    </w:p>
    <w:p>
      <w:pPr>
        <w:pStyle w:val="Compact"/>
        <w:numPr>
          <w:ilvl w:val="0"/>
          <w:numId w:val="1010"/>
        </w:numPr>
      </w:pPr>
      <w:r>
        <w:t xml:space="preserve">User opens Databricks workspace</w:t>
      </w:r>
    </w:p>
    <w:p>
      <w:pPr>
        <w:pStyle w:val="Compact"/>
        <w:numPr>
          <w:ilvl w:val="0"/>
          <w:numId w:val="1010"/>
        </w:numPr>
      </w:pPr>
      <w:r>
        <w:t xml:space="preserve">Databricks redirects to Google login</w:t>
      </w:r>
    </w:p>
    <w:p>
      <w:pPr>
        <w:pStyle w:val="Compact"/>
        <w:numPr>
          <w:ilvl w:val="0"/>
          <w:numId w:val="1010"/>
        </w:numPr>
      </w:pPr>
      <w:r>
        <w:t xml:space="preserve">User authenticates using Google credentials</w:t>
      </w:r>
    </w:p>
    <w:p>
      <w:pPr>
        <w:pStyle w:val="Compact"/>
        <w:numPr>
          <w:ilvl w:val="0"/>
          <w:numId w:val="1010"/>
        </w:numPr>
      </w:pPr>
      <w:r>
        <w:t xml:space="preserve">Google sends SAML assertion</w:t>
      </w:r>
    </w:p>
    <w:p>
      <w:pPr>
        <w:pStyle w:val="Compact"/>
        <w:numPr>
          <w:ilvl w:val="0"/>
          <w:numId w:val="1010"/>
        </w:numPr>
      </w:pPr>
      <w:r>
        <w:t xml:space="preserve">Databricks validates assertion</w:t>
      </w:r>
    </w:p>
    <w:p>
      <w:pPr>
        <w:pStyle w:val="Compact"/>
        <w:numPr>
          <w:ilvl w:val="0"/>
          <w:numId w:val="1010"/>
        </w:numPr>
      </w:pPr>
      <w:r>
        <w:t xml:space="preserve">Access granted</w:t>
      </w:r>
    </w:p>
    <w:bookmarkEnd w:id="43"/>
    <w:bookmarkStart w:id="44" w:name="protocol-used"/>
    <w:p>
      <w:pPr>
        <w:pStyle w:val="Heading2"/>
      </w:pPr>
      <w:r>
        <w:t xml:space="preserve">Protocol Used</w:t>
      </w:r>
    </w:p>
    <w:p>
      <w:pPr>
        <w:pStyle w:val="Compact"/>
        <w:numPr>
          <w:ilvl w:val="0"/>
          <w:numId w:val="1011"/>
        </w:numPr>
      </w:pPr>
      <w:r>
        <w:t xml:space="preserve">SAML 2.0</w:t>
      </w:r>
    </w:p>
    <w:bookmarkEnd w:id="44"/>
    <w:bookmarkStart w:id="45" w:name="security-controls"/>
    <w:p>
      <w:pPr>
        <w:pStyle w:val="Heading2"/>
      </w:pPr>
      <w:r>
        <w:t xml:space="preserve">Security Controls</w:t>
      </w:r>
    </w:p>
    <w:p>
      <w:pPr>
        <w:pStyle w:val="Compact"/>
        <w:numPr>
          <w:ilvl w:val="0"/>
          <w:numId w:val="1012"/>
        </w:numPr>
      </w:pPr>
      <w:r>
        <w:t xml:space="preserve">MFA</w:t>
      </w:r>
    </w:p>
    <w:p>
      <w:pPr>
        <w:pStyle w:val="Compact"/>
        <w:numPr>
          <w:ilvl w:val="0"/>
          <w:numId w:val="1012"/>
        </w:numPr>
      </w:pPr>
      <w:r>
        <w:t xml:space="preserve">Password policies</w:t>
      </w:r>
    </w:p>
    <w:p>
      <w:pPr>
        <w:pStyle w:val="Compact"/>
        <w:numPr>
          <w:ilvl w:val="0"/>
          <w:numId w:val="1012"/>
        </w:numPr>
      </w:pPr>
      <w:r>
        <w:t xml:space="preserve">Session management</w:t>
      </w:r>
    </w:p>
    <w:p>
      <w:pPr>
        <w:pStyle w:val="Compact"/>
        <w:numPr>
          <w:ilvl w:val="0"/>
          <w:numId w:val="1012"/>
        </w:numPr>
      </w:pPr>
      <w:r>
        <w:t xml:space="preserve">Conditional access</w:t>
      </w:r>
    </w:p>
    <w:p>
      <w:pPr>
        <w:pStyle w:val="Compact"/>
        <w:numPr>
          <w:ilvl w:val="0"/>
          <w:numId w:val="1012"/>
        </w:numPr>
      </w:pPr>
      <w:r>
        <w:t xml:space="preserve">Device policies</w:t>
      </w:r>
    </w:p>
    <w:bookmarkEnd w:id="45"/>
    <w:bookmarkStart w:id="46" w:name="benefits-1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3"/>
        </w:numPr>
      </w:pPr>
      <w:r>
        <w:t xml:space="preserve">No local Databricks passwords</w:t>
      </w:r>
    </w:p>
    <w:p>
      <w:pPr>
        <w:pStyle w:val="Compact"/>
        <w:numPr>
          <w:ilvl w:val="0"/>
          <w:numId w:val="1013"/>
        </w:numPr>
      </w:pPr>
      <w:r>
        <w:t xml:space="preserve">Enterprise SSO experience</w:t>
      </w:r>
    </w:p>
    <w:p>
      <w:pPr>
        <w:pStyle w:val="Compact"/>
        <w:numPr>
          <w:ilvl w:val="0"/>
          <w:numId w:val="1013"/>
        </w:numPr>
      </w:pPr>
      <w:r>
        <w:t xml:space="preserve">Centralized authentication</w:t>
      </w:r>
    </w:p>
    <w:p>
      <w:pPr>
        <w:pStyle w:val="Compact"/>
        <w:numPr>
          <w:ilvl w:val="0"/>
          <w:numId w:val="1013"/>
        </w:numPr>
      </w:pPr>
      <w:r>
        <w:t xml:space="preserve">Improved security posture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slide-7-scim-provisioning-layer"/>
    <w:p>
      <w:pPr>
        <w:pStyle w:val="Heading1"/>
      </w:pPr>
      <w:r>
        <w:t xml:space="preserve">Slide 7 – SCIM Provisioning Layer</w:t>
      </w:r>
    </w:p>
    <w:bookmarkEnd w:id="48"/>
    <w:bookmarkStart w:id="53" w:name="scim-provisioning-layer"/>
    <w:p>
      <w:pPr>
        <w:pStyle w:val="Heading1"/>
      </w:pPr>
      <w:r>
        <w:t xml:space="preserve">SCIM Provisioning Layer</w:t>
      </w:r>
    </w:p>
    <w:bookmarkStart w:id="49" w:name="objective-2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Automate user and group lifecycle management.</w:t>
      </w:r>
    </w:p>
    <w:bookmarkEnd w:id="49"/>
    <w:bookmarkStart w:id="50" w:name="scim-responsibilities"/>
    <w:p>
      <w:pPr>
        <w:pStyle w:val="Heading2"/>
      </w:pPr>
      <w:r>
        <w:t xml:space="preserve">SCIM Responsibilities</w:t>
      </w:r>
    </w:p>
    <w:p>
      <w:pPr>
        <w:pStyle w:val="Compact"/>
        <w:numPr>
          <w:ilvl w:val="0"/>
          <w:numId w:val="1014"/>
        </w:numPr>
      </w:pPr>
      <w:r>
        <w:t xml:space="preserve">User provisioning</w:t>
      </w:r>
    </w:p>
    <w:p>
      <w:pPr>
        <w:pStyle w:val="Compact"/>
        <w:numPr>
          <w:ilvl w:val="0"/>
          <w:numId w:val="1014"/>
        </w:numPr>
      </w:pPr>
      <w:r>
        <w:t xml:space="preserve">User deprovisioning</w:t>
      </w:r>
    </w:p>
    <w:p>
      <w:pPr>
        <w:pStyle w:val="Compact"/>
        <w:numPr>
          <w:ilvl w:val="0"/>
          <w:numId w:val="1014"/>
        </w:numPr>
      </w:pPr>
      <w:r>
        <w:t xml:space="preserve">Group synchronization</w:t>
      </w:r>
    </w:p>
    <w:p>
      <w:pPr>
        <w:pStyle w:val="Compact"/>
        <w:numPr>
          <w:ilvl w:val="0"/>
          <w:numId w:val="1014"/>
        </w:numPr>
      </w:pPr>
      <w:r>
        <w:t xml:space="preserve">Role synchronization</w:t>
      </w:r>
    </w:p>
    <w:p>
      <w:pPr>
        <w:pStyle w:val="Compact"/>
        <w:numPr>
          <w:ilvl w:val="0"/>
          <w:numId w:val="1014"/>
        </w:numPr>
      </w:pPr>
      <w:r>
        <w:t xml:space="preserve">Automated onboarding/offboarding</w:t>
      </w:r>
    </w:p>
    <w:bookmarkEnd w:id="50"/>
    <w:bookmarkStart w:id="51" w:name="provisioning-flow"/>
    <w:p>
      <w:pPr>
        <w:pStyle w:val="Heading2"/>
      </w:pPr>
      <w:r>
        <w:t xml:space="preserve">Provisioning Flow</w:t>
      </w:r>
    </w:p>
    <w:p>
      <w:pPr>
        <w:pStyle w:val="FirstParagraph"/>
      </w:pPr>
      <w:r>
        <w:t xml:space="preserve">Google Workspace</w:t>
      </w:r>
      <w:r>
        <w:t xml:space="preserve"> </w:t>
      </w:r>
      <w:r>
        <w:t xml:space="preserve">↓</w:t>
      </w:r>
      <w:r>
        <w:t xml:space="preserve"> </w:t>
      </w:r>
      <w:r>
        <w:t xml:space="preserve">SCIM Sync</w:t>
      </w:r>
      <w:r>
        <w:t xml:space="preserve"> </w:t>
      </w:r>
      <w:r>
        <w:t xml:space="preserve">↓</w:t>
      </w:r>
      <w:r>
        <w:t xml:space="preserve"> </w:t>
      </w:r>
      <w:r>
        <w:t xml:space="preserve">Databricks User Creation</w:t>
      </w:r>
      <w:r>
        <w:t xml:space="preserve"> </w:t>
      </w:r>
      <w:r>
        <w:t xml:space="preserve">↓</w:t>
      </w:r>
      <w:r>
        <w:t xml:space="preserve"> </w:t>
      </w:r>
      <w:r>
        <w:t xml:space="preserve">Group Assignment</w:t>
      </w:r>
      <w:r>
        <w:t xml:space="preserve"> </w:t>
      </w:r>
      <w:r>
        <w:t xml:space="preserve">↓</w:t>
      </w:r>
      <w:r>
        <w:t xml:space="preserve"> </w:t>
      </w:r>
      <w:r>
        <w:t xml:space="preserve">Access Provisioning</w:t>
      </w:r>
    </w:p>
    <w:bookmarkEnd w:id="51"/>
    <w:bookmarkStart w:id="52" w:name="benefits-2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5"/>
        </w:numPr>
      </w:pPr>
      <w:r>
        <w:t xml:space="preserve">Eliminates manual user creation</w:t>
      </w:r>
    </w:p>
    <w:p>
      <w:pPr>
        <w:pStyle w:val="Compact"/>
        <w:numPr>
          <w:ilvl w:val="0"/>
          <w:numId w:val="1015"/>
        </w:numPr>
      </w:pPr>
      <w:r>
        <w:t xml:space="preserve">Automatic access revocation</w:t>
      </w:r>
    </w:p>
    <w:p>
      <w:pPr>
        <w:pStyle w:val="Compact"/>
        <w:numPr>
          <w:ilvl w:val="0"/>
          <w:numId w:val="1015"/>
        </w:numPr>
      </w:pPr>
      <w:r>
        <w:t xml:space="preserve">Governance compliance</w:t>
      </w:r>
    </w:p>
    <w:p>
      <w:pPr>
        <w:pStyle w:val="Compact"/>
        <w:numPr>
          <w:ilvl w:val="0"/>
          <w:numId w:val="1015"/>
        </w:numPr>
      </w:pPr>
      <w:r>
        <w:t xml:space="preserve">Reduced operational overhead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lide-8-rbac-group-management-layer"/>
    <w:p>
      <w:pPr>
        <w:pStyle w:val="Heading1"/>
      </w:pPr>
      <w:r>
        <w:t xml:space="preserve">Slide 8 – RBAC &amp; Group Management Layer</w:t>
      </w:r>
    </w:p>
    <w:bookmarkEnd w:id="54"/>
    <w:bookmarkStart w:id="59" w:name="rbac-group-management-layer"/>
    <w:p>
      <w:pPr>
        <w:pStyle w:val="Heading1"/>
      </w:pPr>
      <w:r>
        <w:t xml:space="preserve">RBAC &amp; Group Management Layer</w:t>
      </w:r>
    </w:p>
    <w:bookmarkStart w:id="55" w:name="objective-3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Implement enterprise Role-Based Access Control (RBAC).</w:t>
      </w:r>
    </w:p>
    <w:bookmarkEnd w:id="55"/>
    <w:bookmarkStart w:id="56" w:name="recommended-access-model"/>
    <w:p>
      <w:pPr>
        <w:pStyle w:val="Heading2"/>
      </w:pPr>
      <w:r>
        <w:t xml:space="preserve">Recommended Access Model</w:t>
      </w:r>
    </w:p>
    <w:p>
      <w:pPr>
        <w:pStyle w:val="FirstParagraph"/>
      </w:pPr>
      <w:r>
        <w:t xml:space="preserve">User</w:t>
      </w:r>
      <w:r>
        <w:t xml:space="preserve"> </w:t>
      </w:r>
      <w:r>
        <w:t xml:space="preserve">↓</w:t>
      </w:r>
      <w:r>
        <w:t xml:space="preserve"> </w:t>
      </w:r>
      <w:r>
        <w:t xml:space="preserve">Google Group</w:t>
      </w:r>
      <w:r>
        <w:t xml:space="preserve"> </w:t>
      </w:r>
      <w:r>
        <w:t xml:space="preserve">↓</w:t>
      </w:r>
      <w:r>
        <w:t xml:space="preserve"> </w:t>
      </w:r>
      <w:r>
        <w:t xml:space="preserve">Databricks Group</w:t>
      </w:r>
      <w:r>
        <w:t xml:space="preserve"> </w:t>
      </w:r>
      <w:r>
        <w:t xml:space="preserve">↓</w:t>
      </w:r>
      <w:r>
        <w:t xml:space="preserve"> </w:t>
      </w:r>
      <w:r>
        <w:t xml:space="preserve">Unity Catalog Permission</w:t>
      </w:r>
      <w:r>
        <w:t xml:space="preserve"> </w:t>
      </w:r>
      <w:r>
        <w:t xml:space="preserve">↓</w:t>
      </w:r>
      <w:r>
        <w:t xml:space="preserve"> </w:t>
      </w:r>
      <w:r>
        <w:t xml:space="preserve">Data Access</w:t>
      </w:r>
    </w:p>
    <w:bookmarkEnd w:id="56"/>
    <w:bookmarkStart w:id="57" w:name="best-practices"/>
    <w:p>
      <w:pPr>
        <w:pStyle w:val="Heading2"/>
      </w:pPr>
      <w:r>
        <w:t xml:space="preserve">Best Practices</w:t>
      </w:r>
    </w:p>
    <w:p>
      <w:pPr>
        <w:pStyle w:val="Compact"/>
        <w:numPr>
          <w:ilvl w:val="0"/>
          <w:numId w:val="1016"/>
        </w:numPr>
      </w:pPr>
      <w:r>
        <w:t xml:space="preserve">No direct user permissions</w:t>
      </w:r>
    </w:p>
    <w:p>
      <w:pPr>
        <w:pStyle w:val="Compact"/>
        <w:numPr>
          <w:ilvl w:val="0"/>
          <w:numId w:val="1016"/>
        </w:numPr>
      </w:pPr>
      <w:r>
        <w:t xml:space="preserve">Group-based access only</w:t>
      </w:r>
    </w:p>
    <w:p>
      <w:pPr>
        <w:pStyle w:val="Compact"/>
        <w:numPr>
          <w:ilvl w:val="0"/>
          <w:numId w:val="1016"/>
        </w:numPr>
      </w:pPr>
      <w:r>
        <w:t xml:space="preserve">Least privilege model</w:t>
      </w:r>
    </w:p>
    <w:p>
      <w:pPr>
        <w:pStyle w:val="Compact"/>
        <w:numPr>
          <w:ilvl w:val="0"/>
          <w:numId w:val="1016"/>
        </w:numPr>
      </w:pPr>
      <w:r>
        <w:t xml:space="preserve">Centralized role management</w:t>
      </w:r>
    </w:p>
    <w:bookmarkEnd w:id="57"/>
    <w:bookmarkStart w:id="58" w:name="example-groups"/>
    <w:p>
      <w:pPr>
        <w:pStyle w:val="Heading2"/>
      </w:pPr>
      <w:r>
        <w:t xml:space="preserve">Example Groups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grp_dlk_finance_read</w:t>
            </w:r>
          </w:p>
        </w:tc>
        <w:tc>
          <w:tcPr/>
          <w:p>
            <w:pPr>
              <w:pStyle w:val="Compact"/>
            </w:pPr>
            <w:r>
              <w:t xml:space="preserve">Finance read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grp_dlk_sales_write</w:t>
            </w:r>
          </w:p>
        </w:tc>
        <w:tc>
          <w:tcPr/>
          <w:p>
            <w:pPr>
              <w:pStyle w:val="Compact"/>
            </w:pPr>
            <w:r>
              <w:t xml:space="preserve">Sales write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grp_dlk_platform_admin</w:t>
            </w:r>
          </w:p>
        </w:tc>
        <w:tc>
          <w:tcPr/>
          <w:p>
            <w:pPr>
              <w:pStyle w:val="Compact"/>
            </w:pPr>
            <w:r>
              <w:t xml:space="preserve">Platform administration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slide-9-databricks-environment-layer"/>
    <w:p>
      <w:pPr>
        <w:pStyle w:val="Heading1"/>
      </w:pPr>
      <w:r>
        <w:t xml:space="preserve">Slide 9 – Databricks Environment Layer</w:t>
      </w:r>
    </w:p>
    <w:bookmarkEnd w:id="60"/>
    <w:bookmarkStart w:id="66" w:name="databricks-environment-layer"/>
    <w:p>
      <w:pPr>
        <w:pStyle w:val="Heading1"/>
      </w:pPr>
      <w:r>
        <w:t xml:space="preserve">Databricks Environment Layer</w:t>
      </w:r>
    </w:p>
    <w:bookmarkStart w:id="61" w:name="objective-4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isolated enterprise environments.</w:t>
      </w:r>
    </w:p>
    <w:bookmarkEnd w:id="61"/>
    <w:bookmarkStart w:id="62" w:name="workspace-strategy"/>
    <w:p>
      <w:pPr>
        <w:pStyle w:val="Heading2"/>
      </w:pPr>
      <w:r>
        <w:t xml:space="preserve">Workspace Strategy</w:t>
      </w:r>
    </w:p>
    <w:p>
      <w:pPr>
        <w:pStyle w:val="FirstParagraph"/>
      </w:pPr>
      <w:r>
        <w:t xml:space="preserve">Separate Databricks workspace per environment.</w:t>
      </w:r>
    </w:p>
    <w:bookmarkEnd w:id="62"/>
    <w:bookmarkStart w:id="63" w:name="environment-structure"/>
    <w:p>
      <w:pPr>
        <w:pStyle w:val="Heading2"/>
      </w:pPr>
      <w:r>
        <w:t xml:space="preserve">Environment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holcim-dev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holcim-qa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holcim-prod</w:t>
            </w:r>
          </w:p>
        </w:tc>
      </w:tr>
    </w:tbl>
    <w:bookmarkEnd w:id="63"/>
    <w:bookmarkStart w:id="64" w:name="benefits-3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17"/>
        </w:numPr>
      </w:pPr>
      <w:r>
        <w:t xml:space="preserve">Strong environment isolation</w:t>
      </w:r>
    </w:p>
    <w:p>
      <w:pPr>
        <w:pStyle w:val="Compact"/>
        <w:numPr>
          <w:ilvl w:val="0"/>
          <w:numId w:val="1017"/>
        </w:numPr>
      </w:pPr>
      <w:r>
        <w:t xml:space="preserve">Safer production management</w:t>
      </w:r>
    </w:p>
    <w:p>
      <w:pPr>
        <w:pStyle w:val="Compact"/>
        <w:numPr>
          <w:ilvl w:val="0"/>
          <w:numId w:val="1017"/>
        </w:numPr>
      </w:pPr>
      <w:r>
        <w:t xml:space="preserve">Independent compute configuration</w:t>
      </w:r>
    </w:p>
    <w:p>
      <w:pPr>
        <w:pStyle w:val="Compact"/>
        <w:numPr>
          <w:ilvl w:val="0"/>
          <w:numId w:val="1017"/>
        </w:numPr>
      </w:pPr>
      <w:r>
        <w:t xml:space="preserve">Easier CI/CD integration</w:t>
      </w:r>
    </w:p>
    <w:p>
      <w:pPr>
        <w:pStyle w:val="Compact"/>
        <w:numPr>
          <w:ilvl w:val="0"/>
          <w:numId w:val="1017"/>
        </w:numPr>
      </w:pPr>
      <w:r>
        <w:t xml:space="preserve">Reduced operational risk</w:t>
      </w:r>
    </w:p>
    <w:bookmarkEnd w:id="64"/>
    <w:bookmarkStart w:id="65" w:name="key-principle"/>
    <w:p>
      <w:pPr>
        <w:pStyle w:val="Heading2"/>
      </w:pPr>
      <w:r>
        <w:t xml:space="preserve">Key Principle</w:t>
      </w:r>
    </w:p>
    <w:p>
      <w:pPr>
        <w:pStyle w:val="FirstParagraph"/>
      </w:pPr>
      <w:r>
        <w:t xml:space="preserve">Workspace isolation is used for:</w:t>
      </w:r>
    </w:p>
    <w:p>
      <w:pPr>
        <w:pStyle w:val="Compact"/>
        <w:numPr>
          <w:ilvl w:val="0"/>
          <w:numId w:val="1018"/>
        </w:numPr>
      </w:pPr>
      <w:r>
        <w:t xml:space="preserve">Environment separation</w:t>
      </w:r>
    </w:p>
    <w:p>
      <w:pPr>
        <w:pStyle w:val="FirstParagraph"/>
      </w:pPr>
      <w:r>
        <w:t xml:space="preserve">NOT for:</w:t>
      </w:r>
    </w:p>
    <w:p>
      <w:pPr>
        <w:pStyle w:val="Compact"/>
        <w:numPr>
          <w:ilvl w:val="0"/>
          <w:numId w:val="1019"/>
        </w:numPr>
      </w:pPr>
      <w:r>
        <w:t xml:space="preserve">Business-domain security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lide-10-unity-catalog-governance-layer"/>
    <w:p>
      <w:pPr>
        <w:pStyle w:val="Heading1"/>
      </w:pPr>
      <w:r>
        <w:t xml:space="preserve">Slide 10 – Unity Catalog Governance Layer</w:t>
      </w:r>
    </w:p>
    <w:bookmarkEnd w:id="67"/>
    <w:bookmarkStart w:id="73" w:name="unity-catalog-governance-layer"/>
    <w:p>
      <w:pPr>
        <w:pStyle w:val="Heading1"/>
      </w:pPr>
      <w:r>
        <w:t xml:space="preserve">Unity Catalog Governance Layer</w:t>
      </w:r>
    </w:p>
    <w:bookmarkStart w:id="68" w:name="objective-5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centralized enterprise governance.</w:t>
      </w:r>
    </w:p>
    <w:bookmarkEnd w:id="68"/>
    <w:bookmarkStart w:id="69" w:name="governance-responsibilities"/>
    <w:p>
      <w:pPr>
        <w:pStyle w:val="Heading2"/>
      </w:pPr>
      <w:r>
        <w:t xml:space="preserve">Governance Responsibilities</w:t>
      </w:r>
    </w:p>
    <w:p>
      <w:pPr>
        <w:pStyle w:val="Compact"/>
        <w:numPr>
          <w:ilvl w:val="0"/>
          <w:numId w:val="1020"/>
        </w:numPr>
      </w:pPr>
      <w:r>
        <w:t xml:space="preserve">Access control</w:t>
      </w:r>
    </w:p>
    <w:p>
      <w:pPr>
        <w:pStyle w:val="Compact"/>
        <w:numPr>
          <w:ilvl w:val="0"/>
          <w:numId w:val="1020"/>
        </w:numPr>
      </w:pPr>
      <w:r>
        <w:t xml:space="preserve">Data lineage</w:t>
      </w:r>
    </w:p>
    <w:p>
      <w:pPr>
        <w:pStyle w:val="Compact"/>
        <w:numPr>
          <w:ilvl w:val="0"/>
          <w:numId w:val="1020"/>
        </w:numPr>
      </w:pPr>
      <w:r>
        <w:t xml:space="preserve">Audit logging</w:t>
      </w:r>
    </w:p>
    <w:p>
      <w:pPr>
        <w:pStyle w:val="Compact"/>
        <w:numPr>
          <w:ilvl w:val="0"/>
          <w:numId w:val="1020"/>
        </w:numPr>
      </w:pPr>
      <w:r>
        <w:t xml:space="preserve">Fine-grained permissions</w:t>
      </w:r>
    </w:p>
    <w:p>
      <w:pPr>
        <w:pStyle w:val="Compact"/>
        <w:numPr>
          <w:ilvl w:val="0"/>
          <w:numId w:val="1020"/>
        </w:numPr>
      </w:pPr>
      <w:r>
        <w:t xml:space="preserve">Data discovery</w:t>
      </w:r>
    </w:p>
    <w:p>
      <w:pPr>
        <w:pStyle w:val="Compact"/>
        <w:numPr>
          <w:ilvl w:val="0"/>
          <w:numId w:val="1020"/>
        </w:numPr>
      </w:pPr>
      <w:r>
        <w:t xml:space="preserve">Governance standardization</w:t>
      </w:r>
    </w:p>
    <w:bookmarkEnd w:id="69"/>
    <w:bookmarkStart w:id="70" w:name="governance-model"/>
    <w:p>
      <w:pPr>
        <w:pStyle w:val="Heading2"/>
      </w:pPr>
      <w:r>
        <w:t xml:space="preserve">Governance Model</w:t>
      </w:r>
    </w:p>
    <w:p>
      <w:pPr>
        <w:pStyle w:val="FirstParagraph"/>
      </w:pPr>
      <w:r>
        <w:t xml:space="preserve">Data-centric governance</w:t>
      </w:r>
      <w:r>
        <w:t xml:space="preserve"> </w:t>
      </w:r>
      <w:r>
        <w:t xml:space="preserve">instead of</w:t>
      </w:r>
      <w:r>
        <w:t xml:space="preserve"> </w:t>
      </w:r>
      <w:r>
        <w:t xml:space="preserve">Workspace-centric governance</w:t>
      </w:r>
    </w:p>
    <w:bookmarkEnd w:id="70"/>
    <w:bookmarkStart w:id="71" w:name="permission-levels"/>
    <w:p>
      <w:pPr>
        <w:pStyle w:val="Heading2"/>
      </w:pPr>
      <w:r>
        <w:t xml:space="preserve">Permission Levels</w:t>
      </w:r>
    </w:p>
    <w:p>
      <w:pPr>
        <w:pStyle w:val="Compact"/>
        <w:numPr>
          <w:ilvl w:val="0"/>
          <w:numId w:val="1021"/>
        </w:numPr>
      </w:pPr>
      <w:r>
        <w:t xml:space="preserve">Catalog-level</w:t>
      </w:r>
    </w:p>
    <w:p>
      <w:pPr>
        <w:pStyle w:val="Compact"/>
        <w:numPr>
          <w:ilvl w:val="0"/>
          <w:numId w:val="1021"/>
        </w:numPr>
      </w:pPr>
      <w:r>
        <w:t xml:space="preserve">Schema-level</w:t>
      </w:r>
    </w:p>
    <w:p>
      <w:pPr>
        <w:pStyle w:val="Compact"/>
        <w:numPr>
          <w:ilvl w:val="0"/>
          <w:numId w:val="1021"/>
        </w:numPr>
      </w:pPr>
      <w:r>
        <w:t xml:space="preserve">Table-level</w:t>
      </w:r>
    </w:p>
    <w:p>
      <w:pPr>
        <w:pStyle w:val="Compact"/>
        <w:numPr>
          <w:ilvl w:val="0"/>
          <w:numId w:val="1021"/>
        </w:numPr>
      </w:pPr>
      <w:r>
        <w:t xml:space="preserve">Row-level</w:t>
      </w:r>
    </w:p>
    <w:p>
      <w:pPr>
        <w:pStyle w:val="Compact"/>
        <w:numPr>
          <w:ilvl w:val="0"/>
          <w:numId w:val="1021"/>
        </w:numPr>
      </w:pPr>
      <w:r>
        <w:t xml:space="preserve">Column-level</w:t>
      </w:r>
    </w:p>
    <w:bookmarkEnd w:id="71"/>
    <w:bookmarkStart w:id="72" w:name="benefits-4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22"/>
        </w:numPr>
      </w:pPr>
      <w:r>
        <w:t xml:space="preserve">Centralized governance</w:t>
      </w:r>
    </w:p>
    <w:p>
      <w:pPr>
        <w:pStyle w:val="Compact"/>
        <w:numPr>
          <w:ilvl w:val="0"/>
          <w:numId w:val="1022"/>
        </w:numPr>
      </w:pPr>
      <w:r>
        <w:t xml:space="preserve">Fine-grained security</w:t>
      </w:r>
    </w:p>
    <w:p>
      <w:pPr>
        <w:pStyle w:val="Compact"/>
        <w:numPr>
          <w:ilvl w:val="0"/>
          <w:numId w:val="1022"/>
        </w:numPr>
      </w:pPr>
      <w:r>
        <w:t xml:space="preserve">Enterprise auditability</w:t>
      </w:r>
    </w:p>
    <w:p>
      <w:pPr>
        <w:pStyle w:val="Compact"/>
        <w:numPr>
          <w:ilvl w:val="0"/>
          <w:numId w:val="1022"/>
        </w:numPr>
      </w:pPr>
      <w:r>
        <w:t xml:space="preserve">Scalable access management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slide-11-catalog-schema-architecture"/>
    <w:p>
      <w:pPr>
        <w:pStyle w:val="Heading1"/>
      </w:pPr>
      <w:r>
        <w:t xml:space="preserve">Slide 11 – Catalog &amp; Schema Architecture</w:t>
      </w:r>
    </w:p>
    <w:bookmarkEnd w:id="74"/>
    <w:bookmarkStart w:id="78" w:name="catalog-schema-architecture"/>
    <w:p>
      <w:pPr>
        <w:pStyle w:val="Heading1"/>
      </w:pPr>
      <w:r>
        <w:t xml:space="preserve">Catalog &amp; Schema Architecture</w:t>
      </w:r>
    </w:p>
    <w:bookmarkStart w:id="75" w:name="recommended-catalog-structure"/>
    <w:p>
      <w:pPr>
        <w:pStyle w:val="Heading2"/>
      </w:pPr>
      <w:r>
        <w:t xml:space="preserve">Recommended Catalog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Catalog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finance_catalog</w:t>
            </w:r>
          </w:p>
        </w:tc>
        <w:tc>
          <w:tcPr/>
          <w:p>
            <w:pPr>
              <w:pStyle w:val="Compact"/>
            </w:pPr>
            <w:r>
              <w:t xml:space="preserve">Finance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sales_catalog</w:t>
            </w:r>
          </w:p>
        </w:tc>
        <w:tc>
          <w:tcPr/>
          <w:p>
            <w:pPr>
              <w:pStyle w:val="Compact"/>
            </w:pPr>
            <w:r>
              <w:t xml:space="preserve">Sales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manufacturing_catalog</w:t>
            </w:r>
          </w:p>
        </w:tc>
        <w:tc>
          <w:tcPr/>
          <w:p>
            <w:pPr>
              <w:pStyle w:val="Compact"/>
            </w:pPr>
            <w:r>
              <w:t xml:space="preserve">Manufacturing domain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shared_catalog</w:t>
            </w:r>
          </w:p>
        </w:tc>
        <w:tc>
          <w:tcPr/>
          <w:p>
            <w:pPr>
              <w:pStyle w:val="Compact"/>
            </w:pPr>
            <w:r>
              <w:t xml:space="preserve">Shared enterprise datasets</w:t>
            </w:r>
          </w:p>
        </w:tc>
      </w:tr>
    </w:tbl>
    <w:bookmarkEnd w:id="75"/>
    <w:bookmarkStart w:id="76" w:name="schema-structure"/>
    <w:p>
      <w:pPr>
        <w:pStyle w:val="Heading2"/>
      </w:pPr>
      <w:r>
        <w:t xml:space="preserve">Schema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</w:t>
            </w:r>
          </w:p>
        </w:tc>
        <w:tc>
          <w:tcPr/>
          <w:p>
            <w:pPr>
              <w:pStyle w:val="Compact"/>
            </w:pPr>
            <w:r>
              <w:t xml:space="preserve">Raw ingestion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Cleansed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Business-ready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sandbox</w:t>
            </w:r>
          </w:p>
        </w:tc>
        <w:tc>
          <w:tcPr/>
          <w:p>
            <w:pPr>
              <w:pStyle w:val="Compact"/>
            </w:pPr>
            <w:r>
              <w:t xml:space="preserve">Experimental workloads</w:t>
            </w:r>
          </w:p>
        </w:tc>
      </w:tr>
    </w:tbl>
    <w:bookmarkEnd w:id="76"/>
    <w:bookmarkStart w:id="77" w:name="benefits-5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23"/>
        </w:numPr>
      </w:pPr>
      <w:r>
        <w:t xml:space="preserve">Domain-driven architecture</w:t>
      </w:r>
    </w:p>
    <w:p>
      <w:pPr>
        <w:pStyle w:val="Compact"/>
        <w:numPr>
          <w:ilvl w:val="0"/>
          <w:numId w:val="1023"/>
        </w:numPr>
      </w:pPr>
      <w:r>
        <w:t xml:space="preserve">Clear data ownership</w:t>
      </w:r>
    </w:p>
    <w:p>
      <w:pPr>
        <w:pStyle w:val="Compact"/>
        <w:numPr>
          <w:ilvl w:val="0"/>
          <w:numId w:val="1023"/>
        </w:numPr>
      </w:pPr>
      <w:r>
        <w:t xml:space="preserve">Better governance scalability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slide-12-s3-storage-layer"/>
    <w:p>
      <w:pPr>
        <w:pStyle w:val="Heading1"/>
      </w:pPr>
      <w:r>
        <w:t xml:space="preserve">Slide 12 – S3 Storage Layer</w:t>
      </w:r>
    </w:p>
    <w:bookmarkEnd w:id="79"/>
    <w:bookmarkStart w:id="85" w:name="s3-storage-layer"/>
    <w:p>
      <w:pPr>
        <w:pStyle w:val="Heading1"/>
      </w:pPr>
      <w:r>
        <w:t xml:space="preserve">S3 Storage Layer</w:t>
      </w:r>
    </w:p>
    <w:bookmarkStart w:id="80" w:name="objective-6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secure and isolated cloud storage.</w:t>
      </w:r>
    </w:p>
    <w:bookmarkEnd w:id="80"/>
    <w:bookmarkStart w:id="81" w:name="recommended-strategy"/>
    <w:p>
      <w:pPr>
        <w:pStyle w:val="Heading2"/>
      </w:pPr>
      <w:r>
        <w:t xml:space="preserve">Recommended Strategy</w:t>
      </w:r>
    </w:p>
    <w:p>
      <w:pPr>
        <w:pStyle w:val="FirstParagraph"/>
      </w:pPr>
      <w:r>
        <w:t xml:space="preserve">Separate S3 bucket per environment.</w:t>
      </w:r>
    </w:p>
    <w:bookmarkEnd w:id="81"/>
    <w:bookmarkStart w:id="82" w:name="example-structure"/>
    <w:p>
      <w:pPr>
        <w:pStyle w:val="Heading2"/>
      </w:pPr>
      <w:r>
        <w:t xml:space="preserve">Example Structure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s3://holcim-dev-data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s3://holcim-qa-data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</w:t>
            </w:r>
          </w:p>
        </w:tc>
        <w:tc>
          <w:tcPr/>
          <w:p>
            <w:pPr>
              <w:pStyle w:val="Compact"/>
            </w:pPr>
            <w:r>
              <w:t xml:space="preserve">s3://holcim-prod-data</w:t>
            </w:r>
          </w:p>
        </w:tc>
      </w:tr>
    </w:tbl>
    <w:bookmarkEnd w:id="82"/>
    <w:bookmarkStart w:id="83" w:name="recommended-folder-structure"/>
    <w:p>
      <w:pPr>
        <w:pStyle w:val="Heading2"/>
      </w:pPr>
      <w:r>
        <w:t xml:space="preserve">Recommended Folder Structure</w:t>
      </w:r>
    </w:p>
    <w:p>
      <w:pPr>
        <w:pStyle w:val="Compact"/>
        <w:numPr>
          <w:ilvl w:val="0"/>
          <w:numId w:val="1024"/>
        </w:numPr>
      </w:pPr>
      <w:r>
        <w:t xml:space="preserve">raw/</w:t>
      </w:r>
    </w:p>
    <w:p>
      <w:pPr>
        <w:pStyle w:val="Compact"/>
        <w:numPr>
          <w:ilvl w:val="0"/>
          <w:numId w:val="1024"/>
        </w:numPr>
      </w:pPr>
      <w:r>
        <w:t xml:space="preserve">silver/</w:t>
      </w:r>
    </w:p>
    <w:p>
      <w:pPr>
        <w:pStyle w:val="Compact"/>
        <w:numPr>
          <w:ilvl w:val="0"/>
          <w:numId w:val="1024"/>
        </w:numPr>
      </w:pPr>
      <w:r>
        <w:t xml:space="preserve">gold/</w:t>
      </w:r>
    </w:p>
    <w:p>
      <w:pPr>
        <w:pStyle w:val="Compact"/>
        <w:numPr>
          <w:ilvl w:val="0"/>
          <w:numId w:val="1024"/>
        </w:numPr>
      </w:pPr>
      <w:r>
        <w:t xml:space="preserve">checkpoints/</w:t>
      </w:r>
    </w:p>
    <w:p>
      <w:pPr>
        <w:pStyle w:val="Compact"/>
        <w:numPr>
          <w:ilvl w:val="0"/>
          <w:numId w:val="1024"/>
        </w:numPr>
      </w:pPr>
      <w:r>
        <w:t xml:space="preserve">logs/</w:t>
      </w:r>
    </w:p>
    <w:bookmarkEnd w:id="83"/>
    <w:bookmarkStart w:id="84" w:name="benefits-6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25"/>
        </w:numPr>
      </w:pPr>
      <w:r>
        <w:t xml:space="preserve">Strong isolation</w:t>
      </w:r>
    </w:p>
    <w:p>
      <w:pPr>
        <w:pStyle w:val="Compact"/>
        <w:numPr>
          <w:ilvl w:val="0"/>
          <w:numId w:val="1025"/>
        </w:numPr>
      </w:pPr>
      <w:r>
        <w:t xml:space="preserve">Easier IAM management</w:t>
      </w:r>
    </w:p>
    <w:p>
      <w:pPr>
        <w:pStyle w:val="Compact"/>
        <w:numPr>
          <w:ilvl w:val="0"/>
          <w:numId w:val="1025"/>
        </w:numPr>
      </w:pPr>
      <w:r>
        <w:t xml:space="preserve">Safer production protection</w:t>
      </w:r>
    </w:p>
    <w:p>
      <w:pPr>
        <w:pStyle w:val="Compact"/>
        <w:numPr>
          <w:ilvl w:val="0"/>
          <w:numId w:val="1025"/>
        </w:numPr>
      </w:pPr>
      <w:r>
        <w:t xml:space="preserve">Independent lifecycle policies</w:t>
      </w:r>
    </w:p>
    <w:p>
      <w:pPr>
        <w:pStyle w:val="Compact"/>
        <w:numPr>
          <w:ilvl w:val="0"/>
          <w:numId w:val="1025"/>
        </w:numPr>
      </w:pPr>
      <w:r>
        <w:t xml:space="preserve">Better governance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lide-13-iam-role-based-access-layer"/>
    <w:p>
      <w:pPr>
        <w:pStyle w:val="Heading1"/>
      </w:pPr>
      <w:r>
        <w:t xml:space="preserve">Slide 13 – IAM Role-Based Access Layer</w:t>
      </w:r>
    </w:p>
    <w:bookmarkEnd w:id="86"/>
    <w:bookmarkStart w:id="91" w:name="iam-role-based-access-layer"/>
    <w:p>
      <w:pPr>
        <w:pStyle w:val="Heading1"/>
      </w:pPr>
      <w:r>
        <w:t xml:space="preserve">IAM Role-Based Access Layer</w:t>
      </w:r>
    </w:p>
    <w:bookmarkStart w:id="87" w:name="objective-7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Secure storage access using IAM roles.</w:t>
      </w:r>
    </w:p>
    <w:bookmarkEnd w:id="87"/>
    <w:bookmarkStart w:id="88" w:name="recommended-security-model"/>
    <w:p>
      <w:pPr>
        <w:pStyle w:val="Heading2"/>
      </w:pPr>
      <w:r>
        <w:t xml:space="preserve">Recommended Security Model</w:t>
      </w:r>
    </w:p>
    <w:p>
      <w:pPr>
        <w:pStyle w:val="FirstParagraph"/>
      </w:pPr>
      <w:r>
        <w:t xml:space="preserve">Databricks accesses S3 using:</w:t>
      </w:r>
    </w:p>
    <w:p>
      <w:pPr>
        <w:pStyle w:val="Compact"/>
        <w:numPr>
          <w:ilvl w:val="0"/>
          <w:numId w:val="1026"/>
        </w:numPr>
      </w:pPr>
      <w:r>
        <w:t xml:space="preserve">IAM Roles</w:t>
      </w:r>
    </w:p>
    <w:p>
      <w:pPr>
        <w:pStyle w:val="Compact"/>
        <w:numPr>
          <w:ilvl w:val="0"/>
          <w:numId w:val="1026"/>
        </w:numPr>
      </w:pPr>
      <w:r>
        <w:t xml:space="preserve">Storage Credentials</w:t>
      </w:r>
    </w:p>
    <w:p>
      <w:pPr>
        <w:pStyle w:val="Compact"/>
        <w:numPr>
          <w:ilvl w:val="0"/>
          <w:numId w:val="1026"/>
        </w:numPr>
      </w:pPr>
      <w:r>
        <w:t xml:space="preserve">External Locations</w:t>
      </w:r>
    </w:p>
    <w:bookmarkEnd w:id="88"/>
    <w:bookmarkStart w:id="89" w:name="important-security-principle"/>
    <w:p>
      <w:pPr>
        <w:pStyle w:val="Heading2"/>
      </w:pPr>
      <w:r>
        <w:t xml:space="preserve">Important Security Principle</w:t>
      </w:r>
    </w:p>
    <w:p>
      <w:pPr>
        <w:pStyle w:val="FirstParagraph"/>
      </w:pPr>
      <w:r>
        <w:t xml:space="preserve">No direct user access to S3.</w:t>
      </w:r>
    </w:p>
    <w:p>
      <w:pPr>
        <w:pStyle w:val="BodyText"/>
      </w:pPr>
      <w:r>
        <w:t xml:space="preserve">All access must happen through:</w:t>
      </w:r>
    </w:p>
    <w:p>
      <w:pPr>
        <w:pStyle w:val="Compact"/>
        <w:numPr>
          <w:ilvl w:val="0"/>
          <w:numId w:val="1027"/>
        </w:numPr>
      </w:pPr>
      <w:r>
        <w:t xml:space="preserve">Databricks</w:t>
      </w:r>
    </w:p>
    <w:p>
      <w:pPr>
        <w:pStyle w:val="Compact"/>
        <w:numPr>
          <w:ilvl w:val="0"/>
          <w:numId w:val="1027"/>
        </w:numPr>
      </w:pPr>
      <w:r>
        <w:t xml:space="preserve">Unity Catalog</w:t>
      </w:r>
    </w:p>
    <w:p>
      <w:pPr>
        <w:pStyle w:val="Compact"/>
        <w:numPr>
          <w:ilvl w:val="0"/>
          <w:numId w:val="1027"/>
        </w:numPr>
      </w:pPr>
      <w:r>
        <w:t xml:space="preserve">Governed access controls</w:t>
      </w:r>
    </w:p>
    <w:bookmarkEnd w:id="89"/>
    <w:bookmarkStart w:id="90" w:name="benefits-7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28"/>
        </w:numPr>
      </w:pPr>
      <w:r>
        <w:t xml:space="preserve">Strong security posture</w:t>
      </w:r>
    </w:p>
    <w:p>
      <w:pPr>
        <w:pStyle w:val="Compact"/>
        <w:numPr>
          <w:ilvl w:val="0"/>
          <w:numId w:val="1028"/>
        </w:numPr>
      </w:pPr>
      <w:r>
        <w:t xml:space="preserve">Centralized governance</w:t>
      </w:r>
    </w:p>
    <w:p>
      <w:pPr>
        <w:pStyle w:val="Compact"/>
        <w:numPr>
          <w:ilvl w:val="0"/>
          <w:numId w:val="1028"/>
        </w:numPr>
      </w:pPr>
      <w:r>
        <w:t xml:space="preserve">Better auditability</w:t>
      </w:r>
    </w:p>
    <w:p>
      <w:pPr>
        <w:pStyle w:val="Compact"/>
        <w:numPr>
          <w:ilvl w:val="0"/>
          <w:numId w:val="1028"/>
        </w:numPr>
      </w:pPr>
      <w:r>
        <w:t xml:space="preserve">Reduced risk exposure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2" w:name="slide-14-data-processing-layer"/>
    <w:p>
      <w:pPr>
        <w:pStyle w:val="Heading1"/>
      </w:pPr>
      <w:r>
        <w:t xml:space="preserve">Slide 14 – Data Processing Layer</w:t>
      </w:r>
    </w:p>
    <w:bookmarkEnd w:id="92"/>
    <w:bookmarkStart w:id="98" w:name="data-processing-layer"/>
    <w:p>
      <w:pPr>
        <w:pStyle w:val="Heading1"/>
      </w:pPr>
      <w:r>
        <w:t xml:space="preserve">Data Processing Layer</w:t>
      </w:r>
    </w:p>
    <w:bookmarkStart w:id="93" w:name="technologies"/>
    <w:p>
      <w:pPr>
        <w:pStyle w:val="Heading2"/>
      </w:pPr>
      <w:r>
        <w:t xml:space="preserve">Technologies</w:t>
      </w:r>
    </w:p>
    <w:p>
      <w:pPr>
        <w:pStyle w:val="Compact"/>
        <w:numPr>
          <w:ilvl w:val="0"/>
          <w:numId w:val="1029"/>
        </w:numPr>
      </w:pPr>
      <w:r>
        <w:t xml:space="preserve">PySpark</w:t>
      </w:r>
    </w:p>
    <w:p>
      <w:pPr>
        <w:pStyle w:val="Compact"/>
        <w:numPr>
          <w:ilvl w:val="0"/>
          <w:numId w:val="1029"/>
        </w:numPr>
      </w:pPr>
      <w:r>
        <w:t xml:space="preserve">dbt</w:t>
      </w:r>
    </w:p>
    <w:p>
      <w:pPr>
        <w:pStyle w:val="Compact"/>
        <w:numPr>
          <w:ilvl w:val="0"/>
          <w:numId w:val="1029"/>
        </w:numPr>
      </w:pPr>
      <w:r>
        <w:t xml:space="preserve">Databricks Workflows</w:t>
      </w:r>
    </w:p>
    <w:p>
      <w:pPr>
        <w:pStyle w:val="Compact"/>
        <w:numPr>
          <w:ilvl w:val="0"/>
          <w:numId w:val="1029"/>
        </w:numPr>
      </w:pPr>
      <w:r>
        <w:t xml:space="preserve">Airflow</w:t>
      </w:r>
    </w:p>
    <w:bookmarkEnd w:id="93"/>
    <w:bookmarkStart w:id="94" w:name="processing-layers"/>
    <w:p>
      <w:pPr>
        <w:pStyle w:val="Heading2"/>
      </w:pPr>
      <w:r>
        <w:t xml:space="preserve">Processing Layers</w:t>
      </w:r>
    </w:p>
    <w:p>
      <w:pPr>
        <w:pStyle w:val="FirstParagraph"/>
      </w:pPr>
      <w:r>
        <w:t xml:space="preserve">Raw → Silver → Gold</w:t>
      </w:r>
    </w:p>
    <w:bookmarkEnd w:id="94"/>
    <w:bookmarkStart w:id="97" w:name="responsibilities-1"/>
    <w:p>
      <w:pPr>
        <w:pStyle w:val="Heading2"/>
      </w:pPr>
      <w:r>
        <w:t xml:space="preserve">Responsibilities</w:t>
      </w:r>
    </w:p>
    <w:bookmarkStart w:id="95" w:name="pyspark"/>
    <w:p>
      <w:pPr>
        <w:pStyle w:val="Heading3"/>
      </w:pPr>
      <w:r>
        <w:t xml:space="preserve">PySpark</w:t>
      </w:r>
    </w:p>
    <w:p>
      <w:pPr>
        <w:pStyle w:val="Compact"/>
        <w:numPr>
          <w:ilvl w:val="0"/>
          <w:numId w:val="1030"/>
        </w:numPr>
      </w:pPr>
      <w:r>
        <w:t xml:space="preserve">ETL processing</w:t>
      </w:r>
    </w:p>
    <w:p>
      <w:pPr>
        <w:pStyle w:val="Compact"/>
        <w:numPr>
          <w:ilvl w:val="0"/>
          <w:numId w:val="1030"/>
        </w:numPr>
      </w:pPr>
      <w:r>
        <w:t xml:space="preserve">Cleansing</w:t>
      </w:r>
    </w:p>
    <w:p>
      <w:pPr>
        <w:pStyle w:val="Compact"/>
        <w:numPr>
          <w:ilvl w:val="0"/>
          <w:numId w:val="1030"/>
        </w:numPr>
      </w:pPr>
      <w:r>
        <w:t xml:space="preserve">Incremental loads</w:t>
      </w:r>
    </w:p>
    <w:p>
      <w:pPr>
        <w:pStyle w:val="Compact"/>
        <w:numPr>
          <w:ilvl w:val="0"/>
          <w:numId w:val="1030"/>
        </w:numPr>
      </w:pPr>
      <w:r>
        <w:t xml:space="preserve">Streaming pipelines</w:t>
      </w:r>
    </w:p>
    <w:bookmarkEnd w:id="95"/>
    <w:bookmarkStart w:id="96" w:name="dbt"/>
    <w:p>
      <w:pPr>
        <w:pStyle w:val="Heading3"/>
      </w:pPr>
      <w:r>
        <w:t xml:space="preserve">dbt</w:t>
      </w:r>
    </w:p>
    <w:p>
      <w:pPr>
        <w:pStyle w:val="Compact"/>
        <w:numPr>
          <w:ilvl w:val="0"/>
          <w:numId w:val="1031"/>
        </w:numPr>
      </w:pPr>
      <w:r>
        <w:t xml:space="preserve">Business transformations</w:t>
      </w:r>
    </w:p>
    <w:p>
      <w:pPr>
        <w:pStyle w:val="Compact"/>
        <w:numPr>
          <w:ilvl w:val="0"/>
          <w:numId w:val="1031"/>
        </w:numPr>
      </w:pPr>
      <w:r>
        <w:t xml:space="preserve">SQL modeling</w:t>
      </w:r>
    </w:p>
    <w:p>
      <w:pPr>
        <w:pStyle w:val="Compact"/>
        <w:numPr>
          <w:ilvl w:val="0"/>
          <w:numId w:val="1031"/>
        </w:numPr>
      </w:pPr>
      <w:r>
        <w:t xml:space="preserve">Testing</w:t>
      </w:r>
    </w:p>
    <w:p>
      <w:pPr>
        <w:pStyle w:val="Compact"/>
        <w:numPr>
          <w:ilvl w:val="0"/>
          <w:numId w:val="1031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96"/>
    <w:bookmarkEnd w:id="97"/>
    <w:bookmarkEnd w:id="98"/>
    <w:bookmarkStart w:id="99" w:name="slide-15-data-product-layer"/>
    <w:p>
      <w:pPr>
        <w:pStyle w:val="Heading1"/>
      </w:pPr>
      <w:r>
        <w:t xml:space="preserve">Slide 15 – Data Product Layer</w:t>
      </w:r>
    </w:p>
    <w:bookmarkEnd w:id="99"/>
    <w:bookmarkStart w:id="104" w:name="data-product-layer"/>
    <w:p>
      <w:pPr>
        <w:pStyle w:val="Heading1"/>
      </w:pPr>
      <w:r>
        <w:t xml:space="preserve">Data Product Layer</w:t>
      </w:r>
    </w:p>
    <w:bookmarkStart w:id="100" w:name="objective-8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Provide domain-driven governed data products.</w:t>
      </w:r>
    </w:p>
    <w:bookmarkEnd w:id="100"/>
    <w:bookmarkStart w:id="101" w:name="example-domains"/>
    <w:p>
      <w:pPr>
        <w:pStyle w:val="Heading2"/>
      </w:pPr>
      <w:r>
        <w:t xml:space="preserve">Example Domains</w:t>
      </w:r>
    </w:p>
    <w:p>
      <w:pPr>
        <w:pStyle w:val="Compact"/>
        <w:numPr>
          <w:ilvl w:val="0"/>
          <w:numId w:val="1032"/>
        </w:numPr>
      </w:pPr>
      <w:r>
        <w:t xml:space="preserve">Finance</w:t>
      </w:r>
    </w:p>
    <w:p>
      <w:pPr>
        <w:pStyle w:val="Compact"/>
        <w:numPr>
          <w:ilvl w:val="0"/>
          <w:numId w:val="1032"/>
        </w:numPr>
      </w:pPr>
      <w:r>
        <w:t xml:space="preserve">Sales</w:t>
      </w:r>
    </w:p>
    <w:p>
      <w:pPr>
        <w:pStyle w:val="Compact"/>
        <w:numPr>
          <w:ilvl w:val="0"/>
          <w:numId w:val="1032"/>
        </w:numPr>
      </w:pPr>
      <w:r>
        <w:t xml:space="preserve">Manufacturing</w:t>
      </w:r>
    </w:p>
    <w:p>
      <w:pPr>
        <w:pStyle w:val="Compact"/>
        <w:numPr>
          <w:ilvl w:val="0"/>
          <w:numId w:val="1032"/>
        </w:numPr>
      </w:pPr>
      <w:r>
        <w:t xml:space="preserve">Supply Chain</w:t>
      </w:r>
    </w:p>
    <w:bookmarkEnd w:id="101"/>
    <w:bookmarkStart w:id="102" w:name="data-product-principles"/>
    <w:p>
      <w:pPr>
        <w:pStyle w:val="Heading2"/>
      </w:pPr>
      <w:r>
        <w:t xml:space="preserve">Data Product Principles</w:t>
      </w:r>
    </w:p>
    <w:p>
      <w:pPr>
        <w:pStyle w:val="Compact"/>
        <w:numPr>
          <w:ilvl w:val="0"/>
          <w:numId w:val="1033"/>
        </w:numPr>
      </w:pPr>
      <w:r>
        <w:t xml:space="preserve">Domain ownership</w:t>
      </w:r>
    </w:p>
    <w:p>
      <w:pPr>
        <w:pStyle w:val="Compact"/>
        <w:numPr>
          <w:ilvl w:val="0"/>
          <w:numId w:val="1033"/>
        </w:numPr>
      </w:pPr>
      <w:r>
        <w:t xml:space="preserve">Reusable datasets</w:t>
      </w:r>
    </w:p>
    <w:p>
      <w:pPr>
        <w:pStyle w:val="Compact"/>
        <w:numPr>
          <w:ilvl w:val="0"/>
          <w:numId w:val="1033"/>
        </w:numPr>
      </w:pPr>
      <w:r>
        <w:t xml:space="preserve">Central governance</w:t>
      </w:r>
    </w:p>
    <w:p>
      <w:pPr>
        <w:pStyle w:val="Compact"/>
        <w:numPr>
          <w:ilvl w:val="0"/>
          <w:numId w:val="1033"/>
        </w:numPr>
      </w:pPr>
      <w:r>
        <w:t xml:space="preserve">Standardized quality</w:t>
      </w:r>
    </w:p>
    <w:bookmarkEnd w:id="102"/>
    <w:bookmarkStart w:id="103" w:name="benefits-8"/>
    <w:p>
      <w:pPr>
        <w:pStyle w:val="Heading2"/>
      </w:pPr>
      <w:r>
        <w:t xml:space="preserve">Benefits</w:t>
      </w:r>
    </w:p>
    <w:p>
      <w:pPr>
        <w:pStyle w:val="Compact"/>
        <w:numPr>
          <w:ilvl w:val="0"/>
          <w:numId w:val="1034"/>
        </w:numPr>
      </w:pPr>
      <w:r>
        <w:t xml:space="preserve">Data Mesh alignment</w:t>
      </w:r>
    </w:p>
    <w:p>
      <w:pPr>
        <w:pStyle w:val="Compact"/>
        <w:numPr>
          <w:ilvl w:val="0"/>
          <w:numId w:val="1034"/>
        </w:numPr>
      </w:pPr>
      <w:r>
        <w:t xml:space="preserve">Better scalability</w:t>
      </w:r>
    </w:p>
    <w:p>
      <w:pPr>
        <w:pStyle w:val="Compact"/>
        <w:numPr>
          <w:ilvl w:val="0"/>
          <w:numId w:val="1034"/>
        </w:numPr>
      </w:pPr>
      <w:r>
        <w:t xml:space="preserve">Clear ownership</w:t>
      </w:r>
    </w:p>
    <w:p>
      <w:pPr>
        <w:pStyle w:val="Compact"/>
        <w:numPr>
          <w:ilvl w:val="0"/>
          <w:numId w:val="1034"/>
        </w:numPr>
      </w:pPr>
      <w:r>
        <w:t xml:space="preserve">Improved business adoption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slide-16-security-compliance-controls"/>
    <w:p>
      <w:pPr>
        <w:pStyle w:val="Heading1"/>
      </w:pPr>
      <w:r>
        <w:t xml:space="preserve">Slide 16 – Security &amp; Compliance Controls</w:t>
      </w:r>
    </w:p>
    <w:bookmarkEnd w:id="105"/>
    <w:bookmarkStart w:id="108" w:name="security-compliance-controls"/>
    <w:p>
      <w:pPr>
        <w:pStyle w:val="Heading1"/>
      </w:pPr>
      <w:r>
        <w:t xml:space="preserve">Security &amp; Compliance Controls</w:t>
      </w:r>
    </w:p>
    <w:bookmarkStart w:id="106" w:name="security-controls-1"/>
    <w:p>
      <w:pPr>
        <w:pStyle w:val="Heading2"/>
      </w:pPr>
      <w:r>
        <w:t xml:space="preserve">Security Controls</w:t>
      </w:r>
    </w:p>
    <w:p>
      <w:pPr>
        <w:pStyle w:val="Compact"/>
        <w:numPr>
          <w:ilvl w:val="0"/>
          <w:numId w:val="1035"/>
        </w:numPr>
      </w:pPr>
      <w:r>
        <w:t xml:space="preserve">SAML SSO</w:t>
      </w:r>
    </w:p>
    <w:p>
      <w:pPr>
        <w:pStyle w:val="Compact"/>
        <w:numPr>
          <w:ilvl w:val="0"/>
          <w:numId w:val="1035"/>
        </w:numPr>
      </w:pPr>
      <w:r>
        <w:t xml:space="preserve">MFA</w:t>
      </w:r>
    </w:p>
    <w:p>
      <w:pPr>
        <w:pStyle w:val="Compact"/>
        <w:numPr>
          <w:ilvl w:val="0"/>
          <w:numId w:val="1035"/>
        </w:numPr>
      </w:pPr>
      <w:r>
        <w:t xml:space="preserve">SCIM provisioning</w:t>
      </w:r>
    </w:p>
    <w:p>
      <w:pPr>
        <w:pStyle w:val="Compact"/>
        <w:numPr>
          <w:ilvl w:val="0"/>
          <w:numId w:val="1035"/>
        </w:numPr>
      </w:pPr>
      <w:r>
        <w:t xml:space="preserve">IAM role-based access</w:t>
      </w:r>
    </w:p>
    <w:p>
      <w:pPr>
        <w:pStyle w:val="Compact"/>
        <w:numPr>
          <w:ilvl w:val="0"/>
          <w:numId w:val="1035"/>
        </w:numPr>
      </w:pPr>
      <w:r>
        <w:t xml:space="preserve">Unity Catalog governance</w:t>
      </w:r>
    </w:p>
    <w:p>
      <w:pPr>
        <w:pStyle w:val="Compact"/>
        <w:numPr>
          <w:ilvl w:val="0"/>
          <w:numId w:val="1035"/>
        </w:numPr>
      </w:pPr>
      <w:r>
        <w:t xml:space="preserve">Row-level security</w:t>
      </w:r>
    </w:p>
    <w:p>
      <w:pPr>
        <w:pStyle w:val="Compact"/>
        <w:numPr>
          <w:ilvl w:val="0"/>
          <w:numId w:val="1035"/>
        </w:numPr>
      </w:pPr>
      <w:r>
        <w:t xml:space="preserve">Column masking</w:t>
      </w:r>
    </w:p>
    <w:p>
      <w:pPr>
        <w:pStyle w:val="Compact"/>
        <w:numPr>
          <w:ilvl w:val="0"/>
          <w:numId w:val="1035"/>
        </w:numPr>
      </w:pPr>
      <w:r>
        <w:t xml:space="preserve">Audit logging</w:t>
      </w:r>
    </w:p>
    <w:bookmarkEnd w:id="106"/>
    <w:bookmarkStart w:id="107" w:name="compliance-support"/>
    <w:p>
      <w:pPr>
        <w:pStyle w:val="Heading2"/>
      </w:pPr>
      <w:r>
        <w:t xml:space="preserve">Compliance Support</w:t>
      </w:r>
    </w:p>
    <w:p>
      <w:pPr>
        <w:pStyle w:val="Compact"/>
        <w:numPr>
          <w:ilvl w:val="0"/>
          <w:numId w:val="1036"/>
        </w:numPr>
      </w:pPr>
      <w:r>
        <w:t xml:space="preserve">GDPR</w:t>
      </w:r>
    </w:p>
    <w:p>
      <w:pPr>
        <w:pStyle w:val="Compact"/>
        <w:numPr>
          <w:ilvl w:val="0"/>
          <w:numId w:val="1036"/>
        </w:numPr>
      </w:pPr>
      <w:r>
        <w:t xml:space="preserve">SOX</w:t>
      </w:r>
    </w:p>
    <w:p>
      <w:pPr>
        <w:pStyle w:val="Compact"/>
        <w:numPr>
          <w:ilvl w:val="0"/>
          <w:numId w:val="1036"/>
        </w:numPr>
      </w:pPr>
      <w:r>
        <w:t xml:space="preserve">Internal audit standards</w:t>
      </w:r>
    </w:p>
    <w:p>
      <w:pPr>
        <w:pStyle w:val="Compact"/>
        <w:numPr>
          <w:ilvl w:val="0"/>
          <w:numId w:val="1036"/>
        </w:numPr>
      </w:pPr>
      <w:r>
        <w:t xml:space="preserve">Enterprise governance standards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slide-17-operational-cicd-approach"/>
    <w:p>
      <w:pPr>
        <w:pStyle w:val="Heading1"/>
      </w:pPr>
      <w:r>
        <w:t xml:space="preserve">Slide 17 – Operational &amp; CI/CD Approach</w:t>
      </w:r>
    </w:p>
    <w:bookmarkEnd w:id="109"/>
    <w:bookmarkStart w:id="113" w:name="operational-cicd-approach"/>
    <w:p>
      <w:pPr>
        <w:pStyle w:val="Heading1"/>
      </w:pPr>
      <w:r>
        <w:t xml:space="preserve">Operational &amp; CI/CD Approach</w:t>
      </w:r>
    </w:p>
    <w:bookmarkStart w:id="110" w:name="recommended-approach"/>
    <w:p>
      <w:pPr>
        <w:pStyle w:val="Heading2"/>
      </w:pPr>
      <w:r>
        <w:t xml:space="preserve">Recommended Approach</w:t>
      </w:r>
    </w:p>
    <w:p>
      <w:pPr>
        <w:pStyle w:val="Compact"/>
        <w:numPr>
          <w:ilvl w:val="0"/>
          <w:numId w:val="1037"/>
        </w:numPr>
      </w:pPr>
      <w:r>
        <w:t xml:space="preserve">Infrastructure as Code</w:t>
      </w:r>
    </w:p>
    <w:p>
      <w:pPr>
        <w:pStyle w:val="Compact"/>
        <w:numPr>
          <w:ilvl w:val="0"/>
          <w:numId w:val="1037"/>
        </w:numPr>
      </w:pPr>
      <w:r>
        <w:t xml:space="preserve">Automated deployments</w:t>
      </w:r>
    </w:p>
    <w:p>
      <w:pPr>
        <w:pStyle w:val="Compact"/>
        <w:numPr>
          <w:ilvl w:val="0"/>
          <w:numId w:val="1037"/>
        </w:numPr>
      </w:pPr>
      <w:r>
        <w:t xml:space="preserve">Git integration</w:t>
      </w:r>
    </w:p>
    <w:p>
      <w:pPr>
        <w:pStyle w:val="Compact"/>
        <w:numPr>
          <w:ilvl w:val="0"/>
          <w:numId w:val="1037"/>
        </w:numPr>
      </w:pPr>
      <w:r>
        <w:t xml:space="preserve">CI/CD pipelines</w:t>
      </w:r>
    </w:p>
    <w:p>
      <w:pPr>
        <w:pStyle w:val="Compact"/>
        <w:numPr>
          <w:ilvl w:val="0"/>
          <w:numId w:val="1037"/>
        </w:numPr>
      </w:pPr>
      <w:r>
        <w:t xml:space="preserve">Automated environment promotion</w:t>
      </w:r>
    </w:p>
    <w:bookmarkEnd w:id="110"/>
    <w:bookmarkStart w:id="111" w:name="automation-components"/>
    <w:p>
      <w:pPr>
        <w:pStyle w:val="Heading2"/>
      </w:pPr>
      <w:r>
        <w:t xml:space="preserve">Automation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</w:t>
            </w:r>
          </w:p>
        </w:tc>
        <w:tc>
          <w:tcPr/>
          <w:p>
            <w:pPr>
              <w:pStyle w:val="Compact"/>
            </w:pPr>
            <w:r>
              <w:t xml:space="preserve">Infrastructure provisioning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Airflow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Databricks Workflows</w:t>
            </w:r>
          </w:p>
        </w:tc>
        <w:tc>
          <w:tcPr/>
          <w:p>
            <w:pPr>
              <w:pStyle w:val="Compact"/>
            </w:pPr>
            <w:r>
              <w:t xml:space="preserve">Job orchestration</w:t>
            </w:r>
          </w:p>
        </w:tc>
      </w:tr>
    </w:tbl>
    <w:bookmarkEnd w:id="111"/>
    <w:bookmarkStart w:id="112" w:name="best-practice"/>
    <w:p>
      <w:pPr>
        <w:pStyle w:val="Heading2"/>
      </w:pPr>
      <w:r>
        <w:t xml:space="preserve">Best Practice</w:t>
      </w:r>
    </w:p>
    <w:p>
      <w:pPr>
        <w:pStyle w:val="FirstParagraph"/>
      </w:pPr>
      <w:r>
        <w:t xml:space="preserve">Avoid manual permission management in production.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4" w:name="slide-18-recommended-best-practices"/>
    <w:p>
      <w:pPr>
        <w:pStyle w:val="Heading1"/>
      </w:pPr>
      <w:r>
        <w:t xml:space="preserve">Slide 18 – Recommended Best Practices</w:t>
      </w:r>
    </w:p>
    <w:bookmarkEnd w:id="114"/>
    <w:bookmarkStart w:id="117" w:name="recommended-best-practices"/>
    <w:p>
      <w:pPr>
        <w:pStyle w:val="Heading1"/>
      </w:pPr>
      <w:r>
        <w:t xml:space="preserve">Recommended Best Practices</w:t>
      </w:r>
    </w:p>
    <w:bookmarkStart w:id="115" w:name="platform-best-practices"/>
    <w:p>
      <w:pPr>
        <w:pStyle w:val="Heading2"/>
      </w:pPr>
      <w:r>
        <w:t xml:space="preserve">Platform Best Practices</w:t>
      </w:r>
    </w:p>
    <w:p>
      <w:pPr>
        <w:pStyle w:val="Compact"/>
        <w:numPr>
          <w:ilvl w:val="0"/>
          <w:numId w:val="1038"/>
        </w:numPr>
      </w:pPr>
      <w:r>
        <w:t xml:space="preserve">Separate workspaces per environment</w:t>
      </w:r>
    </w:p>
    <w:p>
      <w:pPr>
        <w:pStyle w:val="Compact"/>
        <w:numPr>
          <w:ilvl w:val="0"/>
          <w:numId w:val="1038"/>
        </w:numPr>
      </w:pPr>
      <w:r>
        <w:t xml:space="preserve">Separate S3 buckets per environment</w:t>
      </w:r>
    </w:p>
    <w:p>
      <w:pPr>
        <w:pStyle w:val="Compact"/>
        <w:numPr>
          <w:ilvl w:val="0"/>
          <w:numId w:val="1038"/>
        </w:numPr>
      </w:pPr>
      <w:r>
        <w:t xml:space="preserve">Centralized Unity Catalog governance</w:t>
      </w:r>
    </w:p>
    <w:p>
      <w:pPr>
        <w:pStyle w:val="Compact"/>
        <w:numPr>
          <w:ilvl w:val="0"/>
          <w:numId w:val="1038"/>
        </w:numPr>
      </w:pPr>
      <w:r>
        <w:t xml:space="preserve">Group-based RBAC</w:t>
      </w:r>
    </w:p>
    <w:p>
      <w:pPr>
        <w:pStyle w:val="Compact"/>
        <w:numPr>
          <w:ilvl w:val="0"/>
          <w:numId w:val="1038"/>
        </w:numPr>
      </w:pPr>
      <w:r>
        <w:t xml:space="preserve">IAM role-based storage access</w:t>
      </w:r>
    </w:p>
    <w:p>
      <w:pPr>
        <w:pStyle w:val="Compact"/>
        <w:numPr>
          <w:ilvl w:val="0"/>
          <w:numId w:val="1038"/>
        </w:numPr>
      </w:pPr>
      <w:r>
        <w:t xml:space="preserve">No direct S3 user access</w:t>
      </w:r>
    </w:p>
    <w:p>
      <w:pPr>
        <w:pStyle w:val="Compact"/>
        <w:numPr>
          <w:ilvl w:val="0"/>
          <w:numId w:val="1038"/>
        </w:numPr>
      </w:pPr>
      <w:r>
        <w:t xml:space="preserve">Service principal-based automation</w:t>
      </w:r>
    </w:p>
    <w:p>
      <w:pPr>
        <w:pStyle w:val="Compact"/>
        <w:numPr>
          <w:ilvl w:val="0"/>
          <w:numId w:val="1038"/>
        </w:numPr>
      </w:pPr>
      <w:r>
        <w:t xml:space="preserve">Least privilege access</w:t>
      </w:r>
    </w:p>
    <w:p>
      <w:pPr>
        <w:pStyle w:val="Compact"/>
        <w:numPr>
          <w:ilvl w:val="0"/>
          <w:numId w:val="1038"/>
        </w:numPr>
      </w:pPr>
      <w:r>
        <w:t xml:space="preserve">Audit logging enabled</w:t>
      </w:r>
    </w:p>
    <w:bookmarkEnd w:id="115"/>
    <w:bookmarkStart w:id="116" w:name="governance-best-practices"/>
    <w:p>
      <w:pPr>
        <w:pStyle w:val="Heading2"/>
      </w:pPr>
      <w:r>
        <w:t xml:space="preserve">Governance Best Practices</w:t>
      </w:r>
    </w:p>
    <w:p>
      <w:pPr>
        <w:pStyle w:val="Compact"/>
        <w:numPr>
          <w:ilvl w:val="0"/>
          <w:numId w:val="1039"/>
        </w:numPr>
      </w:pPr>
      <w:r>
        <w:t xml:space="preserve">Data-centric security</w:t>
      </w:r>
    </w:p>
    <w:p>
      <w:pPr>
        <w:pStyle w:val="Compact"/>
        <w:numPr>
          <w:ilvl w:val="0"/>
          <w:numId w:val="1039"/>
        </w:numPr>
      </w:pPr>
      <w:r>
        <w:t xml:space="preserve">Centralized governance standards</w:t>
      </w:r>
    </w:p>
    <w:p>
      <w:pPr>
        <w:pStyle w:val="Compact"/>
        <w:numPr>
          <w:ilvl w:val="0"/>
          <w:numId w:val="1039"/>
        </w:numPr>
      </w:pPr>
      <w:r>
        <w:t xml:space="preserve">Automated provisioning</w:t>
      </w:r>
    </w:p>
    <w:p>
      <w:pPr>
        <w:pStyle w:val="Compact"/>
        <w:numPr>
          <w:ilvl w:val="0"/>
          <w:numId w:val="1039"/>
        </w:numPr>
      </w:pPr>
      <w:r>
        <w:t xml:space="preserve">Standardized naming conventions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18" w:name="X591be1bd5137c7256f5fa4ae89f7b8462e2781d"/>
    <w:p>
      <w:pPr>
        <w:pStyle w:val="Heading1"/>
      </w:pPr>
      <w:r>
        <w:t xml:space="preserve">Slide 19 – Benefits of Proposed Architecture</w:t>
      </w:r>
    </w:p>
    <w:bookmarkEnd w:id="118"/>
    <w:bookmarkStart w:id="123" w:name="benefits-of-proposed-architecture"/>
    <w:p>
      <w:pPr>
        <w:pStyle w:val="Heading1"/>
      </w:pPr>
      <w:r>
        <w:t xml:space="preserve">Benefits of Proposed Architecture</w:t>
      </w:r>
    </w:p>
    <w:bookmarkStart w:id="119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40"/>
        </w:numPr>
      </w:pPr>
      <w:r>
        <w:t xml:space="preserve">Enterprise-grade authentication</w:t>
      </w:r>
    </w:p>
    <w:p>
      <w:pPr>
        <w:pStyle w:val="Compact"/>
        <w:numPr>
          <w:ilvl w:val="0"/>
          <w:numId w:val="1040"/>
        </w:numPr>
      </w:pPr>
      <w:r>
        <w:t xml:space="preserve">Strong environment isolation</w:t>
      </w:r>
    </w:p>
    <w:p>
      <w:pPr>
        <w:pStyle w:val="Compact"/>
        <w:numPr>
          <w:ilvl w:val="0"/>
          <w:numId w:val="1040"/>
        </w:numPr>
      </w:pPr>
      <w:r>
        <w:t xml:space="preserve">Secure governed access</w:t>
      </w:r>
    </w:p>
    <w:bookmarkEnd w:id="119"/>
    <w:bookmarkStart w:id="120" w:name="scalability"/>
    <w:p>
      <w:pPr>
        <w:pStyle w:val="Heading2"/>
      </w:pPr>
      <w:r>
        <w:t xml:space="preserve">Scalability</w:t>
      </w:r>
    </w:p>
    <w:p>
      <w:pPr>
        <w:pStyle w:val="Compact"/>
        <w:numPr>
          <w:ilvl w:val="0"/>
          <w:numId w:val="1041"/>
        </w:numPr>
      </w:pPr>
      <w:r>
        <w:t xml:space="preserve">Global enterprise scalability</w:t>
      </w:r>
    </w:p>
    <w:p>
      <w:pPr>
        <w:pStyle w:val="Compact"/>
        <w:numPr>
          <w:ilvl w:val="0"/>
          <w:numId w:val="1041"/>
        </w:numPr>
      </w:pPr>
      <w:r>
        <w:t xml:space="preserve">Multi-domain support</w:t>
      </w:r>
    </w:p>
    <w:p>
      <w:pPr>
        <w:pStyle w:val="Compact"/>
        <w:numPr>
          <w:ilvl w:val="0"/>
          <w:numId w:val="1041"/>
        </w:numPr>
      </w:pPr>
      <w:r>
        <w:t xml:space="preserve">Cloud-native architecture</w:t>
      </w:r>
    </w:p>
    <w:bookmarkEnd w:id="120"/>
    <w:bookmarkStart w:id="121" w:name="governance"/>
    <w:p>
      <w:pPr>
        <w:pStyle w:val="Heading2"/>
      </w:pPr>
      <w:r>
        <w:t xml:space="preserve">Governance</w:t>
      </w:r>
    </w:p>
    <w:p>
      <w:pPr>
        <w:pStyle w:val="Compact"/>
        <w:numPr>
          <w:ilvl w:val="0"/>
          <w:numId w:val="1042"/>
        </w:numPr>
      </w:pPr>
      <w:r>
        <w:t xml:space="preserve">Centralized access management</w:t>
      </w:r>
    </w:p>
    <w:p>
      <w:pPr>
        <w:pStyle w:val="Compact"/>
        <w:numPr>
          <w:ilvl w:val="0"/>
          <w:numId w:val="1042"/>
        </w:numPr>
      </w:pPr>
      <w:r>
        <w:t xml:space="preserve">Fine-grained permissions</w:t>
      </w:r>
    </w:p>
    <w:p>
      <w:pPr>
        <w:pStyle w:val="Compact"/>
        <w:numPr>
          <w:ilvl w:val="0"/>
          <w:numId w:val="1042"/>
        </w:numPr>
      </w:pPr>
      <w:r>
        <w:t xml:space="preserve">Auditability and lineage</w:t>
      </w:r>
    </w:p>
    <w:bookmarkEnd w:id="121"/>
    <w:bookmarkStart w:id="122" w:name="operations"/>
    <w:p>
      <w:pPr>
        <w:pStyle w:val="Heading2"/>
      </w:pPr>
      <w:r>
        <w:t xml:space="preserve">Operations</w:t>
      </w:r>
    </w:p>
    <w:p>
      <w:pPr>
        <w:pStyle w:val="Compact"/>
        <w:numPr>
          <w:ilvl w:val="0"/>
          <w:numId w:val="1043"/>
        </w:numPr>
      </w:pPr>
      <w:r>
        <w:t xml:space="preserve">Automated provisioning</w:t>
      </w:r>
    </w:p>
    <w:p>
      <w:pPr>
        <w:pStyle w:val="Compact"/>
        <w:numPr>
          <w:ilvl w:val="0"/>
          <w:numId w:val="1043"/>
        </w:numPr>
      </w:pPr>
      <w:r>
        <w:t xml:space="preserve">Reduced manual effort</w:t>
      </w:r>
    </w:p>
    <w:p>
      <w:pPr>
        <w:pStyle w:val="Compact"/>
        <w:numPr>
          <w:ilvl w:val="0"/>
          <w:numId w:val="1043"/>
        </w:numPr>
      </w:pPr>
      <w:r>
        <w:t xml:space="preserve">Easier maintenance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slide-20-final-architecture-summary"/>
    <w:p>
      <w:pPr>
        <w:pStyle w:val="Heading1"/>
      </w:pPr>
      <w:r>
        <w:t xml:space="preserve">Slide 20 – Final Architecture Summary</w:t>
      </w:r>
    </w:p>
    <w:bookmarkEnd w:id="124"/>
    <w:bookmarkStart w:id="125" w:name="final-architecture-summary"/>
    <w:p>
      <w:pPr>
        <w:pStyle w:val="Heading1"/>
      </w:pPr>
      <w:r>
        <w:t xml:space="preserve">Final Architecture Summary</w:t>
      </w:r>
    </w:p>
    <w:p>
      <w:pPr>
        <w:pStyle w:val="FirstParagraph"/>
      </w:pPr>
      <w:r>
        <w:t xml:space="preserve">Google Workspace (Identity Provider)</w:t>
      </w:r>
      <w:r>
        <w:t xml:space="preserve"> </w:t>
      </w:r>
      <w:r>
        <w:t xml:space="preserve">↓</w:t>
      </w:r>
      <w:r>
        <w:t xml:space="preserve"> </w:t>
      </w:r>
      <w:r>
        <w:t xml:space="preserve">SAML Authentication + MFA</w:t>
      </w:r>
      <w:r>
        <w:t xml:space="preserve"> </w:t>
      </w:r>
      <w:r>
        <w:t xml:space="preserve">↓</w:t>
      </w:r>
      <w:r>
        <w:t xml:space="preserve"> </w:t>
      </w:r>
      <w:r>
        <w:t xml:space="preserve">SCIM Provisioning</w:t>
      </w:r>
      <w:r>
        <w:t xml:space="preserve"> </w:t>
      </w:r>
      <w:r>
        <w:t xml:space="preserve">↓</w:t>
      </w:r>
      <w:r>
        <w:t xml:space="preserve"> </w:t>
      </w:r>
      <w:r>
        <w:t xml:space="preserve">RBAC &amp; Group Management</w:t>
      </w:r>
      <w:r>
        <w:t xml:space="preserve"> </w:t>
      </w:r>
      <w:r>
        <w:t xml:space="preserve">↓</w:t>
      </w:r>
      <w:r>
        <w:t xml:space="preserve"> </w:t>
      </w:r>
      <w:r>
        <w:t xml:space="preserve">Databricks Workspaces (DEV / QA / PROD)</w:t>
      </w:r>
      <w:r>
        <w:t xml:space="preserve"> </w:t>
      </w:r>
      <w:r>
        <w:t xml:space="preserve">↓</w:t>
      </w:r>
      <w:r>
        <w:t xml:space="preserve"> </w:t>
      </w:r>
      <w:r>
        <w:t xml:space="preserve">Unity Catalog Governance</w:t>
      </w:r>
      <w:r>
        <w:t xml:space="preserve"> </w:t>
      </w:r>
      <w:r>
        <w:t xml:space="preserve">↓</w:t>
      </w:r>
      <w:r>
        <w:t xml:space="preserve"> </w:t>
      </w:r>
      <w:r>
        <w:t xml:space="preserve">Catalog / Schema / Table Security</w:t>
      </w:r>
      <w:r>
        <w:t xml:space="preserve"> </w:t>
      </w:r>
      <w:r>
        <w:t xml:space="preserve">↓</w:t>
      </w:r>
      <w:r>
        <w:t xml:space="preserve"> </w:t>
      </w:r>
      <w:r>
        <w:t xml:space="preserve">IAM Role-Based S3 Access</w:t>
      </w:r>
      <w:r>
        <w:t xml:space="preserve"> </w:t>
      </w:r>
      <w:r>
        <w:t xml:space="preserve">↓</w:t>
      </w:r>
      <w:r>
        <w:t xml:space="preserve"> </w:t>
      </w:r>
      <w:r>
        <w:t xml:space="preserve">Governed Data Products</w:t>
      </w:r>
      <w:r>
        <w:t xml:space="preserve"> </w:t>
      </w:r>
      <w:r>
        <w:t xml:space="preserve">↓</w:t>
      </w:r>
      <w:r>
        <w:t xml:space="preserve"> </w:t>
      </w:r>
      <w:r>
        <w:t xml:space="preserve">Analytics / AI / Reporting</w:t>
      </w:r>
    </w:p>
    <w:p>
      <w:r>
        <w:pict>
          <v:rect style="width:0;height:1.5pt" o:hralign="center" o:hrstd="t" o:hr="t"/>
        </w:pict>
      </w:r>
    </w:p>
    <w:bookmarkEnd w:id="125"/>
    <w:bookmarkStart w:id="127" w:name="slide-21-conclusion"/>
    <w:p>
      <w:pPr>
        <w:pStyle w:val="Heading1"/>
      </w:pPr>
      <w:r>
        <w:t xml:space="preserve">Slide 21 – Conclusion</w:t>
      </w:r>
    </w:p>
    <w:bookmarkStart w:id="126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proposed architecture provides:</w:t>
      </w:r>
    </w:p>
    <w:p>
      <w:pPr>
        <w:pStyle w:val="Compact"/>
        <w:numPr>
          <w:ilvl w:val="0"/>
          <w:numId w:val="1044"/>
        </w:numPr>
      </w:pPr>
      <w:r>
        <w:t xml:space="preserve">Secure enterprise authentication</w:t>
      </w:r>
    </w:p>
    <w:p>
      <w:pPr>
        <w:pStyle w:val="Compact"/>
        <w:numPr>
          <w:ilvl w:val="0"/>
          <w:numId w:val="1044"/>
        </w:numPr>
      </w:pPr>
      <w:r>
        <w:t xml:space="preserve">Strong governance model</w:t>
      </w:r>
    </w:p>
    <w:p>
      <w:pPr>
        <w:pStyle w:val="Compact"/>
        <w:numPr>
          <w:ilvl w:val="0"/>
          <w:numId w:val="1044"/>
        </w:numPr>
      </w:pPr>
      <w:r>
        <w:t xml:space="preserve">Environment isolation</w:t>
      </w:r>
    </w:p>
    <w:p>
      <w:pPr>
        <w:pStyle w:val="Compact"/>
        <w:numPr>
          <w:ilvl w:val="0"/>
          <w:numId w:val="1044"/>
        </w:numPr>
      </w:pPr>
      <w:r>
        <w:t xml:space="preserve">Centralized access control</w:t>
      </w:r>
    </w:p>
    <w:p>
      <w:pPr>
        <w:pStyle w:val="Compact"/>
        <w:numPr>
          <w:ilvl w:val="0"/>
          <w:numId w:val="1044"/>
        </w:numPr>
      </w:pPr>
      <w:r>
        <w:t xml:space="preserve">Cloud-native scalability</w:t>
      </w:r>
    </w:p>
    <w:p>
      <w:pPr>
        <w:pStyle w:val="Compact"/>
        <w:numPr>
          <w:ilvl w:val="0"/>
          <w:numId w:val="1044"/>
        </w:numPr>
      </w:pPr>
      <w:r>
        <w:t xml:space="preserve">Enterprise compliance support</w:t>
      </w:r>
    </w:p>
    <w:p>
      <w:pPr>
        <w:pStyle w:val="Compact"/>
        <w:numPr>
          <w:ilvl w:val="0"/>
          <w:numId w:val="1044"/>
        </w:numPr>
      </w:pPr>
      <w:r>
        <w:t xml:space="preserve">Modern lakehouse architecture</w:t>
      </w:r>
    </w:p>
    <w:p>
      <w:pPr>
        <w:pStyle w:val="FirstParagraph"/>
      </w:pPr>
      <w:r>
        <w:t xml:space="preserve">This approach aligns with modern Databricks enterprise best practices and supports Holcim’s long-term scalable data platform strategy.</w:t>
      </w:r>
    </w:p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2026-05-25T07:15:35Z</dcterms:created>
  <dcterms:modified xsi:type="dcterms:W3CDTF">2026-05-25T07:15:35Z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