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olcim-unified-data-platform-udp"/>
    <w:p>
      <w:pPr>
        <w:pStyle w:val="Heading1"/>
      </w:pPr>
      <w:r>
        <w:t xml:space="preserve">Holcim Unified Data Platform (UDP)</w:t>
      </w:r>
    </w:p>
    <w:bookmarkEnd w:id="20"/>
    <w:bookmarkStart w:id="22" w:name="X5eb93c9e5c09b73beb589e518e987e1defdbea3"/>
    <w:p>
      <w:pPr>
        <w:pStyle w:val="Heading1"/>
      </w:pPr>
      <w:r>
        <w:t xml:space="preserve">Databricks Access Control, Authentication &amp; Environment Architecture</w:t>
      </w:r>
    </w:p>
    <w:bookmarkStart w:id="21" w:name="purpose-of-this-document"/>
    <w:p>
      <w:pPr>
        <w:pStyle w:val="Heading2"/>
      </w:pPr>
      <w:r>
        <w:t xml:space="preserve">1. Purpose of This Document</w:t>
      </w:r>
    </w:p>
    <w:p>
      <w:pPr>
        <w:pStyle w:val="FirstParagraph"/>
      </w:pPr>
      <w:r>
        <w:t xml:space="preserve">This document explains the proposed enterprise architecture approach for the Holcim Unified Data Platform (UDP) implemented on Databricks.</w:t>
      </w:r>
    </w:p>
    <w:p>
      <w:pPr>
        <w:pStyle w:val="BodyText"/>
      </w:pPr>
      <w:r>
        <w:t xml:space="preserve">The objective of this document is to provide:</w:t>
      </w:r>
    </w:p>
    <w:p>
      <w:pPr>
        <w:pStyle w:val="Compact"/>
        <w:numPr>
          <w:ilvl w:val="0"/>
          <w:numId w:val="1001"/>
        </w:numPr>
      </w:pPr>
      <w:r>
        <w:t xml:space="preserve">Clear understanding of the authentication flow</w:t>
      </w:r>
    </w:p>
    <w:p>
      <w:pPr>
        <w:pStyle w:val="Compact"/>
        <w:numPr>
          <w:ilvl w:val="0"/>
          <w:numId w:val="1001"/>
        </w:numPr>
      </w:pPr>
      <w:r>
        <w:t xml:space="preserve">Access control and governance model</w:t>
      </w:r>
    </w:p>
    <w:p>
      <w:pPr>
        <w:pStyle w:val="Compact"/>
        <w:numPr>
          <w:ilvl w:val="0"/>
          <w:numId w:val="1001"/>
        </w:numPr>
      </w:pPr>
      <w:r>
        <w:t xml:space="preserve">Environment isolation strategy</w:t>
      </w:r>
    </w:p>
    <w:p>
      <w:pPr>
        <w:pStyle w:val="Compact"/>
        <w:numPr>
          <w:ilvl w:val="0"/>
          <w:numId w:val="1001"/>
        </w:numPr>
      </w:pPr>
      <w:r>
        <w:t xml:space="preserve">S3 storage architecture</w:t>
      </w:r>
    </w:p>
    <w:p>
      <w:pPr>
        <w:pStyle w:val="Compact"/>
        <w:numPr>
          <w:ilvl w:val="0"/>
          <w:numId w:val="1001"/>
        </w:numPr>
      </w:pPr>
      <w:r>
        <w:t xml:space="preserve">Unity Catalog governance approach</w:t>
      </w:r>
    </w:p>
    <w:p>
      <w:pPr>
        <w:pStyle w:val="Compact"/>
        <w:numPr>
          <w:ilvl w:val="0"/>
          <w:numId w:val="1001"/>
        </w:numPr>
      </w:pPr>
      <w:r>
        <w:t xml:space="preserve">Enterprise security best practices</w:t>
      </w:r>
    </w:p>
    <w:p>
      <w:pPr>
        <w:pStyle w:val="Compact"/>
        <w:numPr>
          <w:ilvl w:val="0"/>
          <w:numId w:val="1001"/>
        </w:numPr>
      </w:pPr>
      <w:r>
        <w:t xml:space="preserve">Recommended operational model</w:t>
      </w:r>
    </w:p>
    <w:p>
      <w:pPr>
        <w:pStyle w:val="FirstParagraph"/>
      </w:pPr>
      <w:r>
        <w:t xml:space="preserve">This document can be shared with:</w:t>
      </w:r>
    </w:p>
    <w:p>
      <w:pPr>
        <w:pStyle w:val="Compact"/>
        <w:numPr>
          <w:ilvl w:val="0"/>
          <w:numId w:val="1002"/>
        </w:numPr>
      </w:pPr>
      <w:r>
        <w:t xml:space="preserve">Client stakeholders</w:t>
      </w:r>
    </w:p>
    <w:p>
      <w:pPr>
        <w:pStyle w:val="Compact"/>
        <w:numPr>
          <w:ilvl w:val="0"/>
          <w:numId w:val="1002"/>
        </w:numPr>
      </w:pPr>
      <w:r>
        <w:t xml:space="preserve">Deloitte teams</w:t>
      </w:r>
    </w:p>
    <w:p>
      <w:pPr>
        <w:pStyle w:val="Compact"/>
        <w:numPr>
          <w:ilvl w:val="0"/>
          <w:numId w:val="1002"/>
        </w:numPr>
      </w:pPr>
      <w:r>
        <w:t xml:space="preserve">Platform engineering teams</w:t>
      </w:r>
    </w:p>
    <w:p>
      <w:pPr>
        <w:pStyle w:val="Compact"/>
        <w:numPr>
          <w:ilvl w:val="0"/>
          <w:numId w:val="1002"/>
        </w:numPr>
      </w:pPr>
      <w:r>
        <w:t xml:space="preserve">Security teams</w:t>
      </w:r>
    </w:p>
    <w:p>
      <w:pPr>
        <w:pStyle w:val="Compact"/>
        <w:numPr>
          <w:ilvl w:val="0"/>
          <w:numId w:val="1002"/>
        </w:numPr>
      </w:pPr>
      <w:r>
        <w:t xml:space="preserve">Data engineering teams</w:t>
      </w:r>
    </w:p>
    <w:p>
      <w:pPr>
        <w:pStyle w:val="Compact"/>
        <w:numPr>
          <w:ilvl w:val="0"/>
          <w:numId w:val="1002"/>
        </w:numPr>
      </w:pPr>
      <w:r>
        <w:t xml:space="preserve">Governance and compliance teams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high-level-architecture-overview"/>
    <w:p>
      <w:pPr>
        <w:pStyle w:val="Heading1"/>
      </w:pPr>
      <w:r>
        <w:t xml:space="preserve">2. High-Level Architecture Overview</w:t>
      </w:r>
    </w:p>
    <w:p>
      <w:pPr>
        <w:pStyle w:val="FirstParagraph"/>
      </w:pPr>
      <w:r>
        <w:t xml:space="preserve">The Holcim platform is designed as a modern enterprise lakehouse architecture using Databricks.</w:t>
      </w:r>
    </w:p>
    <w:p>
      <w:pPr>
        <w:pStyle w:val="BodyText"/>
      </w:pPr>
      <w:r>
        <w:t xml:space="preserve">The platform supports:</w:t>
      </w:r>
    </w:p>
    <w:p>
      <w:pPr>
        <w:pStyle w:val="Compact"/>
        <w:numPr>
          <w:ilvl w:val="0"/>
          <w:numId w:val="1003"/>
        </w:numPr>
      </w:pPr>
      <w:r>
        <w:t xml:space="preserve">Enterprise data ingestion</w:t>
      </w:r>
    </w:p>
    <w:p>
      <w:pPr>
        <w:pStyle w:val="Compact"/>
        <w:numPr>
          <w:ilvl w:val="0"/>
          <w:numId w:val="1003"/>
        </w:numPr>
      </w:pPr>
      <w:r>
        <w:t xml:space="preserve">Centralized governance</w:t>
      </w:r>
    </w:p>
    <w:p>
      <w:pPr>
        <w:pStyle w:val="Compact"/>
        <w:numPr>
          <w:ilvl w:val="0"/>
          <w:numId w:val="1003"/>
        </w:numPr>
      </w:pPr>
      <w:r>
        <w:t xml:space="preserve">Domain-driven data products</w:t>
      </w:r>
    </w:p>
    <w:p>
      <w:pPr>
        <w:pStyle w:val="Compact"/>
        <w:numPr>
          <w:ilvl w:val="0"/>
          <w:numId w:val="1003"/>
        </w:numPr>
      </w:pPr>
      <w:r>
        <w:t xml:space="preserve">Analytics and reporting</w:t>
      </w:r>
    </w:p>
    <w:p>
      <w:pPr>
        <w:pStyle w:val="Compact"/>
        <w:numPr>
          <w:ilvl w:val="0"/>
          <w:numId w:val="1003"/>
        </w:numPr>
      </w:pPr>
      <w:r>
        <w:t xml:space="preserve">AI/ML and GenAI use cases</w:t>
      </w:r>
    </w:p>
    <w:p>
      <w:pPr>
        <w:pStyle w:val="Compact"/>
        <w:numPr>
          <w:ilvl w:val="0"/>
          <w:numId w:val="1003"/>
        </w:numPr>
      </w:pPr>
      <w:r>
        <w:t xml:space="preserve">Secure enterprise access control</w:t>
      </w:r>
    </w:p>
    <w:p>
      <w:pPr>
        <w:pStyle w:val="Compact"/>
        <w:numPr>
          <w:ilvl w:val="0"/>
          <w:numId w:val="1003"/>
        </w:numPr>
      </w:pPr>
      <w:r>
        <w:t xml:space="preserve">Environment isolation</w:t>
      </w:r>
    </w:p>
    <w:p>
      <w:pPr>
        <w:pStyle w:val="Compact"/>
        <w:numPr>
          <w:ilvl w:val="0"/>
          <w:numId w:val="1003"/>
        </w:numPr>
      </w:pPr>
      <w:r>
        <w:t xml:space="preserve">Automated provisioning and governance</w:t>
      </w:r>
    </w:p>
    <w:p>
      <w:pPr>
        <w:pStyle w:val="FirstParagraph"/>
      </w:pPr>
      <w:r>
        <w:t xml:space="preserve">Core technologies involved: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 &amp; Processing</w:t>
            </w:r>
          </w:p>
        </w:tc>
        <w:tc>
          <w:tcPr/>
          <w:p>
            <w:pPr>
              <w:pStyle w:val="Compact"/>
            </w:pPr>
            <w:r>
              <w:t xml:space="preserve">Databricks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Amazon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Unity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Google Workspace 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Provisioning</w:t>
            </w:r>
          </w:p>
        </w:tc>
        <w:tc>
          <w:tcPr/>
          <w:p>
            <w:pPr>
              <w:pStyle w:val="Compact"/>
            </w:pPr>
            <w:r>
              <w:t xml:space="preserve">SCIM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Airflow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Transformation</w:t>
            </w:r>
          </w:p>
        </w:tc>
        <w:tc>
          <w:tcPr/>
          <w:p>
            <w:pPr>
              <w:pStyle w:val="Compact"/>
            </w:pPr>
            <w:r>
              <w:t xml:space="preserve">PySpark / dbt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Federation</w:t>
            </w:r>
          </w:p>
        </w:tc>
        <w:tc>
          <w:tcPr/>
          <w:p>
            <w:pPr>
              <w:pStyle w:val="Compact"/>
            </w:pPr>
            <w:r>
              <w:t xml:space="preserve">SAML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Security</w:t>
            </w:r>
          </w:p>
        </w:tc>
        <w:tc>
          <w:tcPr/>
          <w:p>
            <w:pPr>
              <w:pStyle w:val="Compact"/>
            </w:pPr>
            <w:r>
              <w:t xml:space="preserve">IAM Roles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Xf3693d73fb1f5f85ec9778b7a399cc92c5f2680"/>
    <w:p>
      <w:pPr>
        <w:pStyle w:val="Heading1"/>
      </w:pPr>
      <w:r>
        <w:t xml:space="preserve">3. Authentication &amp; Identity Management Architecture</w:t>
      </w:r>
    </w:p>
    <w:bookmarkStart w:id="24" w:name="objective"/>
    <w:p>
      <w:pPr>
        <w:pStyle w:val="Heading2"/>
      </w:pPr>
      <w:r>
        <w:t xml:space="preserve">3.1 Objective</w:t>
      </w:r>
    </w:p>
    <w:p>
      <w:pPr>
        <w:pStyle w:val="FirstParagraph"/>
      </w:pPr>
      <w:r>
        <w:t xml:space="preserve">The authentication architecture is designed to provide:</w:t>
      </w:r>
    </w:p>
    <w:p>
      <w:pPr>
        <w:pStyle w:val="Compact"/>
        <w:numPr>
          <w:ilvl w:val="0"/>
          <w:numId w:val="1004"/>
        </w:numPr>
      </w:pPr>
      <w:r>
        <w:t xml:space="preserve">Secure enterprise login</w:t>
      </w:r>
    </w:p>
    <w:p>
      <w:pPr>
        <w:pStyle w:val="Compact"/>
        <w:numPr>
          <w:ilvl w:val="0"/>
          <w:numId w:val="1004"/>
        </w:numPr>
      </w:pPr>
      <w:r>
        <w:t xml:space="preserve">Centralized identity management</w:t>
      </w:r>
    </w:p>
    <w:p>
      <w:pPr>
        <w:pStyle w:val="Compact"/>
        <w:numPr>
          <w:ilvl w:val="0"/>
          <w:numId w:val="1004"/>
        </w:numPr>
      </w:pPr>
      <w:r>
        <w:t xml:space="preserve">Single Sign-On (SSO)</w:t>
      </w:r>
    </w:p>
    <w:p>
      <w:pPr>
        <w:pStyle w:val="Compact"/>
        <w:numPr>
          <w:ilvl w:val="0"/>
          <w:numId w:val="1004"/>
        </w:numPr>
      </w:pPr>
      <w:r>
        <w:t xml:space="preserve">Multi-factor authentication (MFA)</w:t>
      </w:r>
    </w:p>
    <w:p>
      <w:pPr>
        <w:pStyle w:val="Compact"/>
        <w:numPr>
          <w:ilvl w:val="0"/>
          <w:numId w:val="1004"/>
        </w:numPr>
      </w:pPr>
      <w:r>
        <w:t xml:space="preserve">Automated user provisioning</w:t>
      </w:r>
    </w:p>
    <w:p>
      <w:pPr>
        <w:pStyle w:val="Compact"/>
        <w:numPr>
          <w:ilvl w:val="0"/>
          <w:numId w:val="1004"/>
        </w:numPr>
      </w:pPr>
      <w:r>
        <w:t xml:space="preserve">Group-based access control</w:t>
      </w:r>
    </w:p>
    <w:p>
      <w:pPr>
        <w:pStyle w:val="Compact"/>
        <w:numPr>
          <w:ilvl w:val="0"/>
          <w:numId w:val="1004"/>
        </w:numPr>
      </w:pPr>
      <w:r>
        <w:t xml:space="preserve">Centralized governance and auditing</w:t>
      </w:r>
    </w:p>
    <w:p>
      <w:pPr>
        <w:pStyle w:val="FirstParagraph"/>
      </w:pPr>
      <w:r>
        <w:t xml:space="preserve">Google Workspace acts as the centralized Identity Provider (IdP).</w:t>
      </w:r>
    </w:p>
    <w:p>
      <w:pPr>
        <w:pStyle w:val="BodyText"/>
      </w:pPr>
      <w:r>
        <w:t xml:space="preserve">Databricks relies on Google Workspace for:</w:t>
      </w:r>
    </w:p>
    <w:p>
      <w:pPr>
        <w:pStyle w:val="Compact"/>
        <w:numPr>
          <w:ilvl w:val="0"/>
          <w:numId w:val="1005"/>
        </w:numPr>
      </w:pPr>
      <w:r>
        <w:t xml:space="preserve">User authentication</w:t>
      </w:r>
    </w:p>
    <w:p>
      <w:pPr>
        <w:pStyle w:val="Compact"/>
        <w:numPr>
          <w:ilvl w:val="0"/>
          <w:numId w:val="1005"/>
        </w:numPr>
      </w:pPr>
      <w:r>
        <w:t xml:space="preserve">User lifecycle management</w:t>
      </w:r>
    </w:p>
    <w:p>
      <w:pPr>
        <w:pStyle w:val="Compact"/>
        <w:numPr>
          <w:ilvl w:val="0"/>
          <w:numId w:val="1005"/>
        </w:numPr>
      </w:pPr>
      <w:r>
        <w:t xml:space="preserve">Group synchronization</w:t>
      </w:r>
    </w:p>
    <w:p>
      <w:pPr>
        <w:pStyle w:val="Compact"/>
        <w:numPr>
          <w:ilvl w:val="0"/>
          <w:numId w:val="1005"/>
        </w:numPr>
      </w:pPr>
      <w:r>
        <w:t xml:space="preserve">Role mapping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authentication-flow"/>
    <w:p>
      <w:pPr>
        <w:pStyle w:val="Heading1"/>
      </w:pPr>
      <w:r>
        <w:t xml:space="preserve">4. Authentication Flow</w:t>
      </w:r>
    </w:p>
    <w:bookmarkStart w:id="32" w:name="end-to-end-authentication-flow"/>
    <w:p>
      <w:pPr>
        <w:pStyle w:val="Heading2"/>
      </w:pPr>
      <w:r>
        <w:t xml:space="preserve">4.1 End-to-End Authentication Flow</w:t>
      </w:r>
    </w:p>
    <w:p>
      <w:pPr>
        <w:pStyle w:val="FirstParagraph"/>
      </w:pPr>
      <w:r>
        <w:t xml:space="preserve">The following steps describe the authentication process.</w:t>
      </w:r>
    </w:p>
    <w:bookmarkStart w:id="26" w:name="step-1-user-opens-databricks-workspace"/>
    <w:p>
      <w:pPr>
        <w:pStyle w:val="Heading3"/>
      </w:pPr>
      <w:r>
        <w:t xml:space="preserve">Step 1 – User Opens Databricks Workspace</w:t>
      </w:r>
    </w:p>
    <w:p>
      <w:pPr>
        <w:pStyle w:val="FirstParagraph"/>
      </w:pPr>
      <w:r>
        <w:t xml:space="preserve">The user accesses the Databricks workspace URL.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https://holcim-prod.cloud.databricks.com</w:t>
      </w:r>
    </w:p>
    <w:p>
      <w:r>
        <w:pict>
          <v:rect style="width:0;height:1.5pt" o:hralign="center" o:hrstd="t" o:hr="t"/>
        </w:pict>
      </w:r>
    </w:p>
    <w:bookmarkEnd w:id="26"/>
    <w:bookmarkStart w:id="27" w:name="Xa41630b7c42f2a70f8a0590521a624d249f5b78"/>
    <w:p>
      <w:pPr>
        <w:pStyle w:val="Heading3"/>
      </w:pPr>
      <w:r>
        <w:t xml:space="preserve">Step 2 – Databricks Redirects User to Google Login</w:t>
      </w:r>
    </w:p>
    <w:p>
      <w:pPr>
        <w:pStyle w:val="FirstParagraph"/>
      </w:pPr>
      <w:r>
        <w:t xml:space="preserve">Since SSO is enabled, Databricks redirects the user to Google Workspace authentication.</w:t>
      </w:r>
    </w:p>
    <w:p>
      <w:pPr>
        <w:pStyle w:val="BodyText"/>
      </w:pPr>
      <w:r>
        <w:t xml:space="preserve">Databricks does not manage local passwords.</w:t>
      </w:r>
    </w:p>
    <w:p>
      <w:pPr>
        <w:pStyle w:val="BodyText"/>
      </w:pPr>
      <w:r>
        <w:t xml:space="preserve">Authentication is delegated to Google Workspace.</w:t>
      </w:r>
    </w:p>
    <w:p>
      <w:r>
        <w:pict>
          <v:rect style="width:0;height:1.5pt" o:hralign="center" o:hrstd="t" o:hr="t"/>
        </w:pict>
      </w:r>
    </w:p>
    <w:bookmarkEnd w:id="27"/>
    <w:bookmarkStart w:id="28" w:name="Xe2a9aba8233edb41fb4d03b9c343a76a4292882"/>
    <w:p>
      <w:pPr>
        <w:pStyle w:val="Heading3"/>
      </w:pPr>
      <w:r>
        <w:t xml:space="preserve">Step 3 – User Authenticates Using Google Credentials</w:t>
      </w:r>
    </w:p>
    <w:p>
      <w:pPr>
        <w:pStyle w:val="FirstParagraph"/>
      </w:pPr>
      <w:r>
        <w:t xml:space="preserve">The user enters enterprise Google Workspace credentials.</w:t>
      </w:r>
    </w:p>
    <w:p>
      <w:pPr>
        <w:pStyle w:val="BodyText"/>
      </w:pPr>
      <w:r>
        <w:t xml:space="preserve">Enterprise security controls are enforced:</w:t>
      </w:r>
    </w:p>
    <w:p>
      <w:pPr>
        <w:pStyle w:val="Compact"/>
        <w:numPr>
          <w:ilvl w:val="0"/>
          <w:numId w:val="1006"/>
        </w:numPr>
      </w:pPr>
      <w:r>
        <w:t xml:space="preserve">MFA</w:t>
      </w:r>
    </w:p>
    <w:p>
      <w:pPr>
        <w:pStyle w:val="Compact"/>
        <w:numPr>
          <w:ilvl w:val="0"/>
          <w:numId w:val="1006"/>
        </w:numPr>
      </w:pPr>
      <w:r>
        <w:t xml:space="preserve">Password policies</w:t>
      </w:r>
    </w:p>
    <w:p>
      <w:pPr>
        <w:pStyle w:val="Compact"/>
        <w:numPr>
          <w:ilvl w:val="0"/>
          <w:numId w:val="1006"/>
        </w:numPr>
      </w:pPr>
      <w:r>
        <w:t xml:space="preserve">Device policies</w:t>
      </w:r>
    </w:p>
    <w:p>
      <w:pPr>
        <w:pStyle w:val="Compact"/>
        <w:numPr>
          <w:ilvl w:val="0"/>
          <w:numId w:val="1006"/>
        </w:numPr>
      </w:pPr>
      <w:r>
        <w:t xml:space="preserve">Session controls</w:t>
      </w:r>
    </w:p>
    <w:p>
      <w:pPr>
        <w:pStyle w:val="Compact"/>
        <w:numPr>
          <w:ilvl w:val="0"/>
          <w:numId w:val="1006"/>
        </w:numPr>
      </w:pPr>
      <w:r>
        <w:t xml:space="preserve">Conditional access</w:t>
      </w:r>
    </w:p>
    <w:p>
      <w:r>
        <w:pict>
          <v:rect style="width:0;height:1.5pt" o:hralign="center" o:hrstd="t" o:hr="t"/>
        </w:pict>
      </w:r>
    </w:p>
    <w:bookmarkEnd w:id="28"/>
    <w:bookmarkStart w:id="29" w:name="X51919d7dcb9ef5715a98eed83265a0582153aa0"/>
    <w:p>
      <w:pPr>
        <w:pStyle w:val="Heading3"/>
      </w:pPr>
      <w:r>
        <w:t xml:space="preserve">Step 4 – Google Sends SAML Assertion to Databricks</w:t>
      </w:r>
    </w:p>
    <w:p>
      <w:pPr>
        <w:pStyle w:val="FirstParagraph"/>
      </w:pPr>
      <w:r>
        <w:t xml:space="preserve">After successful authentication, Google Workspace sends a signed SAML assertion to Databricks.</w:t>
      </w:r>
    </w:p>
    <w:p>
      <w:pPr>
        <w:pStyle w:val="BodyText"/>
      </w:pPr>
      <w:r>
        <w:t xml:space="preserve">The assertion contains:</w:t>
      </w:r>
    </w:p>
    <w:p>
      <w:pPr>
        <w:pStyle w:val="Compact"/>
        <w:numPr>
          <w:ilvl w:val="0"/>
          <w:numId w:val="1007"/>
        </w:numPr>
      </w:pPr>
      <w:r>
        <w:t xml:space="preserve">User identity</w:t>
      </w:r>
    </w:p>
    <w:p>
      <w:pPr>
        <w:pStyle w:val="Compact"/>
        <w:numPr>
          <w:ilvl w:val="0"/>
          <w:numId w:val="1007"/>
        </w:numPr>
      </w:pPr>
      <w:r>
        <w:t xml:space="preserve">Email</w:t>
      </w:r>
    </w:p>
    <w:p>
      <w:pPr>
        <w:pStyle w:val="Compact"/>
        <w:numPr>
          <w:ilvl w:val="0"/>
          <w:numId w:val="1007"/>
        </w:numPr>
      </w:pPr>
      <w:r>
        <w:t xml:space="preserve">User attributes</w:t>
      </w:r>
    </w:p>
    <w:p>
      <w:pPr>
        <w:pStyle w:val="Compact"/>
        <w:numPr>
          <w:ilvl w:val="0"/>
          <w:numId w:val="1007"/>
        </w:numPr>
      </w:pPr>
      <w:r>
        <w:t xml:space="preserve">Group information</w:t>
      </w:r>
    </w:p>
    <w:p>
      <w:pPr>
        <w:pStyle w:val="Compact"/>
        <w:numPr>
          <w:ilvl w:val="0"/>
          <w:numId w:val="1007"/>
        </w:numPr>
      </w:pPr>
      <w:r>
        <w:t xml:space="preserve">Authentication status</w:t>
      </w:r>
    </w:p>
    <w:p>
      <w:r>
        <w:pict>
          <v:rect style="width:0;height:1.5pt" o:hralign="center" o:hrstd="t" o:hr="t"/>
        </w:pict>
      </w:r>
    </w:p>
    <w:bookmarkEnd w:id="29"/>
    <w:bookmarkStart w:id="30" w:name="X25226e73918251e5987fe9ae192509a1e5271a7"/>
    <w:p>
      <w:pPr>
        <w:pStyle w:val="Heading3"/>
      </w:pPr>
      <w:r>
        <w:t xml:space="preserve">Step 5 – Databricks Validates SAML Assertion</w:t>
      </w:r>
    </w:p>
    <w:p>
      <w:pPr>
        <w:pStyle w:val="FirstParagraph"/>
      </w:pPr>
      <w:r>
        <w:t xml:space="preserve">Databricks validates:</w:t>
      </w:r>
    </w:p>
    <w:p>
      <w:pPr>
        <w:pStyle w:val="Compact"/>
        <w:numPr>
          <w:ilvl w:val="0"/>
          <w:numId w:val="1008"/>
        </w:numPr>
      </w:pPr>
      <w:r>
        <w:t xml:space="preserve">Signature authenticity</w:t>
      </w:r>
    </w:p>
    <w:p>
      <w:pPr>
        <w:pStyle w:val="Compact"/>
        <w:numPr>
          <w:ilvl w:val="0"/>
          <w:numId w:val="1008"/>
        </w:numPr>
      </w:pPr>
      <w:r>
        <w:t xml:space="preserve">Token validity</w:t>
      </w:r>
    </w:p>
    <w:p>
      <w:pPr>
        <w:pStyle w:val="Compact"/>
        <w:numPr>
          <w:ilvl w:val="0"/>
          <w:numId w:val="1008"/>
        </w:numPr>
      </w:pPr>
      <w:r>
        <w:t xml:space="preserve">Trusted Identity Provider</w:t>
      </w:r>
    </w:p>
    <w:p>
      <w:pPr>
        <w:pStyle w:val="Compact"/>
        <w:numPr>
          <w:ilvl w:val="0"/>
          <w:numId w:val="1008"/>
        </w:numPr>
      </w:pPr>
      <w:r>
        <w:t xml:space="preserve">User mapping</w:t>
      </w:r>
    </w:p>
    <w:p>
      <w:pPr>
        <w:pStyle w:val="FirstParagraph"/>
      </w:pPr>
      <w:r>
        <w:t xml:space="preserve">If validation succeeds, access is granted.</w:t>
      </w:r>
    </w:p>
    <w:p>
      <w:r>
        <w:pict>
          <v:rect style="width:0;height:1.5pt" o:hralign="center" o:hrstd="t" o:hr="t"/>
        </w:pict>
      </w:r>
    </w:p>
    <w:bookmarkEnd w:id="30"/>
    <w:bookmarkStart w:id="31" w:name="step-6-workspace-access-granted"/>
    <w:p>
      <w:pPr>
        <w:pStyle w:val="Heading3"/>
      </w:pPr>
      <w:r>
        <w:t xml:space="preserve">Step 6 – Workspace Access Granted</w:t>
      </w:r>
    </w:p>
    <w:p>
      <w:pPr>
        <w:pStyle w:val="FirstParagraph"/>
      </w:pPr>
      <w:r>
        <w:t xml:space="preserve">The user gains access to the appropriate Databricks workspace.</w:t>
      </w:r>
    </w:p>
    <w:p>
      <w:pPr>
        <w:pStyle w:val="BodyText"/>
      </w:pPr>
      <w:r>
        <w:t xml:space="preserve">Actual data access is controlled separately through:</w:t>
      </w:r>
    </w:p>
    <w:p>
      <w:pPr>
        <w:pStyle w:val="Compact"/>
        <w:numPr>
          <w:ilvl w:val="0"/>
          <w:numId w:val="1009"/>
        </w:numPr>
      </w:pPr>
      <w:r>
        <w:t xml:space="preserve">Unity Catalog</w:t>
      </w:r>
    </w:p>
    <w:p>
      <w:pPr>
        <w:pStyle w:val="Compact"/>
        <w:numPr>
          <w:ilvl w:val="0"/>
          <w:numId w:val="1009"/>
        </w:numPr>
      </w:pPr>
      <w:r>
        <w:t xml:space="preserve">Groups</w:t>
      </w:r>
    </w:p>
    <w:p>
      <w:pPr>
        <w:pStyle w:val="Compact"/>
        <w:numPr>
          <w:ilvl w:val="0"/>
          <w:numId w:val="1009"/>
        </w:numPr>
      </w:pPr>
      <w:r>
        <w:t xml:space="preserve">Catalog permissions</w:t>
      </w:r>
    </w:p>
    <w:p>
      <w:pPr>
        <w:pStyle w:val="Compact"/>
        <w:numPr>
          <w:ilvl w:val="0"/>
          <w:numId w:val="1009"/>
        </w:numPr>
      </w:pPr>
      <w:r>
        <w:t xml:space="preserve">Schema permissions</w:t>
      </w:r>
    </w:p>
    <w:p>
      <w:pPr>
        <w:pStyle w:val="Compact"/>
        <w:numPr>
          <w:ilvl w:val="0"/>
          <w:numId w:val="1009"/>
        </w:numPr>
      </w:pPr>
      <w:r>
        <w:t xml:space="preserve">Table permissions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9" w:name="saml-based-single-sign-on-sso"/>
    <w:p>
      <w:pPr>
        <w:pStyle w:val="Heading1"/>
      </w:pPr>
      <w:r>
        <w:t xml:space="preserve">5. SAML-Based Single Sign-On (SSO)</w:t>
      </w:r>
    </w:p>
    <w:bookmarkStart w:id="34" w:name="why-saml-is-used"/>
    <w:p>
      <w:pPr>
        <w:pStyle w:val="Heading2"/>
      </w:pPr>
      <w:r>
        <w:t xml:space="preserve">5.1 Why SAML is Used</w:t>
      </w:r>
    </w:p>
    <w:p>
      <w:pPr>
        <w:pStyle w:val="FirstParagraph"/>
      </w:pPr>
      <w:r>
        <w:t xml:space="preserve">SAML 2.0 is used to enable enterprise-grade Single Sign-On.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10"/>
        </w:numPr>
      </w:pPr>
      <w:r>
        <w:t xml:space="preserve">Centralized authentication</w:t>
      </w:r>
    </w:p>
    <w:p>
      <w:pPr>
        <w:pStyle w:val="Compact"/>
        <w:numPr>
          <w:ilvl w:val="0"/>
          <w:numId w:val="1010"/>
        </w:numPr>
      </w:pPr>
      <w:r>
        <w:t xml:space="preserve">No local Databricks passwords</w:t>
      </w:r>
    </w:p>
    <w:p>
      <w:pPr>
        <w:pStyle w:val="Compact"/>
        <w:numPr>
          <w:ilvl w:val="0"/>
          <w:numId w:val="1010"/>
        </w:numPr>
      </w:pPr>
      <w:r>
        <w:t xml:space="preserve">Enterprise MFA enforcement</w:t>
      </w:r>
    </w:p>
    <w:p>
      <w:pPr>
        <w:pStyle w:val="Compact"/>
        <w:numPr>
          <w:ilvl w:val="0"/>
          <w:numId w:val="1010"/>
        </w:numPr>
      </w:pPr>
      <w:r>
        <w:t xml:space="preserve">Simplified user experience</w:t>
      </w:r>
    </w:p>
    <w:p>
      <w:pPr>
        <w:pStyle w:val="Compact"/>
        <w:numPr>
          <w:ilvl w:val="0"/>
          <w:numId w:val="1010"/>
        </w:numPr>
      </w:pPr>
      <w:r>
        <w:t xml:space="preserve">Improved security posture</w:t>
      </w:r>
    </w:p>
    <w:p>
      <w:pPr>
        <w:pStyle w:val="Compact"/>
        <w:numPr>
          <w:ilvl w:val="0"/>
          <w:numId w:val="1010"/>
        </w:numPr>
      </w:pPr>
      <w:r>
        <w:t xml:space="preserve">Easier auditing and compliance</w:t>
      </w:r>
    </w:p>
    <w:p>
      <w:r>
        <w:pict>
          <v:rect style="width:0;height:1.5pt" o:hralign="center" o:hrstd="t" o:hr="t"/>
        </w:pict>
      </w:r>
    </w:p>
    <w:bookmarkEnd w:id="34"/>
    <w:bookmarkStart w:id="36" w:name="databricks-sso-configuration"/>
    <w:p>
      <w:pPr>
        <w:pStyle w:val="Heading2"/>
      </w:pPr>
      <w:r>
        <w:t xml:space="preserve">5.2 Databricks SSO Configuration</w:t>
      </w:r>
    </w:p>
    <w:p>
      <w:pPr>
        <w:pStyle w:val="FirstParagraph"/>
      </w:pPr>
      <w:r>
        <w:t xml:space="preserve">The following configuration is typically performed in the Databricks Account Console.</w:t>
      </w:r>
    </w:p>
    <w:bookmarkStart w:id="35" w:name="databricks-sso-configuration-steps"/>
    <w:p>
      <w:pPr>
        <w:pStyle w:val="Heading3"/>
      </w:pPr>
      <w:r>
        <w:t xml:space="preserve">Databricks SSO Configuration Steps</w:t>
      </w:r>
    </w:p>
    <w:p>
      <w:pPr>
        <w:pStyle w:val="Compact"/>
        <w:numPr>
          <w:ilvl w:val="0"/>
          <w:numId w:val="1011"/>
        </w:numPr>
      </w:pPr>
      <w:r>
        <w:t xml:space="preserve">Enable SAML Authentication</w:t>
      </w:r>
    </w:p>
    <w:p>
      <w:pPr>
        <w:pStyle w:val="Compact"/>
        <w:numPr>
          <w:ilvl w:val="0"/>
          <w:numId w:val="1011"/>
        </w:numPr>
      </w:pPr>
      <w:r>
        <w:t xml:space="preserve">Upload Google IdP metadata</w:t>
      </w:r>
    </w:p>
    <w:p>
      <w:pPr>
        <w:pStyle w:val="Compact"/>
        <w:numPr>
          <w:ilvl w:val="0"/>
          <w:numId w:val="1011"/>
        </w:numPr>
      </w:pPr>
      <w:r>
        <w:t xml:space="preserve">Configure Assertion Consumer Service (ACS) URL</w:t>
      </w:r>
    </w:p>
    <w:p>
      <w:pPr>
        <w:pStyle w:val="Compact"/>
        <w:numPr>
          <w:ilvl w:val="0"/>
          <w:numId w:val="1011"/>
        </w:numPr>
      </w:pPr>
      <w:r>
        <w:t xml:space="preserve">Configure Entity ID</w:t>
      </w:r>
    </w:p>
    <w:p>
      <w:pPr>
        <w:pStyle w:val="Compact"/>
        <w:numPr>
          <w:ilvl w:val="0"/>
          <w:numId w:val="1011"/>
        </w:numPr>
      </w:pPr>
      <w:r>
        <w:t xml:space="preserve">Configure redirect URLs</w:t>
      </w:r>
    </w:p>
    <w:p>
      <w:pPr>
        <w:pStyle w:val="Compact"/>
        <w:numPr>
          <w:ilvl w:val="0"/>
          <w:numId w:val="1011"/>
        </w:numPr>
      </w:pPr>
      <w:r>
        <w:t xml:space="preserve">Configure user attribute mapping</w:t>
      </w:r>
    </w:p>
    <w:p>
      <w:pPr>
        <w:pStyle w:val="Compact"/>
        <w:numPr>
          <w:ilvl w:val="0"/>
          <w:numId w:val="1011"/>
        </w:numPr>
      </w:pPr>
      <w:r>
        <w:t xml:space="preserve">Validate trust relationship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google-workspace-configuration"/>
    <w:p>
      <w:pPr>
        <w:pStyle w:val="Heading2"/>
      </w:pPr>
      <w:r>
        <w:t xml:space="preserve">5.3 Google Workspace Configuration</w:t>
      </w:r>
    </w:p>
    <w:p>
      <w:pPr>
        <w:pStyle w:val="FirstParagraph"/>
      </w:pPr>
      <w:r>
        <w:t xml:space="preserve">The following configuration is typically performed in Google Admin Console.</w:t>
      </w:r>
    </w:p>
    <w:bookmarkStart w:id="37" w:name="X2f71d3fd71ec75f5b1c9ea75a3bdbd66c07374a"/>
    <w:p>
      <w:pPr>
        <w:pStyle w:val="Heading3"/>
      </w:pPr>
      <w:r>
        <w:t xml:space="preserve">Google Workspace SAML Configuration Steps</w:t>
      </w:r>
    </w:p>
    <w:p>
      <w:pPr>
        <w:pStyle w:val="Compact"/>
        <w:numPr>
          <w:ilvl w:val="0"/>
          <w:numId w:val="1012"/>
        </w:numPr>
      </w:pPr>
      <w:r>
        <w:t xml:space="preserve">Create custom SAML application</w:t>
      </w:r>
    </w:p>
    <w:p>
      <w:pPr>
        <w:pStyle w:val="Compact"/>
        <w:numPr>
          <w:ilvl w:val="0"/>
          <w:numId w:val="1012"/>
        </w:numPr>
      </w:pPr>
      <w:r>
        <w:t xml:space="preserve">Configure Databricks ACS URL</w:t>
      </w:r>
    </w:p>
    <w:p>
      <w:pPr>
        <w:pStyle w:val="Compact"/>
        <w:numPr>
          <w:ilvl w:val="0"/>
          <w:numId w:val="1012"/>
        </w:numPr>
      </w:pPr>
      <w:r>
        <w:t xml:space="preserve">Configure Entity ID</w:t>
      </w:r>
    </w:p>
    <w:p>
      <w:pPr>
        <w:pStyle w:val="Compact"/>
        <w:numPr>
          <w:ilvl w:val="0"/>
          <w:numId w:val="1012"/>
        </w:numPr>
      </w:pPr>
      <w:r>
        <w:t xml:space="preserve">Configure Name ID mapping</w:t>
      </w:r>
    </w:p>
    <w:p>
      <w:pPr>
        <w:pStyle w:val="Compact"/>
        <w:numPr>
          <w:ilvl w:val="0"/>
          <w:numId w:val="1012"/>
        </w:numPr>
      </w:pPr>
      <w:r>
        <w:t xml:space="preserve">Configure attribute mappings</w:t>
      </w:r>
    </w:p>
    <w:p>
      <w:pPr>
        <w:pStyle w:val="Compact"/>
        <w:numPr>
          <w:ilvl w:val="0"/>
          <w:numId w:val="1012"/>
        </w:numPr>
      </w:pPr>
      <w:r>
        <w:t xml:space="preserve">Enable application for users/groups</w:t>
      </w:r>
    </w:p>
    <w:p>
      <w:pPr>
        <w:pStyle w:val="FirstParagraph"/>
      </w:pPr>
      <w:r>
        <w:t xml:space="preserve">Mapped attributes typically include: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User 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firstName</w:t>
            </w:r>
          </w:p>
        </w:tc>
        <w:tc>
          <w:tcPr/>
          <w:p>
            <w:pPr>
              <w:pStyle w:val="Compact"/>
            </w:pPr>
            <w:r>
              <w:t xml:space="preserve">User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lastName</w:t>
            </w:r>
          </w:p>
        </w:tc>
        <w:tc>
          <w:tcPr/>
          <w:p>
            <w:pPr>
              <w:pStyle w:val="Compact"/>
            </w:pPr>
            <w:r>
              <w:t xml:space="preserve">User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groups</w:t>
            </w:r>
          </w:p>
        </w:tc>
        <w:tc>
          <w:tcPr/>
          <w:p>
            <w:pPr>
              <w:pStyle w:val="Compact"/>
            </w:pPr>
            <w:r>
              <w:t xml:space="preserve">Access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7" w:name="scim-provisioning-architecture"/>
    <w:p>
      <w:pPr>
        <w:pStyle w:val="Heading1"/>
      </w:pPr>
      <w:r>
        <w:t xml:space="preserve">6. SCIM Provisioning Architecture</w:t>
      </w:r>
    </w:p>
    <w:bookmarkStart w:id="40" w:name="purpose-of-scim"/>
    <w:p>
      <w:pPr>
        <w:pStyle w:val="Heading2"/>
      </w:pPr>
      <w:r>
        <w:t xml:space="preserve">6.1 Purpose of SCIM</w:t>
      </w:r>
    </w:p>
    <w:p>
      <w:pPr>
        <w:pStyle w:val="FirstParagraph"/>
      </w:pPr>
      <w:r>
        <w:t xml:space="preserve">SSO handles authentication only.</w:t>
      </w:r>
    </w:p>
    <w:p>
      <w:pPr>
        <w:pStyle w:val="BodyText"/>
      </w:pPr>
      <w:r>
        <w:t xml:space="preserve">SCIM is used for:</w:t>
      </w:r>
    </w:p>
    <w:p>
      <w:pPr>
        <w:pStyle w:val="Compact"/>
        <w:numPr>
          <w:ilvl w:val="0"/>
          <w:numId w:val="1013"/>
        </w:numPr>
      </w:pPr>
      <w:r>
        <w:t xml:space="preserve">User provisioning</w:t>
      </w:r>
    </w:p>
    <w:p>
      <w:pPr>
        <w:pStyle w:val="Compact"/>
        <w:numPr>
          <w:ilvl w:val="0"/>
          <w:numId w:val="1013"/>
        </w:numPr>
      </w:pPr>
      <w:r>
        <w:t xml:space="preserve">User deprovisioning</w:t>
      </w:r>
    </w:p>
    <w:p>
      <w:pPr>
        <w:pStyle w:val="Compact"/>
        <w:numPr>
          <w:ilvl w:val="0"/>
          <w:numId w:val="1013"/>
        </w:numPr>
      </w:pPr>
      <w:r>
        <w:t xml:space="preserve">Group synchronization</w:t>
      </w:r>
    </w:p>
    <w:p>
      <w:pPr>
        <w:pStyle w:val="Compact"/>
        <w:numPr>
          <w:ilvl w:val="0"/>
          <w:numId w:val="1013"/>
        </w:numPr>
      </w:pPr>
      <w:r>
        <w:t xml:space="preserve">Automated onboarding/offboarding</w:t>
      </w:r>
    </w:p>
    <w:p>
      <w:pPr>
        <w:pStyle w:val="Compact"/>
        <w:numPr>
          <w:ilvl w:val="0"/>
          <w:numId w:val="1013"/>
        </w:numPr>
      </w:pPr>
      <w:r>
        <w:t xml:space="preserve">Role and access synchronization</w:t>
      </w:r>
    </w:p>
    <w:p>
      <w:pPr>
        <w:pStyle w:val="FirstParagraph"/>
      </w:pPr>
      <w:r>
        <w:t xml:space="preserve">Without SCIM:</w:t>
      </w:r>
    </w:p>
    <w:p>
      <w:pPr>
        <w:pStyle w:val="Compact"/>
        <w:numPr>
          <w:ilvl w:val="0"/>
          <w:numId w:val="1014"/>
        </w:numPr>
      </w:pPr>
      <w:r>
        <w:t xml:space="preserve">Users must be manually created</w:t>
      </w:r>
    </w:p>
    <w:p>
      <w:pPr>
        <w:pStyle w:val="Compact"/>
        <w:numPr>
          <w:ilvl w:val="0"/>
          <w:numId w:val="1014"/>
        </w:numPr>
      </w:pPr>
      <w:r>
        <w:t xml:space="preserve">Groups must be manually managed</w:t>
      </w:r>
    </w:p>
    <w:p>
      <w:pPr>
        <w:pStyle w:val="Compact"/>
        <w:numPr>
          <w:ilvl w:val="0"/>
          <w:numId w:val="1014"/>
        </w:numPr>
      </w:pPr>
      <w:r>
        <w:t xml:space="preserve">Offboarding becomes operationally difficult</w:t>
      </w:r>
    </w:p>
    <w:p>
      <w:pPr>
        <w:pStyle w:val="Compact"/>
        <w:numPr>
          <w:ilvl w:val="0"/>
          <w:numId w:val="1014"/>
        </w:numPr>
      </w:pPr>
      <w:r>
        <w:t xml:space="preserve">Governance risks increase</w:t>
      </w:r>
    </w:p>
    <w:p>
      <w:r>
        <w:pict>
          <v:rect style="width:0;height:1.5pt" o:hralign="center" o:hrstd="t" o:hr="t"/>
        </w:pict>
      </w:r>
    </w:p>
    <w:bookmarkEnd w:id="40"/>
    <w:bookmarkStart w:id="46" w:name="scim-provisioning-flow"/>
    <w:p>
      <w:pPr>
        <w:pStyle w:val="Heading2"/>
      </w:pPr>
      <w:r>
        <w:t xml:space="preserve">6.2 SCIM Provisioning Flow</w:t>
      </w:r>
    </w:p>
    <w:bookmarkStart w:id="41" w:name="step-1-user-created-in-google-workspace"/>
    <w:p>
      <w:pPr>
        <w:pStyle w:val="Heading3"/>
      </w:pPr>
      <w:r>
        <w:t xml:space="preserve">Step 1 – User Created in Google Workspace</w:t>
      </w:r>
    </w:p>
    <w:p>
      <w:pPr>
        <w:pStyle w:val="FirstParagraph"/>
      </w:pPr>
      <w:r>
        <w:t xml:space="preserve">A new enterprise user is created in Google Workspace.</w:t>
      </w:r>
    </w:p>
    <w:p>
      <w:r>
        <w:pict>
          <v:rect style="width:0;height:1.5pt" o:hralign="center" o:hrstd="t" o:hr="t"/>
        </w:pict>
      </w:r>
    </w:p>
    <w:bookmarkEnd w:id="41"/>
    <w:bookmarkStart w:id="42" w:name="step-2-scim-sync-triggered"/>
    <w:p>
      <w:pPr>
        <w:pStyle w:val="Heading3"/>
      </w:pPr>
      <w:r>
        <w:t xml:space="preserve">Step 2 – SCIM Sync Triggered</w:t>
      </w:r>
    </w:p>
    <w:p>
      <w:pPr>
        <w:pStyle w:val="FirstParagraph"/>
      </w:pPr>
      <w:r>
        <w:t xml:space="preserve">SCIM automatically synchronizes:</w:t>
      </w:r>
    </w:p>
    <w:p>
      <w:pPr>
        <w:pStyle w:val="Compact"/>
        <w:numPr>
          <w:ilvl w:val="0"/>
          <w:numId w:val="1015"/>
        </w:numPr>
      </w:pPr>
      <w:r>
        <w:t xml:space="preserve">User identity</w:t>
      </w:r>
    </w:p>
    <w:p>
      <w:pPr>
        <w:pStyle w:val="Compact"/>
        <w:numPr>
          <w:ilvl w:val="0"/>
          <w:numId w:val="1015"/>
        </w:numPr>
      </w:pPr>
      <w:r>
        <w:t xml:space="preserve">Group memberships</w:t>
      </w:r>
    </w:p>
    <w:p>
      <w:pPr>
        <w:pStyle w:val="Compact"/>
        <w:numPr>
          <w:ilvl w:val="0"/>
          <w:numId w:val="1015"/>
        </w:numPr>
      </w:pPr>
      <w:r>
        <w:t xml:space="preserve">Access mappings</w:t>
      </w:r>
    </w:p>
    <w:p>
      <w:r>
        <w:pict>
          <v:rect style="width:0;height:1.5pt" o:hralign="center" o:hrstd="t" o:hr="t"/>
        </w:pict>
      </w:r>
    </w:p>
    <w:bookmarkEnd w:id="42"/>
    <w:bookmarkStart w:id="43" w:name="step-3-user-created-in-databricks"/>
    <w:p>
      <w:pPr>
        <w:pStyle w:val="Heading3"/>
      </w:pPr>
      <w:r>
        <w:t xml:space="preserve">Step 3 – User Created in Databricks</w:t>
      </w:r>
    </w:p>
    <w:p>
      <w:pPr>
        <w:pStyle w:val="FirstParagraph"/>
      </w:pPr>
      <w:r>
        <w:t xml:space="preserve">The user is automatically provisioned in Databricks.</w:t>
      </w:r>
    </w:p>
    <w:p>
      <w:pPr>
        <w:pStyle w:val="BodyText"/>
      </w:pPr>
      <w:r>
        <w:t xml:space="preserve">No manual administration required.</w:t>
      </w:r>
    </w:p>
    <w:p>
      <w:r>
        <w:pict>
          <v:rect style="width:0;height:1.5pt" o:hralign="center" o:hrstd="t" o:hr="t"/>
        </w:pict>
      </w:r>
    </w:p>
    <w:bookmarkEnd w:id="43"/>
    <w:bookmarkStart w:id="44" w:name="step-4-group-memberships-assigned"/>
    <w:p>
      <w:pPr>
        <w:pStyle w:val="Heading3"/>
      </w:pPr>
      <w:r>
        <w:t xml:space="preserve">Step 4 – Group Memberships Assigned</w:t>
      </w:r>
    </w:p>
    <w:p>
      <w:pPr>
        <w:pStyle w:val="FirstParagraph"/>
      </w:pPr>
      <w:r>
        <w:t xml:space="preserve">Users inherit access based on enterprise groups.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Google Group</w:t>
            </w:r>
          </w:p>
        </w:tc>
        <w:tc>
          <w:tcPr/>
          <w:p>
            <w:pPr>
              <w:pStyle w:val="Compact"/>
            </w:pPr>
            <w:r>
              <w:t xml:space="preserve">Databricks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grp_dlk_finance_read</w:t>
            </w:r>
          </w:p>
        </w:tc>
        <w:tc>
          <w:tcPr/>
          <w:p>
            <w:pPr>
              <w:pStyle w:val="Compact"/>
            </w:pPr>
            <w:r>
              <w:t xml:space="preserve">Finance read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grp_dlk_sales_write</w:t>
            </w:r>
          </w:p>
        </w:tc>
        <w:tc>
          <w:tcPr/>
          <w:p>
            <w:pPr>
              <w:pStyle w:val="Compact"/>
            </w:pPr>
            <w:r>
              <w:t xml:space="preserve">Sales write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grp_dlk_platform_admin</w:t>
            </w:r>
          </w:p>
        </w:tc>
        <w:tc>
          <w:tcPr/>
          <w:p>
            <w:pPr>
              <w:pStyle w:val="Compact"/>
            </w:pPr>
            <w:r>
              <w:t xml:space="preserve">Platform administration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step-5-automatic-deactivation"/>
    <w:p>
      <w:pPr>
        <w:pStyle w:val="Heading3"/>
      </w:pPr>
      <w:r>
        <w:t xml:space="preserve">Step 5 – Automatic Deactivation</w:t>
      </w:r>
    </w:p>
    <w:p>
      <w:pPr>
        <w:pStyle w:val="FirstParagraph"/>
      </w:pPr>
      <w:r>
        <w:t xml:space="preserve">When users leave the organization:</w:t>
      </w:r>
    </w:p>
    <w:p>
      <w:pPr>
        <w:pStyle w:val="Compact"/>
        <w:numPr>
          <w:ilvl w:val="0"/>
          <w:numId w:val="1016"/>
        </w:numPr>
      </w:pPr>
      <w:r>
        <w:t xml:space="preserve">Google account is disabled</w:t>
      </w:r>
    </w:p>
    <w:p>
      <w:pPr>
        <w:pStyle w:val="Compact"/>
        <w:numPr>
          <w:ilvl w:val="0"/>
          <w:numId w:val="1016"/>
        </w:numPr>
      </w:pPr>
      <w:r>
        <w:t xml:space="preserve">SCIM removes access automatically</w:t>
      </w:r>
    </w:p>
    <w:p>
      <w:pPr>
        <w:pStyle w:val="Compact"/>
        <w:numPr>
          <w:ilvl w:val="0"/>
          <w:numId w:val="1016"/>
        </w:numPr>
      </w:pPr>
      <w:r>
        <w:t xml:space="preserve">Databricks access revoked</w:t>
      </w:r>
    </w:p>
    <w:p>
      <w:pPr>
        <w:pStyle w:val="FirstParagraph"/>
      </w:pPr>
      <w:r>
        <w:t xml:space="preserve">This ensures governance compliance.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recommended-access-control-model"/>
    <w:p>
      <w:pPr>
        <w:pStyle w:val="Heading1"/>
      </w:pPr>
      <w:r>
        <w:t xml:space="preserve">7. Recommended Access Control Model</w:t>
      </w:r>
    </w:p>
    <w:bookmarkStart w:id="48" w:name="Xdce4d08c88f174adffb1cd8a6d194dae6cb1abe"/>
    <w:p>
      <w:pPr>
        <w:pStyle w:val="Heading2"/>
      </w:pPr>
      <w:r>
        <w:t xml:space="preserve">7.1 Enterprise RBAC (Role-Based Access Control)</w:t>
      </w:r>
    </w:p>
    <w:p>
      <w:pPr>
        <w:pStyle w:val="FirstParagraph"/>
      </w:pPr>
      <w:r>
        <w:t xml:space="preserve">The platform follows a group-based RBAC model.</w:t>
      </w:r>
    </w:p>
    <w:p>
      <w:pPr>
        <w:pStyle w:val="BodyText"/>
      </w:pPr>
      <w:r>
        <w:t xml:space="preserve">Best practice:</w:t>
      </w:r>
    </w:p>
    <w:p>
      <w:pPr>
        <w:pStyle w:val="Compact"/>
        <w:numPr>
          <w:ilvl w:val="0"/>
          <w:numId w:val="1017"/>
        </w:numPr>
      </w:pPr>
      <w:r>
        <w:t xml:space="preserve">No direct user permissions</w:t>
      </w:r>
    </w:p>
    <w:p>
      <w:pPr>
        <w:pStyle w:val="Compact"/>
        <w:numPr>
          <w:ilvl w:val="0"/>
          <w:numId w:val="1017"/>
        </w:numPr>
      </w:pPr>
      <w:r>
        <w:t xml:space="preserve">Permissions granted only to groups</w:t>
      </w:r>
    </w:p>
    <w:p>
      <w:pPr>
        <w:pStyle w:val="Compact"/>
        <w:numPr>
          <w:ilvl w:val="0"/>
          <w:numId w:val="1017"/>
        </w:numPr>
      </w:pPr>
      <w:r>
        <w:t xml:space="preserve">Centralized group management</w:t>
      </w:r>
    </w:p>
    <w:p>
      <w:pPr>
        <w:pStyle w:val="Compact"/>
        <w:numPr>
          <w:ilvl w:val="0"/>
          <w:numId w:val="1017"/>
        </w:numPr>
      </w:pPr>
      <w:r>
        <w:t xml:space="preserve">Least privilege principle</w:t>
      </w:r>
    </w:p>
    <w:p>
      <w:r>
        <w:pict>
          <v:rect style="width:0;height:1.5pt" o:hralign="center" o:hrstd="t" o:hr="t"/>
        </w:pict>
      </w:r>
    </w:p>
    <w:bookmarkEnd w:id="48"/>
    <w:bookmarkStart w:id="49" w:name="recommended-access-hierarchy"/>
    <w:p>
      <w:pPr>
        <w:pStyle w:val="Heading2"/>
      </w:pPr>
      <w:r>
        <w:t xml:space="preserve">7.2 Recommended Access Hierarchy</w:t>
      </w:r>
    </w:p>
    <w:p>
      <w:pPr>
        <w:pStyle w:val="FirstParagraph"/>
      </w:pPr>
      <w:r>
        <w:t xml:space="preserve">The recommended hierarchy is:</w:t>
      </w:r>
    </w:p>
    <w:p>
      <w:pPr>
        <w:pStyle w:val="BodyText"/>
      </w:pPr>
      <w:r>
        <w:t xml:space="preserve">User</w:t>
      </w:r>
      <w:r>
        <w:t xml:space="preserve"> </w:t>
      </w:r>
      <w:r>
        <w:t xml:space="preserve">→ Google Group</w:t>
      </w:r>
      <w:r>
        <w:t xml:space="preserve"> </w:t>
      </w:r>
      <w:r>
        <w:t xml:space="preserve">→ Databricks Group</w:t>
      </w:r>
      <w:r>
        <w:t xml:space="preserve"> </w:t>
      </w:r>
      <w:r>
        <w:t xml:space="preserve">→ Unity Catalog Permission</w:t>
      </w:r>
      <w:r>
        <w:t xml:space="preserve"> </w:t>
      </w:r>
      <w:r>
        <w:t xml:space="preserve">→ Data Access</w:t>
      </w:r>
    </w:p>
    <w:p>
      <w:r>
        <w:pict>
          <v:rect style="width:0;height:1.5pt" o:hralign="center" o:hrstd="t" o:hr="t"/>
        </w:pict>
      </w:r>
    </w:p>
    <w:bookmarkEnd w:id="49"/>
    <w:bookmarkStart w:id="50" w:name="example-group-naming-standards"/>
    <w:p>
      <w:pPr>
        <w:pStyle w:val="Heading2"/>
      </w:pPr>
      <w:r>
        <w:t xml:space="preserve">7.3 Example Group Naming Standards</w:t>
      </w:r>
    </w:p>
    <w:p>
      <w:pPr>
        <w:pStyle w:val="FirstParagraph"/>
      </w:pPr>
      <w:r>
        <w:t xml:space="preserve">Recommended naming convention: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grp_dlk_finance_read</w:t>
            </w:r>
          </w:p>
        </w:tc>
        <w:tc>
          <w:tcPr/>
          <w:p>
            <w:pPr>
              <w:pStyle w:val="Compact"/>
            </w:pPr>
            <w:r>
              <w:t xml:space="preserve">Finance read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grp_dlk_finance_write</w:t>
            </w:r>
          </w:p>
        </w:tc>
        <w:tc>
          <w:tcPr/>
          <w:p>
            <w:pPr>
              <w:pStyle w:val="Compact"/>
            </w:pPr>
            <w:r>
              <w:t xml:space="preserve">Finance write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grp_dlk_sales_read</w:t>
            </w:r>
          </w:p>
        </w:tc>
        <w:tc>
          <w:tcPr/>
          <w:p>
            <w:pPr>
              <w:pStyle w:val="Compact"/>
            </w:pPr>
            <w:r>
              <w:t xml:space="preserve">Sales read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grp_dlk_ds_ml_engineers</w:t>
            </w:r>
          </w:p>
        </w:tc>
        <w:tc>
          <w:tcPr/>
          <w:p>
            <w:pPr>
              <w:pStyle w:val="Compact"/>
            </w:pPr>
            <w:r>
              <w:t xml:space="preserve">ML engineering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grp_dlk_platform_admin</w:t>
            </w:r>
          </w:p>
        </w:tc>
        <w:tc>
          <w:tcPr/>
          <w:p>
            <w:pPr>
              <w:pStyle w:val="Compact"/>
            </w:pPr>
            <w:r>
              <w:t xml:space="preserve">Platform administration</w:t>
            </w:r>
          </w:p>
        </w:tc>
      </w:tr>
    </w:tbl>
    <w:p>
      <w:pPr>
        <w:pStyle w:val="BodyText"/>
      </w:pPr>
      <w:r>
        <w:t xml:space="preserve">This approach improves:</w:t>
      </w:r>
    </w:p>
    <w:p>
      <w:pPr>
        <w:pStyle w:val="Compact"/>
        <w:numPr>
          <w:ilvl w:val="0"/>
          <w:numId w:val="1018"/>
        </w:numPr>
      </w:pPr>
      <w:r>
        <w:t xml:space="preserve">Governance</w:t>
      </w:r>
    </w:p>
    <w:p>
      <w:pPr>
        <w:pStyle w:val="Compact"/>
        <w:numPr>
          <w:ilvl w:val="0"/>
          <w:numId w:val="1018"/>
        </w:numPr>
      </w:pPr>
      <w:r>
        <w:t xml:space="preserve">Auditability</w:t>
      </w:r>
    </w:p>
    <w:p>
      <w:pPr>
        <w:pStyle w:val="Compact"/>
        <w:numPr>
          <w:ilvl w:val="0"/>
          <w:numId w:val="1018"/>
        </w:numPr>
      </w:pPr>
      <w:r>
        <w:t xml:space="preserve">Automation</w:t>
      </w:r>
    </w:p>
    <w:p>
      <w:pPr>
        <w:pStyle w:val="Compact"/>
        <w:numPr>
          <w:ilvl w:val="0"/>
          <w:numId w:val="1018"/>
        </w:numPr>
      </w:pPr>
      <w:r>
        <w:t xml:space="preserve">CI/CD integration</w:t>
      </w:r>
    </w:p>
    <w:p>
      <w:pPr>
        <w:pStyle w:val="Compact"/>
        <w:numPr>
          <w:ilvl w:val="0"/>
          <w:numId w:val="1018"/>
        </w:numPr>
      </w:pPr>
      <w:r>
        <w:t xml:space="preserve">Operational scalability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environment-isolation-strategy"/>
    <w:p>
      <w:pPr>
        <w:pStyle w:val="Heading1"/>
      </w:pPr>
      <w:r>
        <w:t xml:space="preserve">8. Environment Isolation Strategy</w:t>
      </w:r>
    </w:p>
    <w:bookmarkStart w:id="52" w:name="recommended-enterprise-approach"/>
    <w:p>
      <w:pPr>
        <w:pStyle w:val="Heading2"/>
      </w:pPr>
      <w:r>
        <w:t xml:space="preserve">8.1 Recommended Enterprise Approach</w:t>
      </w:r>
    </w:p>
    <w:p>
      <w:pPr>
        <w:pStyle w:val="FirstParagraph"/>
      </w:pPr>
      <w:r>
        <w:t xml:space="preserve">The platform uses separate Databricks workspaces for each environment.</w:t>
      </w:r>
    </w:p>
    <w:p>
      <w:pPr>
        <w:pStyle w:val="BodyText"/>
      </w:pPr>
      <w:r>
        <w:t xml:space="preserve">Recommended environments: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Testing and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Production workloads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why-separate-workspaces-per-environment"/>
    <w:p>
      <w:pPr>
        <w:pStyle w:val="Heading2"/>
      </w:pPr>
      <w:r>
        <w:t xml:space="preserve">8.2 Why Separate Workspaces Per Environment</w:t>
      </w:r>
    </w:p>
    <w:p>
      <w:pPr>
        <w:pStyle w:val="FirstParagraph"/>
      </w:pPr>
      <w:r>
        <w:t xml:space="preserve">This approach provides:</w:t>
      </w:r>
    </w:p>
    <w:p>
      <w:pPr>
        <w:pStyle w:val="Compact"/>
        <w:numPr>
          <w:ilvl w:val="0"/>
          <w:numId w:val="1019"/>
        </w:numPr>
      </w:pPr>
      <w:r>
        <w:t xml:space="preserve">Strong environment isolation</w:t>
      </w:r>
    </w:p>
    <w:p>
      <w:pPr>
        <w:pStyle w:val="Compact"/>
        <w:numPr>
          <w:ilvl w:val="0"/>
          <w:numId w:val="1019"/>
        </w:numPr>
      </w:pPr>
      <w:r>
        <w:t xml:space="preserve">Reduced operational risk</w:t>
      </w:r>
    </w:p>
    <w:p>
      <w:pPr>
        <w:pStyle w:val="Compact"/>
        <w:numPr>
          <w:ilvl w:val="0"/>
          <w:numId w:val="1019"/>
        </w:numPr>
      </w:pPr>
      <w:r>
        <w:t xml:space="preserve">Safer production management</w:t>
      </w:r>
    </w:p>
    <w:p>
      <w:pPr>
        <w:pStyle w:val="Compact"/>
        <w:numPr>
          <w:ilvl w:val="0"/>
          <w:numId w:val="1019"/>
        </w:numPr>
      </w:pPr>
      <w:r>
        <w:t xml:space="preserve">Independent compute configuration</w:t>
      </w:r>
    </w:p>
    <w:p>
      <w:pPr>
        <w:pStyle w:val="Compact"/>
        <w:numPr>
          <w:ilvl w:val="0"/>
          <w:numId w:val="1019"/>
        </w:numPr>
      </w:pPr>
      <w:r>
        <w:t xml:space="preserve">Independent access control</w:t>
      </w:r>
    </w:p>
    <w:p>
      <w:pPr>
        <w:pStyle w:val="Compact"/>
        <w:numPr>
          <w:ilvl w:val="0"/>
          <w:numId w:val="1019"/>
        </w:numPr>
      </w:pPr>
      <w:r>
        <w:t xml:space="preserve">Easier CI/CD implementation</w:t>
      </w:r>
    </w:p>
    <w:p>
      <w:pPr>
        <w:pStyle w:val="Compact"/>
        <w:numPr>
          <w:ilvl w:val="0"/>
          <w:numId w:val="1019"/>
        </w:numPr>
      </w:pPr>
      <w:r>
        <w:t xml:space="preserve">Better audit and governance separation</w:t>
      </w:r>
    </w:p>
    <w:p>
      <w:r>
        <w:pict>
          <v:rect style="width:0;height:1.5pt" o:hralign="center" o:hrstd="t" o:hr="t"/>
        </w:pict>
      </w:r>
    </w:p>
    <w:bookmarkEnd w:id="53"/>
    <w:bookmarkStart w:id="54" w:name="example-workspace-structure"/>
    <w:p>
      <w:pPr>
        <w:pStyle w:val="Heading2"/>
      </w:pPr>
      <w:r>
        <w:t xml:space="preserve">8.3 Example Workspace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holcim-dev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holcim-qa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holcim-prod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3" w:name="s3-storage-architecture"/>
    <w:p>
      <w:pPr>
        <w:pStyle w:val="Heading1"/>
      </w:pPr>
      <w:r>
        <w:t xml:space="preserve">9. S3 Storage Architecture</w:t>
      </w:r>
    </w:p>
    <w:bookmarkStart w:id="56" w:name="recommended-enterprise-storage-design"/>
    <w:p>
      <w:pPr>
        <w:pStyle w:val="Heading2"/>
      </w:pPr>
      <w:r>
        <w:t xml:space="preserve">9.1 Recommended Enterprise Storage Design</w:t>
      </w:r>
    </w:p>
    <w:p>
      <w:pPr>
        <w:pStyle w:val="FirstParagraph"/>
      </w:pPr>
      <w:r>
        <w:t xml:space="preserve">The recommended approach is:</w:t>
      </w:r>
    </w:p>
    <w:p>
      <w:pPr>
        <w:pStyle w:val="BodyText"/>
      </w:pPr>
      <w:r>
        <w:t xml:space="preserve">Separate S3 buckets per environment.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s3://holcim-dev-data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s3://holcim-qa-data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s3://holcim-prod-data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2" w:name="why-separate-buckets-per-environment"/>
    <w:p>
      <w:pPr>
        <w:pStyle w:val="Heading2"/>
      </w:pPr>
      <w:r>
        <w:t xml:space="preserve">9.2 Why Separate Buckets Per Environment</w:t>
      </w:r>
    </w:p>
    <w:p>
      <w:pPr>
        <w:pStyle w:val="FirstParagraph"/>
      </w:pPr>
      <w:r>
        <w:t xml:space="preserve">Benefits include:</w:t>
      </w:r>
    </w:p>
    <w:bookmarkStart w:id="57" w:name="security-isolation"/>
    <w:p>
      <w:pPr>
        <w:pStyle w:val="Heading3"/>
      </w:pPr>
      <w:r>
        <w:t xml:space="preserve">Security Isolation</w:t>
      </w:r>
    </w:p>
    <w:p>
      <w:pPr>
        <w:pStyle w:val="FirstParagraph"/>
      </w:pPr>
      <w:r>
        <w:t xml:space="preserve">Production data remains isolated from non-production environments.</w:t>
      </w:r>
    </w:p>
    <w:p>
      <w:r>
        <w:pict>
          <v:rect style="width:0;height:1.5pt" o:hralign="center" o:hrstd="t" o:hr="t"/>
        </w:pict>
      </w:r>
    </w:p>
    <w:bookmarkEnd w:id="57"/>
    <w:bookmarkStart w:id="58" w:name="easier-iam-management"/>
    <w:p>
      <w:pPr>
        <w:pStyle w:val="Heading3"/>
      </w:pPr>
      <w:r>
        <w:t xml:space="preserve">Easier IAM Management</w:t>
      </w:r>
    </w:p>
    <w:p>
      <w:pPr>
        <w:pStyle w:val="FirstParagraph"/>
      </w:pPr>
      <w:r>
        <w:t xml:space="preserve">Bucket-level IAM policies simplify access management.</w:t>
      </w:r>
    </w:p>
    <w:p>
      <w:r>
        <w:pict>
          <v:rect style="width:0;height:1.5pt" o:hralign="center" o:hrstd="t" o:hr="t"/>
        </w:pict>
      </w:r>
    </w:p>
    <w:bookmarkEnd w:id="58"/>
    <w:bookmarkStart w:id="59" w:name="reduced-production-risk"/>
    <w:p>
      <w:pPr>
        <w:pStyle w:val="Heading3"/>
      </w:pPr>
      <w:r>
        <w:t xml:space="preserve">Reduced Production Risk</w:t>
      </w:r>
    </w:p>
    <w:p>
      <w:pPr>
        <w:pStyle w:val="FirstParagraph"/>
      </w:pPr>
      <w:r>
        <w:t xml:space="preserve">Prevents accidental modification of production data.</w:t>
      </w:r>
    </w:p>
    <w:p>
      <w:r>
        <w:pict>
          <v:rect style="width:0;height:1.5pt" o:hralign="center" o:hrstd="t" o:hr="t"/>
        </w:pict>
      </w:r>
    </w:p>
    <w:bookmarkEnd w:id="59"/>
    <w:bookmarkStart w:id="60" w:name="better-governance"/>
    <w:p>
      <w:pPr>
        <w:pStyle w:val="Heading3"/>
      </w:pPr>
      <w:r>
        <w:t xml:space="preserve">Better Governance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20"/>
        </w:numPr>
      </w:pPr>
      <w:r>
        <w:t xml:space="preserve">Independent retention policies</w:t>
      </w:r>
    </w:p>
    <w:p>
      <w:pPr>
        <w:pStyle w:val="Compact"/>
        <w:numPr>
          <w:ilvl w:val="0"/>
          <w:numId w:val="1020"/>
        </w:numPr>
      </w:pPr>
      <w:r>
        <w:t xml:space="preserve">Encryption policies</w:t>
      </w:r>
    </w:p>
    <w:p>
      <w:pPr>
        <w:pStyle w:val="Compact"/>
        <w:numPr>
          <w:ilvl w:val="0"/>
          <w:numId w:val="1020"/>
        </w:numPr>
      </w:pPr>
      <w:r>
        <w:t xml:space="preserve">Audit policies</w:t>
      </w:r>
    </w:p>
    <w:p>
      <w:pPr>
        <w:pStyle w:val="Compact"/>
        <w:numPr>
          <w:ilvl w:val="0"/>
          <w:numId w:val="1020"/>
        </w:numPr>
      </w:pPr>
      <w:r>
        <w:t xml:space="preserve">Lifecycle policies</w:t>
      </w:r>
    </w:p>
    <w:p>
      <w:r>
        <w:pict>
          <v:rect style="width:0;height:1.5pt" o:hralign="center" o:hrstd="t" o:hr="t"/>
        </w:pict>
      </w:r>
    </w:p>
    <w:bookmarkEnd w:id="60"/>
    <w:bookmarkStart w:id="61" w:name="better-cost-management"/>
    <w:p>
      <w:pPr>
        <w:pStyle w:val="Heading3"/>
      </w:pPr>
      <w:r>
        <w:t xml:space="preserve">Better Cost Management</w:t>
      </w:r>
    </w:p>
    <w:p>
      <w:pPr>
        <w:pStyle w:val="FirstParagraph"/>
      </w:pPr>
      <w:r>
        <w:t xml:space="preserve">Enables separate cost tracking for:</w:t>
      </w:r>
    </w:p>
    <w:p>
      <w:pPr>
        <w:pStyle w:val="Compact"/>
        <w:numPr>
          <w:ilvl w:val="0"/>
          <w:numId w:val="1021"/>
        </w:numPr>
      </w:pPr>
      <w:r>
        <w:t xml:space="preserve">DEV</w:t>
      </w:r>
    </w:p>
    <w:p>
      <w:pPr>
        <w:pStyle w:val="Compact"/>
        <w:numPr>
          <w:ilvl w:val="0"/>
          <w:numId w:val="1021"/>
        </w:numPr>
      </w:pPr>
      <w:r>
        <w:t xml:space="preserve">QA</w:t>
      </w:r>
    </w:p>
    <w:p>
      <w:pPr>
        <w:pStyle w:val="Compact"/>
        <w:numPr>
          <w:ilvl w:val="0"/>
          <w:numId w:val="1021"/>
        </w:numPr>
      </w:pPr>
      <w:r>
        <w:t xml:space="preserve">PROD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4" w:name="recommended-s3-structure"/>
    <w:p>
      <w:pPr>
        <w:pStyle w:val="Heading1"/>
      </w:pPr>
      <w:r>
        <w:t xml:space="preserve">10. Recommended S3 Structure</w:t>
      </w:r>
    </w:p>
    <w:p>
      <w:pPr>
        <w:pStyle w:val="FirstParagraph"/>
      </w:pPr>
      <w:r>
        <w:t xml:space="preserve">Within each environment bucket: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raw/</w:t>
            </w:r>
          </w:p>
        </w:tc>
        <w:tc>
          <w:tcPr/>
          <w:p>
            <w:pPr>
              <w:pStyle w:val="Compact"/>
            </w:pPr>
            <w:r>
              <w:t xml:space="preserve">Raw ingestion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silver/</w:t>
            </w:r>
          </w:p>
        </w:tc>
        <w:tc>
          <w:tcPr/>
          <w:p>
            <w:pPr>
              <w:pStyle w:val="Compact"/>
            </w:pPr>
            <w:r>
              <w:t xml:space="preserve">Cleansed/transformed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gold/</w:t>
            </w:r>
          </w:p>
        </w:tc>
        <w:tc>
          <w:tcPr/>
          <w:p>
            <w:pPr>
              <w:pStyle w:val="Compact"/>
            </w:pPr>
            <w:r>
              <w:t xml:space="preserve">Business curated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checkpoints/</w:t>
            </w:r>
          </w:p>
        </w:tc>
        <w:tc>
          <w:tcPr/>
          <w:p>
            <w:pPr>
              <w:pStyle w:val="Compact"/>
            </w:pPr>
            <w:r>
              <w:t xml:space="preserve">Streaming checkpoints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logs/</w:t>
            </w:r>
          </w:p>
        </w:tc>
        <w:tc>
          <w:tcPr/>
          <w:p>
            <w:pPr>
              <w:pStyle w:val="Compact"/>
            </w:pPr>
            <w:r>
              <w:t xml:space="preserve">Operational logs</w:t>
            </w:r>
          </w:p>
        </w:tc>
      </w:tr>
    </w:tbl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s3://holcim-prod-data/raw/</w:t>
      </w:r>
    </w:p>
    <w:p>
      <w:pPr>
        <w:pStyle w:val="BodyText"/>
      </w:pPr>
      <w:r>
        <w:t xml:space="preserve">s3://holcim-prod-data/silver/</w:t>
      </w:r>
    </w:p>
    <w:p>
      <w:pPr>
        <w:pStyle w:val="BodyText"/>
      </w:pPr>
      <w:r>
        <w:t xml:space="preserve">s3://holcim-prod-data/gold/</w:t>
      </w:r>
    </w:p>
    <w:p>
      <w:r>
        <w:pict>
          <v:rect style="width:0;height:1.5pt" o:hralign="center" o:hrstd="t" o:hr="t"/>
        </w:pict>
      </w:r>
    </w:p>
    <w:bookmarkEnd w:id="64"/>
    <w:bookmarkStart w:id="69" w:name="unity-catalog-governance-model"/>
    <w:p>
      <w:pPr>
        <w:pStyle w:val="Heading1"/>
      </w:pPr>
      <w:r>
        <w:t xml:space="preserve">11. Unity Catalog Governance Model</w:t>
      </w:r>
    </w:p>
    <w:bookmarkStart w:id="65" w:name="purpose-of-unity-catalog"/>
    <w:p>
      <w:pPr>
        <w:pStyle w:val="Heading2"/>
      </w:pPr>
      <w:r>
        <w:t xml:space="preserve">11.1 Purpose of Unity Catalog</w:t>
      </w:r>
    </w:p>
    <w:p>
      <w:pPr>
        <w:pStyle w:val="FirstParagraph"/>
      </w:pPr>
      <w:r>
        <w:t xml:space="preserve">Unity Catalog acts as the centralized governance layer.</w:t>
      </w:r>
    </w:p>
    <w:p>
      <w:pPr>
        <w:pStyle w:val="BodyText"/>
      </w:pPr>
      <w:r>
        <w:t xml:space="preserve">It provides:</w:t>
      </w:r>
    </w:p>
    <w:p>
      <w:pPr>
        <w:pStyle w:val="Compact"/>
        <w:numPr>
          <w:ilvl w:val="0"/>
          <w:numId w:val="1022"/>
        </w:numPr>
      </w:pPr>
      <w:r>
        <w:t xml:space="preserve">Centralized access control</w:t>
      </w:r>
    </w:p>
    <w:p>
      <w:pPr>
        <w:pStyle w:val="Compact"/>
        <w:numPr>
          <w:ilvl w:val="0"/>
          <w:numId w:val="1022"/>
        </w:numPr>
      </w:pPr>
      <w:r>
        <w:t xml:space="preserve">Data governance</w:t>
      </w:r>
    </w:p>
    <w:p>
      <w:pPr>
        <w:pStyle w:val="Compact"/>
        <w:numPr>
          <w:ilvl w:val="0"/>
          <w:numId w:val="1022"/>
        </w:numPr>
      </w:pPr>
      <w:r>
        <w:t xml:space="preserve">Lineage tracking</w:t>
      </w:r>
    </w:p>
    <w:p>
      <w:pPr>
        <w:pStyle w:val="Compact"/>
        <w:numPr>
          <w:ilvl w:val="0"/>
          <w:numId w:val="1022"/>
        </w:numPr>
      </w:pPr>
      <w:r>
        <w:t xml:space="preserve">Audit logging</w:t>
      </w:r>
    </w:p>
    <w:p>
      <w:pPr>
        <w:pStyle w:val="Compact"/>
        <w:numPr>
          <w:ilvl w:val="0"/>
          <w:numId w:val="1022"/>
        </w:numPr>
      </w:pPr>
      <w:r>
        <w:t xml:space="preserve">Fine-grained permissions</w:t>
      </w:r>
    </w:p>
    <w:p>
      <w:pPr>
        <w:pStyle w:val="Compact"/>
        <w:numPr>
          <w:ilvl w:val="0"/>
          <w:numId w:val="1022"/>
        </w:numPr>
      </w:pPr>
      <w:r>
        <w:t xml:space="preserve">Data discovery</w:t>
      </w:r>
    </w:p>
    <w:p>
      <w:r>
        <w:pict>
          <v:rect style="width:0;height:1.5pt" o:hralign="center" o:hrstd="t" o:hr="t"/>
        </w:pict>
      </w:r>
    </w:p>
    <w:bookmarkEnd w:id="65"/>
    <w:bookmarkStart w:id="66" w:name="governance-philosophy"/>
    <w:p>
      <w:pPr>
        <w:pStyle w:val="Heading2"/>
      </w:pPr>
      <w:r>
        <w:t xml:space="preserve">11.2 Governance Philosophy</w:t>
      </w:r>
    </w:p>
    <w:p>
      <w:pPr>
        <w:pStyle w:val="FirstParagraph"/>
      </w:pPr>
      <w:r>
        <w:t xml:space="preserve">The architecture follows:</w:t>
      </w:r>
    </w:p>
    <w:p>
      <w:pPr>
        <w:pStyle w:val="BodyText"/>
      </w:pPr>
      <w:r>
        <w:t xml:space="preserve">Data-centric governance</w:t>
      </w:r>
      <w:r>
        <w:t xml:space="preserve"> </w:t>
      </w:r>
      <w:r>
        <w:t xml:space="preserve">instead of</w:t>
      </w:r>
      <w:r>
        <w:t xml:space="preserve"> </w:t>
      </w:r>
      <w:r>
        <w:t xml:space="preserve">Workspace-centric governance.</w:t>
      </w:r>
    </w:p>
    <w:p>
      <w:pPr>
        <w:pStyle w:val="BodyText"/>
      </w:pPr>
      <w:r>
        <w:t xml:space="preserve">Meaning:</w:t>
      </w:r>
    </w:p>
    <w:p>
      <w:pPr>
        <w:pStyle w:val="BodyText"/>
      </w:pPr>
      <w:r>
        <w:t xml:space="preserve">Data security is controlled at:</w:t>
      </w:r>
    </w:p>
    <w:p>
      <w:pPr>
        <w:pStyle w:val="Compact"/>
        <w:numPr>
          <w:ilvl w:val="0"/>
          <w:numId w:val="1023"/>
        </w:numPr>
      </w:pPr>
      <w:r>
        <w:t xml:space="preserve">Catalog level</w:t>
      </w:r>
    </w:p>
    <w:p>
      <w:pPr>
        <w:pStyle w:val="Compact"/>
        <w:numPr>
          <w:ilvl w:val="0"/>
          <w:numId w:val="1023"/>
        </w:numPr>
      </w:pPr>
      <w:r>
        <w:t xml:space="preserve">Schema level</w:t>
      </w:r>
    </w:p>
    <w:p>
      <w:pPr>
        <w:pStyle w:val="Compact"/>
        <w:numPr>
          <w:ilvl w:val="0"/>
          <w:numId w:val="1023"/>
        </w:numPr>
      </w:pPr>
      <w:r>
        <w:t xml:space="preserve">Table level</w:t>
      </w:r>
    </w:p>
    <w:p>
      <w:pPr>
        <w:pStyle w:val="Compact"/>
        <w:numPr>
          <w:ilvl w:val="0"/>
          <w:numId w:val="1023"/>
        </w:numPr>
      </w:pPr>
      <w:r>
        <w:t xml:space="preserve">Row level</w:t>
      </w:r>
    </w:p>
    <w:p>
      <w:pPr>
        <w:pStyle w:val="Compact"/>
        <w:numPr>
          <w:ilvl w:val="0"/>
          <w:numId w:val="1023"/>
        </w:numPr>
      </w:pPr>
      <w:r>
        <w:t xml:space="preserve">Column level</w:t>
      </w:r>
    </w:p>
    <w:p>
      <w:r>
        <w:pict>
          <v:rect style="width:0;height:1.5pt" o:hralign="center" o:hrstd="t" o:hr="t"/>
        </w:pict>
      </w:r>
    </w:p>
    <w:bookmarkEnd w:id="66"/>
    <w:bookmarkStart w:id="67" w:name="recommended-catalog-structure"/>
    <w:p>
      <w:pPr>
        <w:pStyle w:val="Heading2"/>
      </w:pPr>
      <w:r>
        <w:t xml:space="preserve">11.3 Recommended Catalog Structure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finance_catalog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sales_catalog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manufacturing_catalog</w:t>
            </w:r>
          </w:p>
        </w:tc>
        <w:tc>
          <w:tcPr/>
          <w:p>
            <w:pPr>
              <w:pStyle w:val="Compact"/>
            </w:pPr>
            <w:r>
              <w:t xml:space="preserve">Manufacturing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shared_catalog</w:t>
            </w:r>
          </w:p>
        </w:tc>
        <w:tc>
          <w:tcPr/>
          <w:p>
            <w:pPr>
              <w:pStyle w:val="Compact"/>
            </w:pPr>
            <w:r>
              <w:t xml:space="preserve">Shared enterprise datasets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recommended-schema-structure"/>
    <w:p>
      <w:pPr>
        <w:pStyle w:val="Heading2"/>
      </w:pPr>
      <w:r>
        <w:t xml:space="preserve">11.4 Recommended Schema Structure</w:t>
      </w:r>
    </w:p>
    <w:p>
      <w:pPr>
        <w:pStyle w:val="FirstParagraph"/>
      </w:pPr>
      <w:r>
        <w:t xml:space="preserve">Within each catalog: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Raw ingestion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Cleansed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Business-ready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Analyst experimentation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4" w:name="recommended-permission-strategy"/>
    <w:p>
      <w:pPr>
        <w:pStyle w:val="Heading1"/>
      </w:pPr>
      <w:r>
        <w:t xml:space="preserve">12. Recommended Permission Strategy</w:t>
      </w:r>
    </w:p>
    <w:bookmarkStart w:id="70" w:name="catalog-level-permissions"/>
    <w:p>
      <w:pPr>
        <w:pStyle w:val="Heading2"/>
      </w:pPr>
      <w:r>
        <w:t xml:space="preserve">12.1 Catalog-Level Permissions</w:t>
      </w:r>
    </w:p>
    <w:p>
      <w:pPr>
        <w:pStyle w:val="FirstParagraph"/>
      </w:pPr>
      <w:r>
        <w:t xml:space="preserve">Example responsibilities:</w:t>
      </w:r>
    </w:p>
    <w:p>
      <w:pPr>
        <w:pStyle w:val="Compact"/>
        <w:numPr>
          <w:ilvl w:val="0"/>
          <w:numId w:val="1024"/>
        </w:numPr>
      </w:pPr>
      <w:r>
        <w:t xml:space="preserve">Finance users access finance catalog</w:t>
      </w:r>
    </w:p>
    <w:p>
      <w:pPr>
        <w:pStyle w:val="Compact"/>
        <w:numPr>
          <w:ilvl w:val="0"/>
          <w:numId w:val="1024"/>
        </w:numPr>
      </w:pPr>
      <w:r>
        <w:t xml:space="preserve">Sales users access sales catalog</w:t>
      </w:r>
    </w:p>
    <w:p>
      <w:r>
        <w:pict>
          <v:rect style="width:0;height:1.5pt" o:hralign="center" o:hrstd="t" o:hr="t"/>
        </w:pict>
      </w:r>
    </w:p>
    <w:bookmarkEnd w:id="70"/>
    <w:bookmarkStart w:id="71" w:name="schema-level-permissions"/>
    <w:p>
      <w:pPr>
        <w:pStyle w:val="Heading2"/>
      </w:pPr>
      <w:r>
        <w:t xml:space="preserve">12.2 Schema-Level Permissions</w:t>
      </w:r>
    </w:p>
    <w:p>
      <w:pPr>
        <w:pStyle w:val="FirstParagraph"/>
      </w:pPr>
      <w:r>
        <w:t xml:space="preserve">Controls access to:</w:t>
      </w:r>
    </w:p>
    <w:p>
      <w:pPr>
        <w:pStyle w:val="Compact"/>
        <w:numPr>
          <w:ilvl w:val="0"/>
          <w:numId w:val="1025"/>
        </w:numPr>
      </w:pPr>
      <w:r>
        <w:t xml:space="preserve">Raw data</w:t>
      </w:r>
    </w:p>
    <w:p>
      <w:pPr>
        <w:pStyle w:val="Compact"/>
        <w:numPr>
          <w:ilvl w:val="0"/>
          <w:numId w:val="1025"/>
        </w:numPr>
      </w:pPr>
      <w:r>
        <w:t xml:space="preserve">Curated layers</w:t>
      </w:r>
    </w:p>
    <w:p>
      <w:pPr>
        <w:pStyle w:val="Compact"/>
        <w:numPr>
          <w:ilvl w:val="0"/>
          <w:numId w:val="1025"/>
        </w:numPr>
      </w:pPr>
      <w:r>
        <w:t xml:space="preserve">Sandbox areas</w:t>
      </w:r>
    </w:p>
    <w:p>
      <w:r>
        <w:pict>
          <v:rect style="width:0;height:1.5pt" o:hralign="center" o:hrstd="t" o:hr="t"/>
        </w:pict>
      </w:r>
    </w:p>
    <w:bookmarkEnd w:id="71"/>
    <w:bookmarkStart w:id="72" w:name="table-level-permissions"/>
    <w:p>
      <w:pPr>
        <w:pStyle w:val="Heading2"/>
      </w:pPr>
      <w:r>
        <w:t xml:space="preserve">12.3 Table-Level Permissions</w:t>
      </w:r>
    </w:p>
    <w:p>
      <w:pPr>
        <w:pStyle w:val="FirstParagraph"/>
      </w:pPr>
      <w:r>
        <w:t xml:space="preserve">Provides fine-grained control for:</w:t>
      </w:r>
    </w:p>
    <w:p>
      <w:pPr>
        <w:pStyle w:val="Compact"/>
        <w:numPr>
          <w:ilvl w:val="0"/>
          <w:numId w:val="1026"/>
        </w:numPr>
      </w:pPr>
      <w:r>
        <w:t xml:space="preserve">Sensitive tables</w:t>
      </w:r>
    </w:p>
    <w:p>
      <w:pPr>
        <w:pStyle w:val="Compact"/>
        <w:numPr>
          <w:ilvl w:val="0"/>
          <w:numId w:val="1026"/>
        </w:numPr>
      </w:pPr>
      <w:r>
        <w:t xml:space="preserve">Restricted datasets</w:t>
      </w:r>
    </w:p>
    <w:p>
      <w:pPr>
        <w:pStyle w:val="Compact"/>
        <w:numPr>
          <w:ilvl w:val="0"/>
          <w:numId w:val="1026"/>
        </w:numPr>
      </w:pPr>
      <w:r>
        <w:t xml:space="preserve">Operational datasets</w:t>
      </w:r>
    </w:p>
    <w:p>
      <w:r>
        <w:pict>
          <v:rect style="width:0;height:1.5pt" o:hralign="center" o:hrstd="t" o:hr="t"/>
        </w:pict>
      </w:r>
    </w:p>
    <w:bookmarkEnd w:id="72"/>
    <w:bookmarkStart w:id="73" w:name="row-level-and-column-level-security"/>
    <w:p>
      <w:pPr>
        <w:pStyle w:val="Heading2"/>
      </w:pPr>
      <w:r>
        <w:t xml:space="preserve">12.4 Row-Level and Column-Level Security</w:t>
      </w:r>
    </w:p>
    <w:p>
      <w:pPr>
        <w:pStyle w:val="FirstParagraph"/>
      </w:pPr>
      <w:r>
        <w:t xml:space="preserve">Recommended for:</w:t>
      </w:r>
    </w:p>
    <w:p>
      <w:pPr>
        <w:pStyle w:val="Compact"/>
        <w:numPr>
          <w:ilvl w:val="0"/>
          <w:numId w:val="1027"/>
        </w:numPr>
      </w:pPr>
      <w:r>
        <w:t xml:space="preserve">Regional restrictions</w:t>
      </w:r>
    </w:p>
    <w:p>
      <w:pPr>
        <w:pStyle w:val="Compact"/>
        <w:numPr>
          <w:ilvl w:val="0"/>
          <w:numId w:val="1027"/>
        </w:numPr>
      </w:pPr>
      <w:r>
        <w:t xml:space="preserve">Sensitive financial data</w:t>
      </w:r>
    </w:p>
    <w:p>
      <w:pPr>
        <w:pStyle w:val="Compact"/>
        <w:numPr>
          <w:ilvl w:val="0"/>
          <w:numId w:val="1027"/>
        </w:numPr>
      </w:pPr>
      <w:r>
        <w:t xml:space="preserve">HR information</w:t>
      </w:r>
    </w:p>
    <w:p>
      <w:pPr>
        <w:pStyle w:val="Compact"/>
        <w:numPr>
          <w:ilvl w:val="0"/>
          <w:numId w:val="1027"/>
        </w:numPr>
      </w:pPr>
      <w:r>
        <w:t xml:space="preserve">Compliance requirements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8"/>
        </w:numPr>
      </w:pPr>
      <w:r>
        <w:t xml:space="preserve">APAC users only see APAC data</w:t>
      </w:r>
    </w:p>
    <w:p>
      <w:pPr>
        <w:pStyle w:val="Compact"/>
        <w:numPr>
          <w:ilvl w:val="0"/>
          <w:numId w:val="1028"/>
        </w:numPr>
      </w:pPr>
      <w:r>
        <w:t xml:space="preserve">Salary columns masked</w:t>
      </w:r>
    </w:p>
    <w:p>
      <w:pPr>
        <w:pStyle w:val="Compact"/>
        <w:numPr>
          <w:ilvl w:val="0"/>
          <w:numId w:val="1028"/>
        </w:numPr>
      </w:pPr>
      <w:r>
        <w:t xml:space="preserve">Vendor users access restricted datasets only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iam-role-based-storage-access"/>
    <w:p>
      <w:pPr>
        <w:pStyle w:val="Heading1"/>
      </w:pPr>
      <w:r>
        <w:t xml:space="preserve">13. IAM Role-Based Storage Access</w:t>
      </w:r>
    </w:p>
    <w:bookmarkStart w:id="75" w:name="recommended-security-model"/>
    <w:p>
      <w:pPr>
        <w:pStyle w:val="Heading2"/>
      </w:pPr>
      <w:r>
        <w:t xml:space="preserve">13.1 Recommended Security Model</w:t>
      </w:r>
    </w:p>
    <w:p>
      <w:pPr>
        <w:pStyle w:val="FirstParagraph"/>
      </w:pPr>
      <w:r>
        <w:t xml:space="preserve">The platform should use IAM role-based access.</w:t>
      </w:r>
    </w:p>
    <w:p>
      <w:pPr>
        <w:pStyle w:val="BodyText"/>
      </w:pPr>
      <w:r>
        <w:t xml:space="preserve">Databricks accesses S3 through:</w:t>
      </w:r>
    </w:p>
    <w:p>
      <w:pPr>
        <w:pStyle w:val="Compact"/>
        <w:numPr>
          <w:ilvl w:val="0"/>
          <w:numId w:val="1029"/>
        </w:numPr>
      </w:pPr>
      <w:r>
        <w:t xml:space="preserve">IAM roles</w:t>
      </w:r>
    </w:p>
    <w:p>
      <w:pPr>
        <w:pStyle w:val="Compact"/>
        <w:numPr>
          <w:ilvl w:val="0"/>
          <w:numId w:val="1029"/>
        </w:numPr>
      </w:pPr>
      <w:r>
        <w:t xml:space="preserve">Storage credentials</w:t>
      </w:r>
    </w:p>
    <w:p>
      <w:pPr>
        <w:pStyle w:val="Compact"/>
        <w:numPr>
          <w:ilvl w:val="0"/>
          <w:numId w:val="1029"/>
        </w:numPr>
      </w:pPr>
      <w:r>
        <w:t xml:space="preserve">External locations</w:t>
      </w:r>
    </w:p>
    <w:p>
      <w:r>
        <w:pict>
          <v:rect style="width:0;height:1.5pt" o:hralign="center" o:hrstd="t" o:hr="t"/>
        </w:pict>
      </w:r>
    </w:p>
    <w:bookmarkEnd w:id="75"/>
    <w:bookmarkStart w:id="76" w:name="important-security-principle"/>
    <w:p>
      <w:pPr>
        <w:pStyle w:val="Heading2"/>
      </w:pPr>
      <w:r>
        <w:t xml:space="preserve">13.2 Important Security Principle</w:t>
      </w:r>
    </w:p>
    <w:p>
      <w:pPr>
        <w:pStyle w:val="FirstParagraph"/>
      </w:pPr>
      <w:r>
        <w:t xml:space="preserve">No direct user access to S3.</w:t>
      </w:r>
    </w:p>
    <w:p>
      <w:pPr>
        <w:pStyle w:val="BodyText"/>
      </w:pPr>
      <w:r>
        <w:t xml:space="preserve">Users should access data only through:</w:t>
      </w:r>
    </w:p>
    <w:p>
      <w:pPr>
        <w:pStyle w:val="Compact"/>
        <w:numPr>
          <w:ilvl w:val="0"/>
          <w:numId w:val="1030"/>
        </w:numPr>
      </w:pPr>
      <w:r>
        <w:t xml:space="preserve">Databricks</w:t>
      </w:r>
    </w:p>
    <w:p>
      <w:pPr>
        <w:pStyle w:val="Compact"/>
        <w:numPr>
          <w:ilvl w:val="0"/>
          <w:numId w:val="1030"/>
        </w:numPr>
      </w:pPr>
      <w:r>
        <w:t xml:space="preserve">Unity Catalog</w:t>
      </w:r>
    </w:p>
    <w:p>
      <w:pPr>
        <w:pStyle w:val="Compact"/>
        <w:numPr>
          <w:ilvl w:val="0"/>
          <w:numId w:val="1030"/>
        </w:numPr>
      </w:pPr>
      <w:r>
        <w:t xml:space="preserve">Governed access controls</w:t>
      </w:r>
    </w:p>
    <w:p>
      <w:pPr>
        <w:pStyle w:val="FirstParagraph"/>
      </w:pPr>
      <w:r>
        <w:t xml:space="preserve">This improves:</w:t>
      </w:r>
    </w:p>
    <w:p>
      <w:pPr>
        <w:pStyle w:val="Compact"/>
        <w:numPr>
          <w:ilvl w:val="0"/>
          <w:numId w:val="1031"/>
        </w:numPr>
      </w:pPr>
      <w:r>
        <w:t xml:space="preserve">Security</w:t>
      </w:r>
    </w:p>
    <w:p>
      <w:pPr>
        <w:pStyle w:val="Compact"/>
        <w:numPr>
          <w:ilvl w:val="0"/>
          <w:numId w:val="1031"/>
        </w:numPr>
      </w:pPr>
      <w:r>
        <w:t xml:space="preserve">Governance</w:t>
      </w:r>
    </w:p>
    <w:p>
      <w:pPr>
        <w:pStyle w:val="Compact"/>
        <w:numPr>
          <w:ilvl w:val="0"/>
          <w:numId w:val="1031"/>
        </w:numPr>
      </w:pPr>
      <w:r>
        <w:t xml:space="preserve">Auditing</w:t>
      </w:r>
    </w:p>
    <w:p>
      <w:pPr>
        <w:pStyle w:val="Compact"/>
        <w:numPr>
          <w:ilvl w:val="0"/>
          <w:numId w:val="1031"/>
        </w:numPr>
      </w:pPr>
      <w:r>
        <w:t xml:space="preserve">Data protection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service-principals-automation"/>
    <w:p>
      <w:pPr>
        <w:pStyle w:val="Heading1"/>
      </w:pPr>
      <w:r>
        <w:t xml:space="preserve">14. Service Principals &amp; Automation</w:t>
      </w:r>
    </w:p>
    <w:bookmarkStart w:id="78" w:name="purpose"/>
    <w:p>
      <w:pPr>
        <w:pStyle w:val="Heading2"/>
      </w:pPr>
      <w:r>
        <w:t xml:space="preserve">14.1 Purpose</w:t>
      </w:r>
    </w:p>
    <w:p>
      <w:pPr>
        <w:pStyle w:val="FirstParagraph"/>
      </w:pPr>
      <w:r>
        <w:t xml:space="preserve">Service principals should be used for:</w:t>
      </w:r>
    </w:p>
    <w:p>
      <w:pPr>
        <w:pStyle w:val="Compact"/>
        <w:numPr>
          <w:ilvl w:val="0"/>
          <w:numId w:val="1032"/>
        </w:numPr>
      </w:pPr>
      <w:r>
        <w:t xml:space="preserve">Airflow orchestration</w:t>
      </w:r>
    </w:p>
    <w:p>
      <w:pPr>
        <w:pStyle w:val="Compact"/>
        <w:numPr>
          <w:ilvl w:val="0"/>
          <w:numId w:val="1032"/>
        </w:numPr>
      </w:pPr>
      <w:r>
        <w:t xml:space="preserve">CI/CD pipelines</w:t>
      </w:r>
    </w:p>
    <w:p>
      <w:pPr>
        <w:pStyle w:val="Compact"/>
        <w:numPr>
          <w:ilvl w:val="0"/>
          <w:numId w:val="1032"/>
        </w:numPr>
      </w:pPr>
      <w:r>
        <w:t xml:space="preserve">dbt execution</w:t>
      </w:r>
    </w:p>
    <w:p>
      <w:pPr>
        <w:pStyle w:val="Compact"/>
        <w:numPr>
          <w:ilvl w:val="0"/>
          <w:numId w:val="1032"/>
        </w:numPr>
      </w:pPr>
      <w:r>
        <w:t xml:space="preserve">Automated jobs</w:t>
      </w:r>
    </w:p>
    <w:p>
      <w:pPr>
        <w:pStyle w:val="Compact"/>
        <w:numPr>
          <w:ilvl w:val="0"/>
          <w:numId w:val="1032"/>
        </w:numPr>
      </w:pPr>
      <w:r>
        <w:t xml:space="preserve">APIs</w:t>
      </w:r>
    </w:p>
    <w:p>
      <w:r>
        <w:pict>
          <v:rect style="width:0;height:1.5pt" o:hralign="center" o:hrstd="t" o:hr="t"/>
        </w:pict>
      </w:r>
    </w:p>
    <w:bookmarkEnd w:id="78"/>
    <w:bookmarkStart w:id="79" w:name="best-practice"/>
    <w:p>
      <w:pPr>
        <w:pStyle w:val="Heading2"/>
      </w:pPr>
      <w:r>
        <w:t xml:space="preserve">14.2 Best Practice</w:t>
      </w:r>
    </w:p>
    <w:p>
      <w:pPr>
        <w:pStyle w:val="FirstParagraph"/>
      </w:pPr>
      <w:r>
        <w:t xml:space="preserve">Avoid using personal user accounts for automation.</w:t>
      </w:r>
    </w:p>
    <w:p>
      <w:pPr>
        <w:pStyle w:val="BodyText"/>
      </w:pPr>
      <w:r>
        <w:t xml:space="preserve">Use dedicated service identities.</w:t>
      </w:r>
    </w:p>
    <w:p>
      <w:pPr>
        <w:pStyle w:val="BodyText"/>
      </w:pPr>
      <w:r>
        <w:t xml:space="preserve">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 Principal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svc_airflow_prod</w:t>
            </w:r>
          </w:p>
        </w:tc>
        <w:tc>
          <w:tcPr/>
          <w:p>
            <w:pPr>
              <w:pStyle w:val="Compact"/>
            </w:pPr>
            <w:r>
              <w:t xml:space="preserve">Airflow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svc_dbt_prod</w:t>
            </w:r>
          </w:p>
        </w:tc>
        <w:tc>
          <w:tcPr/>
          <w:p>
            <w:pPr>
              <w:pStyle w:val="Compact"/>
            </w:pPr>
            <w:r>
              <w:t xml:space="preserve">dbt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svc_ci_cd</w:t>
            </w:r>
          </w:p>
        </w:tc>
        <w:tc>
          <w:tcPr/>
          <w:p>
            <w:pPr>
              <w:pStyle w:val="Compact"/>
            </w:pPr>
            <w:r>
              <w:t xml:space="preserve">Deployment pipelines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2" w:name="recommended-governance-best-practices"/>
    <w:p>
      <w:pPr>
        <w:pStyle w:val="Heading1"/>
      </w:pPr>
      <w:r>
        <w:t xml:space="preserve">15. Recommended Governance Best Practices</w:t>
      </w:r>
    </w:p>
    <w:bookmarkStart w:id="81" w:name="core-recommendations"/>
    <w:p>
      <w:pPr>
        <w:pStyle w:val="Heading2"/>
      </w:pPr>
      <w:r>
        <w:t xml:space="preserve">15.1 Core Recommendations</w:t>
      </w:r>
    </w:p>
    <w:p>
      <w:pPr>
        <w:pStyle w:val="FirstParagraph"/>
      </w:pPr>
      <w:r>
        <w:t xml:space="preserve">The recommended enterprise best practices are:</w:t>
      </w:r>
    </w:p>
    <w:p>
      <w:pPr>
        <w:pStyle w:val="Compact"/>
        <w:numPr>
          <w:ilvl w:val="0"/>
          <w:numId w:val="1033"/>
        </w:numPr>
      </w:pPr>
      <w:r>
        <w:t xml:space="preserve">Separate workspaces per environment</w:t>
      </w:r>
    </w:p>
    <w:p>
      <w:pPr>
        <w:pStyle w:val="Compact"/>
        <w:numPr>
          <w:ilvl w:val="0"/>
          <w:numId w:val="1033"/>
        </w:numPr>
      </w:pPr>
      <w:r>
        <w:t xml:space="preserve">Separate S3 buckets per environment</w:t>
      </w:r>
    </w:p>
    <w:p>
      <w:pPr>
        <w:pStyle w:val="Compact"/>
        <w:numPr>
          <w:ilvl w:val="0"/>
          <w:numId w:val="1033"/>
        </w:numPr>
      </w:pPr>
      <w:r>
        <w:t xml:space="preserve">Centralized Unity Catalog governance</w:t>
      </w:r>
    </w:p>
    <w:p>
      <w:pPr>
        <w:pStyle w:val="Compact"/>
        <w:numPr>
          <w:ilvl w:val="0"/>
          <w:numId w:val="1033"/>
        </w:numPr>
      </w:pPr>
      <w:r>
        <w:t xml:space="preserve">Google SSO + SCIM</w:t>
      </w:r>
    </w:p>
    <w:p>
      <w:pPr>
        <w:pStyle w:val="Compact"/>
        <w:numPr>
          <w:ilvl w:val="0"/>
          <w:numId w:val="1033"/>
        </w:numPr>
      </w:pPr>
      <w:r>
        <w:t xml:space="preserve">Group-based RBAC</w:t>
      </w:r>
    </w:p>
    <w:p>
      <w:pPr>
        <w:pStyle w:val="Compact"/>
        <w:numPr>
          <w:ilvl w:val="0"/>
          <w:numId w:val="1033"/>
        </w:numPr>
      </w:pPr>
      <w:r>
        <w:t xml:space="preserve">IAM role-based storage access</w:t>
      </w:r>
    </w:p>
    <w:p>
      <w:pPr>
        <w:pStyle w:val="Compact"/>
        <w:numPr>
          <w:ilvl w:val="0"/>
          <w:numId w:val="1033"/>
        </w:numPr>
      </w:pPr>
      <w:r>
        <w:t xml:space="preserve">No direct user access to S3</w:t>
      </w:r>
    </w:p>
    <w:p>
      <w:pPr>
        <w:pStyle w:val="Compact"/>
        <w:numPr>
          <w:ilvl w:val="0"/>
          <w:numId w:val="1033"/>
        </w:numPr>
      </w:pPr>
      <w:r>
        <w:t xml:space="preserve">Least privilege access model</w:t>
      </w:r>
    </w:p>
    <w:p>
      <w:pPr>
        <w:pStyle w:val="Compact"/>
        <w:numPr>
          <w:ilvl w:val="0"/>
          <w:numId w:val="1033"/>
        </w:numPr>
      </w:pPr>
      <w:r>
        <w:t xml:space="preserve">Automated provisioning</w:t>
      </w:r>
    </w:p>
    <w:p>
      <w:pPr>
        <w:pStyle w:val="Compact"/>
        <w:numPr>
          <w:ilvl w:val="0"/>
          <w:numId w:val="1033"/>
        </w:numPr>
      </w:pPr>
      <w:r>
        <w:t xml:space="preserve">Audit logging enabled</w:t>
      </w:r>
    </w:p>
    <w:p>
      <w:pPr>
        <w:pStyle w:val="Compact"/>
        <w:numPr>
          <w:ilvl w:val="0"/>
          <w:numId w:val="1033"/>
        </w:numPr>
      </w:pPr>
      <w:r>
        <w:t xml:space="preserve">Row/column security for sensitive data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recommended-final-architecture"/>
    <w:p>
      <w:pPr>
        <w:pStyle w:val="Heading1"/>
      </w:pPr>
      <w:r>
        <w:t xml:space="preserve">16. Recommended Final Architecture</w:t>
      </w:r>
    </w:p>
    <w:p>
      <w:pPr>
        <w:pStyle w:val="FirstParagraph"/>
      </w:pPr>
      <w:r>
        <w:t xml:space="preserve">The proposed enterprise architecture is:</w:t>
      </w:r>
    </w:p>
    <w:p>
      <w:pPr>
        <w:pStyle w:val="BodyText"/>
      </w:pPr>
      <w:r>
        <w:t xml:space="preserve">Google Workspace (Identity Provider)</w:t>
      </w:r>
      <w:r>
        <w:t xml:space="preserve"> </w:t>
      </w:r>
      <w:r>
        <w:t xml:space="preserve">↓</w:t>
      </w:r>
      <w:r>
        <w:t xml:space="preserve"> </w:t>
      </w:r>
      <w:r>
        <w:t xml:space="preserve">SAML Authentication + MFA</w:t>
      </w:r>
      <w:r>
        <w:t xml:space="preserve"> </w:t>
      </w:r>
      <w:r>
        <w:t xml:space="preserve">↓</w:t>
      </w:r>
      <w:r>
        <w:t xml:space="preserve"> </w:t>
      </w:r>
      <w:r>
        <w:t xml:space="preserve">SCIM Provisioning</w:t>
      </w:r>
      <w:r>
        <w:t xml:space="preserve"> </w:t>
      </w:r>
      <w:r>
        <w:t xml:space="preserve">↓</w:t>
      </w:r>
      <w:r>
        <w:t xml:space="preserve"> </w:t>
      </w:r>
      <w:r>
        <w:t xml:space="preserve">Google Groups / RBAC</w:t>
      </w:r>
      <w:r>
        <w:t xml:space="preserve"> </w:t>
      </w:r>
      <w:r>
        <w:t xml:space="preserve">↓</w:t>
      </w:r>
      <w:r>
        <w:t xml:space="preserve"> </w:t>
      </w:r>
      <w:r>
        <w:t xml:space="preserve">Databricks Workspaces (DEV / QA / PROD)</w:t>
      </w:r>
      <w:r>
        <w:t xml:space="preserve"> </w:t>
      </w:r>
      <w:r>
        <w:t xml:space="preserve">↓</w:t>
      </w:r>
      <w:r>
        <w:t xml:space="preserve"> </w:t>
      </w:r>
      <w:r>
        <w:t xml:space="preserve">Unity Catalog Governance</w:t>
      </w:r>
      <w:r>
        <w:t xml:space="preserve"> </w:t>
      </w:r>
      <w:r>
        <w:t xml:space="preserve">↓</w:t>
      </w:r>
      <w:r>
        <w:t xml:space="preserve"> </w:t>
      </w:r>
      <w:r>
        <w:t xml:space="preserve">Catalog / Schema / Table Permissions</w:t>
      </w:r>
      <w:r>
        <w:t xml:space="preserve"> </w:t>
      </w:r>
      <w:r>
        <w:t xml:space="preserve">↓</w:t>
      </w:r>
      <w:r>
        <w:t xml:space="preserve"> </w:t>
      </w:r>
      <w:r>
        <w:t xml:space="preserve">S3 Storage via IAM Roles</w:t>
      </w:r>
      <w:r>
        <w:t xml:space="preserve"> </w:t>
      </w:r>
      <w:r>
        <w:t xml:space="preserve">↓</w:t>
      </w:r>
      <w:r>
        <w:t xml:space="preserve"> </w:t>
      </w:r>
      <w:r>
        <w:t xml:space="preserve">Governed Data Products</w:t>
      </w:r>
    </w:p>
    <w:p>
      <w:r>
        <w:pict>
          <v:rect style="width:0;height:1.5pt" o:hralign="center" o:hrstd="t" o:hr="t"/>
        </w:pict>
      </w:r>
    </w:p>
    <w:bookmarkEnd w:id="83"/>
    <w:bookmarkStart w:id="89" w:name="benefits-of-the-proposed-architecture"/>
    <w:p>
      <w:pPr>
        <w:pStyle w:val="Heading1"/>
      </w:pPr>
      <w:r>
        <w:t xml:space="preserve">17. Benefits of the Proposed Architecture</w:t>
      </w:r>
    </w:p>
    <w:p>
      <w:pPr>
        <w:pStyle w:val="FirstParagraph"/>
      </w:pPr>
      <w:r>
        <w:t xml:space="preserve">The proposed architecture provides:</w:t>
      </w:r>
    </w:p>
    <w:bookmarkStart w:id="84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34"/>
        </w:numPr>
      </w:pPr>
      <w:r>
        <w:t xml:space="preserve">Enterprise-grade authentication</w:t>
      </w:r>
    </w:p>
    <w:p>
      <w:pPr>
        <w:pStyle w:val="Compact"/>
        <w:numPr>
          <w:ilvl w:val="0"/>
          <w:numId w:val="1034"/>
        </w:numPr>
      </w:pPr>
      <w:r>
        <w:t xml:space="preserve">MFA enforcement</w:t>
      </w:r>
    </w:p>
    <w:p>
      <w:pPr>
        <w:pStyle w:val="Compact"/>
        <w:numPr>
          <w:ilvl w:val="0"/>
          <w:numId w:val="1034"/>
        </w:numPr>
      </w:pPr>
      <w:r>
        <w:t xml:space="preserve">Strong environment isolation</w:t>
      </w:r>
    </w:p>
    <w:p>
      <w:pPr>
        <w:pStyle w:val="Compact"/>
        <w:numPr>
          <w:ilvl w:val="0"/>
          <w:numId w:val="1034"/>
        </w:numPr>
      </w:pPr>
      <w:r>
        <w:t xml:space="preserve">Secure storage access</w:t>
      </w:r>
    </w:p>
    <w:p>
      <w:r>
        <w:pict>
          <v:rect style="width:0;height:1.5pt" o:hralign="center" o:hrstd="t" o:hr="t"/>
        </w:pict>
      </w:r>
    </w:p>
    <w:bookmarkEnd w:id="84"/>
    <w:bookmarkStart w:id="85" w:name="governance"/>
    <w:p>
      <w:pPr>
        <w:pStyle w:val="Heading2"/>
      </w:pPr>
      <w:r>
        <w:t xml:space="preserve">Governance</w:t>
      </w:r>
    </w:p>
    <w:p>
      <w:pPr>
        <w:pStyle w:val="Compact"/>
        <w:numPr>
          <w:ilvl w:val="0"/>
          <w:numId w:val="1035"/>
        </w:numPr>
      </w:pPr>
      <w:r>
        <w:t xml:space="preserve">Centralized access management</w:t>
      </w:r>
    </w:p>
    <w:p>
      <w:pPr>
        <w:pStyle w:val="Compact"/>
        <w:numPr>
          <w:ilvl w:val="0"/>
          <w:numId w:val="1035"/>
        </w:numPr>
      </w:pPr>
      <w:r>
        <w:t xml:space="preserve">Fine-grained permissions</w:t>
      </w:r>
    </w:p>
    <w:p>
      <w:pPr>
        <w:pStyle w:val="Compact"/>
        <w:numPr>
          <w:ilvl w:val="0"/>
          <w:numId w:val="1035"/>
        </w:numPr>
      </w:pPr>
      <w:r>
        <w:t xml:space="preserve">Auditability</w:t>
      </w:r>
    </w:p>
    <w:p>
      <w:pPr>
        <w:pStyle w:val="Compact"/>
        <w:numPr>
          <w:ilvl w:val="0"/>
          <w:numId w:val="1035"/>
        </w:numPr>
      </w:pPr>
      <w:r>
        <w:t xml:space="preserve">Data lineage</w:t>
      </w:r>
    </w:p>
    <w:p>
      <w:r>
        <w:pict>
          <v:rect style="width:0;height:1.5pt" o:hralign="center" o:hrstd="t" o:hr="t"/>
        </w:pict>
      </w:r>
    </w:p>
    <w:bookmarkEnd w:id="85"/>
    <w:bookmarkStart w:id="86" w:name="scalability"/>
    <w:p>
      <w:pPr>
        <w:pStyle w:val="Heading2"/>
      </w:pPr>
      <w:r>
        <w:t xml:space="preserve">Scalability</w:t>
      </w:r>
    </w:p>
    <w:p>
      <w:pPr>
        <w:pStyle w:val="Compact"/>
        <w:numPr>
          <w:ilvl w:val="0"/>
          <w:numId w:val="1036"/>
        </w:numPr>
      </w:pPr>
      <w:r>
        <w:t xml:space="preserve">Supports global enterprise operations</w:t>
      </w:r>
    </w:p>
    <w:p>
      <w:pPr>
        <w:pStyle w:val="Compact"/>
        <w:numPr>
          <w:ilvl w:val="0"/>
          <w:numId w:val="1036"/>
        </w:numPr>
      </w:pPr>
      <w:r>
        <w:t xml:space="preserve">Supports multiple business domains</w:t>
      </w:r>
    </w:p>
    <w:p>
      <w:pPr>
        <w:pStyle w:val="Compact"/>
        <w:numPr>
          <w:ilvl w:val="0"/>
          <w:numId w:val="1036"/>
        </w:numPr>
      </w:pPr>
      <w:r>
        <w:t xml:space="preserve">Scalable onboarding/offboarding</w:t>
      </w:r>
    </w:p>
    <w:p>
      <w:r>
        <w:pict>
          <v:rect style="width:0;height:1.5pt" o:hralign="center" o:hrstd="t" o:hr="t"/>
        </w:pict>
      </w:r>
    </w:p>
    <w:bookmarkEnd w:id="86"/>
    <w:bookmarkStart w:id="87" w:name="operational-excellence"/>
    <w:p>
      <w:pPr>
        <w:pStyle w:val="Heading2"/>
      </w:pPr>
      <w:r>
        <w:t xml:space="preserve">Operational Excellence</w:t>
      </w:r>
    </w:p>
    <w:p>
      <w:pPr>
        <w:pStyle w:val="Compact"/>
        <w:numPr>
          <w:ilvl w:val="0"/>
          <w:numId w:val="1037"/>
        </w:numPr>
      </w:pPr>
      <w:r>
        <w:t xml:space="preserve">Automated provisioning</w:t>
      </w:r>
    </w:p>
    <w:p>
      <w:pPr>
        <w:pStyle w:val="Compact"/>
        <w:numPr>
          <w:ilvl w:val="0"/>
          <w:numId w:val="1037"/>
        </w:numPr>
      </w:pPr>
      <w:r>
        <w:t xml:space="preserve">Reduced manual administration</w:t>
      </w:r>
    </w:p>
    <w:p>
      <w:pPr>
        <w:pStyle w:val="Compact"/>
        <w:numPr>
          <w:ilvl w:val="0"/>
          <w:numId w:val="1037"/>
        </w:numPr>
      </w:pPr>
      <w:r>
        <w:t xml:space="preserve">Easier CI/CD integration</w:t>
      </w:r>
    </w:p>
    <w:p>
      <w:pPr>
        <w:pStyle w:val="Compact"/>
        <w:numPr>
          <w:ilvl w:val="0"/>
          <w:numId w:val="1037"/>
        </w:numPr>
      </w:pPr>
      <w:r>
        <w:t xml:space="preserve">Improved maintainability</w:t>
      </w:r>
    </w:p>
    <w:p>
      <w:r>
        <w:pict>
          <v:rect style="width:0;height:1.5pt" o:hralign="center" o:hrstd="t" o:hr="t"/>
        </w:pict>
      </w:r>
    </w:p>
    <w:bookmarkEnd w:id="87"/>
    <w:bookmarkStart w:id="88" w:name="compliance"/>
    <w:p>
      <w:pPr>
        <w:pStyle w:val="Heading2"/>
      </w:pPr>
      <w:r>
        <w:t xml:space="preserve">Compliance</w:t>
      </w:r>
    </w:p>
    <w:p>
      <w:pPr>
        <w:pStyle w:val="FirstParagraph"/>
      </w:pPr>
      <w:r>
        <w:t xml:space="preserve">Supports enterprise compliance requirements including:</w:t>
      </w:r>
    </w:p>
    <w:p>
      <w:pPr>
        <w:pStyle w:val="Compact"/>
        <w:numPr>
          <w:ilvl w:val="0"/>
          <w:numId w:val="1038"/>
        </w:numPr>
      </w:pPr>
      <w:r>
        <w:t xml:space="preserve">GDPR</w:t>
      </w:r>
    </w:p>
    <w:p>
      <w:pPr>
        <w:pStyle w:val="Compact"/>
        <w:numPr>
          <w:ilvl w:val="0"/>
          <w:numId w:val="1038"/>
        </w:numPr>
      </w:pPr>
      <w:r>
        <w:t xml:space="preserve">SOX</w:t>
      </w:r>
    </w:p>
    <w:p>
      <w:pPr>
        <w:pStyle w:val="Compact"/>
        <w:numPr>
          <w:ilvl w:val="0"/>
          <w:numId w:val="1038"/>
        </w:numPr>
      </w:pPr>
      <w:r>
        <w:t xml:space="preserve">Internal audit requirements</w:t>
      </w:r>
    </w:p>
    <w:p>
      <w:pPr>
        <w:pStyle w:val="Compact"/>
        <w:numPr>
          <w:ilvl w:val="0"/>
          <w:numId w:val="1038"/>
        </w:numPr>
      </w:pPr>
      <w:r>
        <w:t xml:space="preserve">Security governance standards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final-recommendation"/>
    <w:p>
      <w:pPr>
        <w:pStyle w:val="Heading1"/>
      </w:pPr>
      <w:r>
        <w:t xml:space="preserve">18. Final Recommendation</w:t>
      </w:r>
    </w:p>
    <w:p>
      <w:pPr>
        <w:pStyle w:val="FirstParagraph"/>
      </w:pPr>
      <w:r>
        <w:t xml:space="preserve">The proposed architecture represents a modern enterprise-grade Databricks implementation aligned with industry best practices.</w:t>
      </w:r>
    </w:p>
    <w:p>
      <w:pPr>
        <w:pStyle w:val="BodyText"/>
      </w:pPr>
      <w:r>
        <w:t xml:space="preserve">The architecture is designed to provide:</w:t>
      </w:r>
    </w:p>
    <w:p>
      <w:pPr>
        <w:pStyle w:val="Compact"/>
        <w:numPr>
          <w:ilvl w:val="0"/>
          <w:numId w:val="1039"/>
        </w:numPr>
      </w:pPr>
      <w:r>
        <w:t xml:space="preserve">Secure enterprise authentication</w:t>
      </w:r>
    </w:p>
    <w:p>
      <w:pPr>
        <w:pStyle w:val="Compact"/>
        <w:numPr>
          <w:ilvl w:val="0"/>
          <w:numId w:val="1039"/>
        </w:numPr>
      </w:pPr>
      <w:r>
        <w:t xml:space="preserve">Scalable governance</w:t>
      </w:r>
    </w:p>
    <w:p>
      <w:pPr>
        <w:pStyle w:val="Compact"/>
        <w:numPr>
          <w:ilvl w:val="0"/>
          <w:numId w:val="1039"/>
        </w:numPr>
      </w:pPr>
      <w:r>
        <w:t xml:space="preserve">Strong environment isolation</w:t>
      </w:r>
    </w:p>
    <w:p>
      <w:pPr>
        <w:pStyle w:val="Compact"/>
        <w:numPr>
          <w:ilvl w:val="0"/>
          <w:numId w:val="1039"/>
        </w:numPr>
      </w:pPr>
      <w:r>
        <w:t xml:space="preserve">Centralized data governance</w:t>
      </w:r>
    </w:p>
    <w:p>
      <w:pPr>
        <w:pStyle w:val="Compact"/>
        <w:numPr>
          <w:ilvl w:val="0"/>
          <w:numId w:val="1039"/>
        </w:numPr>
      </w:pPr>
      <w:r>
        <w:t xml:space="preserve">Operational scalability</w:t>
      </w:r>
    </w:p>
    <w:p>
      <w:pPr>
        <w:pStyle w:val="Compact"/>
        <w:numPr>
          <w:ilvl w:val="0"/>
          <w:numId w:val="1039"/>
        </w:numPr>
      </w:pPr>
      <w:r>
        <w:t xml:space="preserve">Cloud-native security controls</w:t>
      </w:r>
    </w:p>
    <w:p>
      <w:pPr>
        <w:pStyle w:val="Compact"/>
        <w:numPr>
          <w:ilvl w:val="0"/>
          <w:numId w:val="1039"/>
        </w:numPr>
      </w:pPr>
      <w:r>
        <w:t xml:space="preserve">Enterprise-ready data platform capabilities</w:t>
      </w:r>
    </w:p>
    <w:p>
      <w:pPr>
        <w:pStyle w:val="FirstParagraph"/>
      </w:pPr>
      <w:r>
        <w:t xml:space="preserve">This approach is well suited for a global enterprise data platform implementation for Holcim.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2026-05-25T06:53:21Z</dcterms:created>
  <dcterms:modified xsi:type="dcterms:W3CDTF">2026-05-25T06:53:21Z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