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120" w:line="480" w:lineRule="auto"/>
      </w:pPr>
      <w:r>
        <w:rPr>
          <w:b/>
          <w:sz w:val="32"/>
          <w:szCs w:val="32"/>
        </w:rPr>
        <w:t xml:space="preserve">AMITY UNIVERSITY ONLINE, NOIDA, UTTAR PRADESH</w:t>
      </w:r>
    </w:p>
    <w:p>
      <w:pPr>
        <w:jc w:val="center"/>
        <w:spacing w:after="120" w:line="480" w:lineRule="auto"/>
      </w:pPr>
      <w:r>
        <w:rPr>
          <w:b/>
          <w:sz w:val="40"/>
          <w:szCs w:val="40"/>
        </w:rPr>
        <w:t xml:space="preserve">PROJECT REPORT</w:t>
      </w:r>
    </w:p>
    <w:p>
      <w:pPr>
        <w:jc w:val="center"/>
        <w:spacing w:after="120" w:line="480" w:lineRule="auto"/>
      </w:pPr>
      <w:r>
        <w:rPr>
          <w:b/>
          <w:sz w:val="36"/>
          <w:szCs w:val="36"/>
        </w:rPr>
        <w:t xml:space="preserve">Sonar signal classification: distinguishing mines from rocks</w:t>
      </w:r>
    </w:p>
    <w:p>
      <w:pPr>
        <w:jc w:val="center"/>
        <w:spacing w:after="120" w:line="480" w:lineRule="auto"/>
      </w:pPr>
      <w:r>
        <w:rPr>
          <w:i/>
          <w:sz w:val="28"/>
          <w:szCs w:val="28"/>
        </w:rPr>
        <w:t xml:space="preserve">A machine learning study using the Connectionist Bench Sonar dataset</w:t>
      </w:r>
    </w:p>
    <w:p>
      <w:pPr>
        <w:spacing w:after="120" w:line="480" w:lineRule="auto"/>
      </w:pPr>
      <w:r>
        <w:t xml:space="preserve"/>
      </w:r>
    </w:p>
    <w:p>
      <w:pPr>
        <w:jc w:val="center"/>
        <w:spacing w:after="120" w:line="480" w:lineRule="auto"/>
      </w:pPr>
      <w:r>
        <w:t xml:space="preserve">Submitted in partial fulfilment of the requirements for the award of</w:t>
      </w:r>
    </w:p>
    <w:p>
      <w:pPr>
        <w:jc w:val="center"/>
        <w:spacing w:after="120" w:line="480" w:lineRule="auto"/>
      </w:pPr>
      <w:r>
        <w:rPr>
          <w:b/>
        </w:rPr>
        <w:t xml:space="preserve">Bachelor of [Programme / Stream]</w:t>
      </w:r>
    </w:p>
    <w:p>
      <w:pPr>
        <w:spacing w:after="120" w:line="480" w:lineRule="auto"/>
      </w:pPr>
      <w:r>
        <w:t xml:space="preserve"/>
      </w:r>
    </w:p>
    <w:p>
      <w:pPr>
        <w:jc w:val="center"/>
        <w:spacing w:after="120" w:line="480" w:lineRule="auto"/>
      </w:pPr>
      <w:r>
        <w:rPr>
          <w:b/>
        </w:rPr>
        <w:t xml:space="preserve">Guide details</w:t>
      </w:r>
    </w:p>
    <w:p>
      <w:pPr>
        <w:jc w:val="center"/>
        <w:spacing w:after="120" w:line="480" w:lineRule="auto"/>
      </w:pPr>
      <w:r>
        <w:t xml:space="preserve">Name: [Guide’s full name]</w:t>
        <w:br/>
        <w:t>Designation: [Designation / Department]</w:t>
      </w:r>
    </w:p>
    <w:p>
      <w:pPr>
        <w:spacing w:after="120" w:line="480" w:lineRule="auto"/>
      </w:pPr>
      <w:r>
        <w:t xml:space="preserve"/>
      </w:r>
    </w:p>
    <w:p>
      <w:pPr>
        <w:jc w:val="center"/>
        <w:spacing w:after="120" w:line="480" w:lineRule="auto"/>
      </w:pPr>
      <w:r>
        <w:rPr>
          <w:b/>
        </w:rPr>
        <w:t xml:space="preserve">Submitted by</w:t>
      </w:r>
    </w:p>
    <w:p>
      <w:pPr>
        <w:jc w:val="center"/>
        <w:spacing w:after="120" w:line="480" w:lineRule="auto"/>
      </w:pPr>
      <w:r>
        <w:t xml:space="preserve">Student name: [Your full name]</w:t>
        <w:br/>
        <w:t>Enrolment number: [Enrolment number]</w:t>
        <w:br/>
        <w:t>Academic year: [Academic year]</w:t>
      </w:r>
    </w:p>
    <w:p>
      <w:pPr>
        <w:spacing w:after="120" w:line="480" w:lineRule="auto"/>
      </w:pPr>
      <w:r>
        <w:t xml:space="preserve"/>
      </w:r>
    </w:p>
    <w:p>
      <w:pPr>
        <w:jc w:val="center"/>
        <w:spacing w:after="120" w:line="480" w:lineRule="auto"/>
      </w:pPr>
      <w:r>
        <w:t xml:space="preserve">Discipline: Information Technology</w:t>
      </w:r>
    </w:p>
    <w:p>
      <w:r>
        <w:br w:type="page"/>
      </w:r>
    </w:p>
    <w:p>
      <w:pPr>
        <w:pStyle w:val="Heading1"/>
        <w:spacing w:after="120" w:line="480" w:lineRule="auto"/>
      </w:pPr>
      <w:r>
        <w:t xml:space="preserve">ABSTRACT</w:t>
      </w:r>
    </w:p>
    <w:p>
      <w:pPr>
        <w:spacing w:after="120" w:line="480" w:lineRule="auto"/>
      </w:pPr>
      <w:r>
        <w:t xml:space="preserve">This project studies supervised machine learning methods for classifying sonar returns as either a metal cylinder (mine) or a rock. The task is a small, well-known benchmark in pattern recognition and is useful for demonstrating an end-to-end classification workflow. The supplied dataset contains 208 observations: 111 mine examples and 97 rock examples. Each observation contains 60 real-valued measurements representing energy integrated over frequency bands, followed by a class label. The objective is to build a reproducible classifier, compare candidate algorithms fairly, and assess how well the selected model generalizes to observations excluded from model fitting.</w:t>
      </w:r>
    </w:p>
    <w:p>
      <w:pPr>
        <w:spacing w:after="120" w:line="480" w:lineRule="auto"/>
      </w:pPr>
      <w:r>
        <w:t xml:space="preserve">The analysis begins with validation of the input structure, class labels, missingness, duplicate records, and class balance. Exploratory plots summarize the class counts, mean feature profiles, and correlations among frequency-band measurements. A stratified 80:20 holdout split reserves 42 observations for final evaluation. Model selection is conducted only on the remaining training portion. Five-fold stratified cross-validation is used to compare a majority-class baseline, a support vector classifier (SVC), a random forest, and an extremely randomized trees classifier. The SVC is embedded in a pipeline that standardizes features within each training fold, preventing information from validation folds from influencing scaling. Its kernel and regularization parameters are selected by grid search using ROC AUC as the primary criterion. Tree models are assessed with the same folds and complementary measures: average precision and balanced accuracy.</w:t>
      </w:r>
    </w:p>
    <w:p>
      <w:pPr>
        <w:spacing w:after="120" w:line="480" w:lineRule="auto"/>
      </w:pPr>
      <w:r>
        <w:t xml:space="preserve">In this run, Extra Trees achieved the highest mean cross-validated ROC AUC (0.932), narrowly exceeding the random forest (0.911) and tuned SVC (0.911). The selected Extra Trees model was fitted on the full training subset and evaluated once on the untouched 42-case test subset. It correctly classified 38 observations, yielding 90.5% accuracy and 90.2% balanced accuracy. Mine precision was 87.5% and mine recall was 95.5%; the confusion matrix contained 17 correctly identified rocks, 21 correctly identified mines, three rocks predicted as mines, and one mine predicted as a rock. Test ROC AUC was 0.974 and average precision was 0.977. These figures describe this particular split and should not be interpreted as precise population estimates.</w:t>
      </w:r>
    </w:p>
    <w:p>
      <w:pPr>
        <w:spacing w:after="120" w:line="480" w:lineRule="auto"/>
      </w:pPr>
      <w:r>
        <w:t xml:space="preserve">The choice of metrics reflects that classification performance has several dimensions. Accuracy gives the fraction of all predictions that were correct, whereas balanced accuracy gives equal weight to sensitivity in the two classes. Mine recall describes the proportion of mine examples detected; mine precision describes the proportion of mine predictions that were actually mines. ROC AUC and average precision evaluate the ranking induced by the model over multiple thresholds. No single metric captures the operational cost of the two error types. In particular, the reported threshold behavior should be treated as descriptive because selecting a threshold after inspecting test outcomes would overfit the test set.</w:t>
      </w:r>
    </w:p>
    <w:p>
      <w:pPr>
        <w:spacing w:after="120" w:line="480" w:lineRule="auto"/>
      </w:pPr>
      <w:r>
        <w:t xml:space="preserve">The study contributes a documented baseline analysis rather than a claim of a deployable detection system. Its value lies in showing how to organize a small-sample experiment and how to report its constraints alongside positive results. The notebook contains the full code path, including input validation, visual exploration, cross-validation, model comparison, final evaluation, and prediction helper. To reproduce the reported figures, use the supplied CSV and the fixed random seeds listed in the appendix. Minor differences may occur with software changes, but the broad result should be checked by rerunning the stated procedure rather than assumed.</w:t>
      </w:r>
    </w:p>
    <w:p>
      <w:pPr>
        <w:spacing w:after="120" w:line="480" w:lineRule="auto"/>
      </w:pPr>
      <w:r>
        <w:t xml:space="preserve">Permutation importance on the held-out set was used as a model-agnostic interpretation technique. Bands 12, 37, 27, 16, and 31 had the largest measured AUC decreases when permuted, although the absolute changes were small and related frequency bands may share predictive information. The report concludes that the dataset supports a useful demonstration of classification, validation, and interpretation methods, but is too small and narrowly sampled to justify operational deployment. Future work should test independent data, quantify uncertainty across repeated splits, document the costs of false alarms and missed detections, calibrate probabilities if they are used as probabilities, and assess robustness across collection conditions.</w:t>
      </w:r>
    </w:p>
    <w:p>
      <w:pPr>
        <w:spacing w:after="120" w:line="480" w:lineRule="auto"/>
      </w:pPr>
      <w:r>
        <w:t xml:space="preserve">Keywords: sonar; mine detection; rock classification; supervised learning; support vector machine; Extra Trees; cross-validation; ROC AUC; permutation importance.</w:t>
      </w:r>
    </w:p>
    <w:p>
      <w:r>
        <w:br w:type="page"/>
      </w:r>
    </w:p>
    <w:p>
      <w:pPr>
        <w:pStyle w:val="Heading1"/>
        <w:spacing w:after="120" w:line="480" w:lineRule="auto"/>
      </w:pPr>
      <w:r>
        <w:t xml:space="preserve">DECLARATION</w:t>
      </w:r>
    </w:p>
    <w:p>
      <w:pPr>
        <w:spacing w:after="120" w:line="480" w:lineRule="auto"/>
      </w:pPr>
      <w:r>
        <w:t xml:space="preserve">I, [Your full name], a student pursuing [Course and semester] at Amity University Online, hereby declare that the project work entitled “Sonar signal classification: distinguishing mines from rocks” has been prepared by me during the academic year [Academic year] under the guidance of [Guide’s full name], [Department / Institution]. I declare that this work is original to the best of my knowledge and has not been submitted to any other university or institution for the award of a degree. All sources used have been acknowledged in the references.</w:t>
      </w:r>
    </w:p>
    <w:p>
      <w:pPr>
        <w:jc w:val="left"/>
        <w:spacing w:after="120" w:line="480" w:lineRule="auto"/>
      </w:pPr>
      <w:r>
        <w:t xml:space="preserve"/>
        <w:br/>
        <w:t/>
        <w:br/>
        <w:t>Signature of student: __________________________</w:t>
        <w:br/>
        <w:t>Name: [Your full name]</w:t>
        <w:br/>
        <w:t>Date: __________________</w:t>
      </w:r>
    </w:p>
    <w:p>
      <w:r>
        <w:br w:type="page"/>
      </w:r>
    </w:p>
    <w:p>
      <w:pPr>
        <w:pStyle w:val="Heading1"/>
        <w:spacing w:after="120" w:line="480" w:lineRule="auto"/>
      </w:pPr>
      <w:r>
        <w:t xml:space="preserve">CERTIFICATE</w:t>
      </w:r>
    </w:p>
    <w:p>
      <w:pPr>
        <w:spacing w:after="120" w:line="480" w:lineRule="auto"/>
      </w:pPr>
      <w:r>
        <w:t xml:space="preserve">This is to certify that [Student name] of Amity University Online has carried out the project work presented in this report entitled “Sonar signal classification: distinguishing mines from rocks” for the award of [Degree and specialization] under my guidance. The report presents work undertaken by the student and, to the best of my knowledge, has not formed the basis for the award of any other degree to the candidate or any other person.</w:t>
      </w:r>
    </w:p>
    <w:p>
      <w:pPr>
        <w:jc w:val="left"/>
        <w:spacing w:after="120" w:line="480" w:lineRule="auto"/>
      </w:pPr>
      <w:r>
        <w:t xml:space="preserve"/>
        <w:br/>
        <w:t/>
        <w:br/>
        <w:t>Signature: __________________________</w:t>
        <w:br/>
        <w:t>Name of guide: [Guide’s full name]</w:t>
        <w:br/>
        <w:t>Designation: [Designation]</w:t>
        <w:br/>
        <w:t>Date: __________________</w:t>
      </w:r>
    </w:p>
    <w:p>
      <w:r>
        <w:br w:type="page"/>
      </w:r>
    </w:p>
    <w:p>
      <w:pPr>
        <w:pStyle w:val="Heading1"/>
        <w:spacing w:after="120" w:line="480" w:lineRule="auto"/>
      </w:pPr>
      <w:r>
        <w:t xml:space="preserve">TABLE OF CONTENTS</w:t>
      </w:r>
    </w:p>
    <w:p>
      <w:pPr>
        <w:spacing w:after="120" w:line="480" w:lineRule="auto"/>
      </w:pPr>
      <w:r>
        <w:t xml:space="preserve">Abstract</w:t>
      </w:r>
    </w:p>
    <w:p>
      <w:pPr>
        <w:spacing w:after="120" w:line="480" w:lineRule="auto"/>
      </w:pPr>
      <w:r>
        <w:t xml:space="preserve">Declaration</w:t>
      </w:r>
    </w:p>
    <w:p>
      <w:pPr>
        <w:spacing w:after="120" w:line="480" w:lineRule="auto"/>
      </w:pPr>
      <w:r>
        <w:t xml:space="preserve">Certificate</w:t>
      </w:r>
    </w:p>
    <w:p>
      <w:pPr>
        <w:spacing w:after="120" w:line="480" w:lineRule="auto"/>
      </w:pPr>
      <w:r>
        <w:t xml:space="preserve">Table of contents</w:t>
      </w:r>
    </w:p>
    <w:p>
      <w:pPr>
        <w:spacing w:after="120" w:line="480" w:lineRule="auto"/>
      </w:pPr>
      <w:r>
        <w:t xml:space="preserve">List of tables</w:t>
      </w:r>
    </w:p>
    <w:p>
      <w:pPr>
        <w:spacing w:after="120" w:line="480" w:lineRule="auto"/>
      </w:pPr>
      <w:r>
        <w:t xml:space="preserve">List of figures</w:t>
      </w:r>
    </w:p>
    <w:p>
      <w:pPr>
        <w:spacing w:after="120" w:line="480" w:lineRule="auto"/>
      </w:pPr>
      <w:r>
        <w:t xml:space="preserve">Chapter 1. Introduction to the topic</w:t>
      </w:r>
    </w:p>
    <w:p>
      <w:pPr>
        <w:spacing w:after="120" w:line="480" w:lineRule="auto"/>
      </w:pPr>
      <w:r>
        <w:t xml:space="preserve">Chapter 2. Review of literature</w:t>
      </w:r>
    </w:p>
    <w:p>
      <w:pPr>
        <w:spacing w:after="120" w:line="480" w:lineRule="auto"/>
      </w:pPr>
      <w:r>
        <w:t xml:space="preserve">Chapter 3. Research objectives and methodology</w:t>
      </w:r>
    </w:p>
    <w:p>
      <w:pPr>
        <w:spacing w:after="120" w:line="480" w:lineRule="auto"/>
      </w:pPr>
      <w:r>
        <w:t xml:space="preserve">Chapter 4. Data analysis, results, and interpretation</w:t>
      </w:r>
    </w:p>
    <w:p>
      <w:pPr>
        <w:spacing w:after="120" w:line="480" w:lineRule="auto"/>
      </w:pPr>
      <w:r>
        <w:t xml:space="preserve">Chapter 5. Findings and conclusion</w:t>
      </w:r>
    </w:p>
    <w:p>
      <w:pPr>
        <w:spacing w:after="120" w:line="480" w:lineRule="auto"/>
      </w:pPr>
      <w:r>
        <w:t xml:space="preserve">Chapter 6. Recommendations and limitations of the study</w:t>
      </w:r>
    </w:p>
    <w:p>
      <w:pPr>
        <w:spacing w:after="120" w:line="480" w:lineRule="auto"/>
      </w:pPr>
      <w:r>
        <w:t xml:space="preserve">Bibliography / References</w:t>
      </w:r>
    </w:p>
    <w:p>
      <w:pPr>
        <w:spacing w:after="120" w:line="480" w:lineRule="auto"/>
      </w:pPr>
      <w:r>
        <w:t xml:space="preserve">Appendix A. Reproducibility details</w:t>
      </w:r>
    </w:p>
    <w:p>
      <w:pPr>
        <w:spacing w:after="120" w:line="480" w:lineRule="auto"/>
      </w:pPr>
      <w:r>
        <w:rPr>
          <w:i/>
        </w:rPr>
        <w:t xml:space="preserve">Page numbers can be added after final editing in a word processor. Use its automatic table-of-contents feature if headings or pagination change.</w:t>
      </w:r>
    </w:p>
    <w:p>
      <w:pPr>
        <w:pStyle w:val="Heading2"/>
        <w:spacing w:after="120" w:line="480" w:lineRule="auto"/>
      </w:pPr>
      <w:r>
        <w:t xml:space="preserve">LIST OF TABLES</w:t>
      </w:r>
    </w:p>
    <w:p>
      <w:pPr>
        <w:spacing w:after="120" w:line="480" w:lineRule="auto"/>
      </w:pPr>
      <w:r>
        <w:t xml:space="preserve">Table 1. Dataset profile</w:t>
      </w:r>
    </w:p>
    <w:p>
      <w:pPr>
        <w:spacing w:after="120" w:line="480" w:lineRule="auto"/>
      </w:pPr>
      <w:r>
        <w:t xml:space="preserve">Table 2. Cross-validation model comparison</w:t>
      </w:r>
    </w:p>
    <w:p>
      <w:pPr>
        <w:spacing w:after="120" w:line="480" w:lineRule="auto"/>
      </w:pPr>
      <w:r>
        <w:t xml:space="preserve">Table 3. Held-out test-set performance</w:t>
      </w:r>
    </w:p>
    <w:p>
      <w:pPr>
        <w:spacing w:after="120" w:line="480" w:lineRule="auto"/>
      </w:pPr>
      <w:r>
        <w:t xml:space="preserve">Table 4. Confusion matrix</w:t>
      </w:r>
    </w:p>
    <w:p>
      <w:pPr>
        <w:pStyle w:val="Heading2"/>
        <w:spacing w:after="120" w:line="480" w:lineRule="auto"/>
      </w:pPr>
      <w:r>
        <w:t xml:space="preserve">LIST OF FIGURES</w:t>
      </w:r>
    </w:p>
    <w:p>
      <w:pPr>
        <w:spacing w:after="120" w:line="480" w:lineRule="auto"/>
      </w:pPr>
      <w:r>
        <w:t xml:space="preserve">Figure 1. Class distribution and mean signal by band</w:t>
      </w:r>
    </w:p>
    <w:p>
      <w:pPr>
        <w:spacing w:after="120" w:line="480" w:lineRule="auto"/>
      </w:pPr>
      <w:r>
        <w:t xml:space="preserve">Figure 2. Correlation matrix of signal bands</w:t>
      </w:r>
    </w:p>
    <w:p>
      <w:pPr>
        <w:spacing w:after="120" w:line="480" w:lineRule="auto"/>
      </w:pPr>
      <w:r>
        <w:t xml:space="preserve">Figure 3. Confusion matrix, ROC curve, and precision–recall curve</w:t>
      </w:r>
    </w:p>
    <w:p>
      <w:pPr>
        <w:spacing w:after="120" w:line="480" w:lineRule="auto"/>
      </w:pPr>
      <w:r>
        <w:t xml:space="preserve">Figure 4. Precision–recall threshold trade-off</w:t>
      </w:r>
    </w:p>
    <w:p>
      <w:pPr>
        <w:spacing w:after="120" w:line="480" w:lineRule="auto"/>
      </w:pPr>
      <w:r>
        <w:t xml:space="preserve">Figure 5. Top permutation feature importances</w:t>
      </w:r>
    </w:p>
    <w:p>
      <w:r>
        <w:br w:type="page"/>
      </w:r>
    </w:p>
    <w:p>
      <w:pPr>
        <w:pStyle w:val="Heading1"/>
        <w:spacing w:after="120" w:line="480" w:lineRule="auto"/>
      </w:pPr>
      <w:r>
        <w:t xml:space="preserve">CHAPTER 1. INTRODUCTION TO THE TOPIC</w:t>
      </w:r>
    </w:p>
    <w:p>
      <w:pPr>
        <w:pStyle w:val="Heading2"/>
        <w:spacing w:after="120" w:line="480" w:lineRule="auto"/>
      </w:pPr>
      <w:r>
        <w:t xml:space="preserve">1.1 Background</w:t>
      </w:r>
    </w:p>
    <w:p>
      <w:pPr>
        <w:spacing w:after="120" w:line="480" w:lineRule="auto"/>
      </w:pPr>
      <w:r>
        <w:t xml:space="preserve">Sonar (sound navigation and ranging) uses acoustic energy to detect or characterize objects underwater. A transmitted sound pulse interacts with an object and the surrounding environment; a receiver records the returning signal. The observed return can vary with target material, shape, distance, orientation, water conditions, and measurement equipment. Interpreting such returns is therefore a pattern-recognition problem: a set of measured signal characteristics is used to infer which class of object most plausibly produced the observation.</w:t>
      </w:r>
    </w:p>
    <w:p>
      <w:pPr>
        <w:spacing w:after="120" w:line="480" w:lineRule="auto"/>
      </w:pPr>
      <w:r>
        <w:t xml:space="preserve">Automated classification can help organize observations and prioritize human review. A classifier learns a relationship between examples whose labels are known and their measured attributes. It then applies that relationship to new examples. In this study the classes are a metal cylinder, used as a proxy for a mine, and a rock. This is a controlled benchmark task rather than a complete operational mine-detection system. The distinction matters: success on a compact historical dataset does not demonstrate performance in a live maritime environment, where sensors, acquisition protocols, target types, and environmental conditions can differ.</w:t>
      </w:r>
    </w:p>
    <w:p>
      <w:pPr>
        <w:spacing w:after="120" w:line="480" w:lineRule="auto"/>
      </w:pPr>
      <w:r>
        <w:t xml:space="preserve">The project uses the Connectionist Bench Sonar dataset attributed to Sejnowski and Gorman. It has 208 records and 60 numeric measurements for each record. Each measurement summarizes signal energy in a frequency band. There are 111 mine returns and 97 rock returns. The class proportions are reasonably close, but the dataset is small enough that the performance estimate can change materially with a different train/test partition. The bands are not named physical descriptors in the supplied data, so this report treats them as ordered measurements rather than assigning unsupported physical meanings.</w:t>
      </w:r>
    </w:p>
    <w:p>
      <w:pPr>
        <w:pStyle w:val="Heading2"/>
        <w:spacing w:after="120" w:line="480" w:lineRule="auto"/>
      </w:pPr>
      <w:r>
        <w:t xml:space="preserve">1.2 Problem statement</w:t>
      </w:r>
    </w:p>
    <w:p>
      <w:pPr>
        <w:spacing w:after="120" w:line="480" w:lineRule="auto"/>
      </w:pPr>
      <w:r>
        <w:t xml:space="preserve">Given a vector of 60 sonar frequency-band measurements, predict whether the associated observation belongs to the mine class or the rock class. The technical problem is binary supervised classification. The methodological problem is to estimate generalization honestly: data used to choose model parameters must not also serve as an independent final evaluation set. The practical problem is to understand the types of errors a model makes, since false alarms and missed detections may carry different costs.</w:t>
      </w:r>
    </w:p>
    <w:p>
      <w:pPr>
        <w:pStyle w:val="Heading3"/>
        <w:spacing w:after="120" w:line="480" w:lineRule="auto"/>
      </w:pPr>
      <w:r>
        <w:t xml:space="preserve">1.2.1 From acoustic return to feature vector</w:t>
      </w:r>
    </w:p>
    <w:p>
      <w:pPr>
        <w:spacing w:after="120" w:line="480" w:lineRule="auto"/>
      </w:pPr>
      <w:r>
        <w:t xml:space="preserve">The supplied observations are already transformed into a fixed-length feature representation. Each row can be viewed as a point in a 60-dimensional space, with one coordinate for each frequency band. Similar rows may correspond to similar measured signal patterns, but similarity in this representation is not necessarily identical to physical similarity between targets. Noise, aspect angle, signal transmission, receiver sensitivity, and other acquisition conditions can affect the measurements. A supervised algorithm attempts to identify structure associated with the provided labels despite variation among examples.</w:t>
      </w:r>
    </w:p>
    <w:p>
      <w:pPr>
        <w:spacing w:after="120" w:line="480" w:lineRule="auto"/>
      </w:pPr>
      <w:r>
        <w:t xml:space="preserve">The feature representation simplifies the learning task because the notebook does not need to process raw waveforms or perform spectral transformation. At the same time, it limits what can be inferred. The analysis cannot reconstruct the original acoustic signal, verify how the frequency bands were calculated, or inspect temporal characteristics that are not represented in the table. Therefore, the project evaluates the information present in the supplied measurements and does not claim to model the entire sonar sensing process.</w:t>
      </w:r>
    </w:p>
    <w:p>
      <w:pPr>
        <w:pStyle w:val="Heading3"/>
        <w:spacing w:after="120" w:line="480" w:lineRule="auto"/>
      </w:pPr>
      <w:r>
        <w:t xml:space="preserve">1.2.2 Classification errors and decision context</w:t>
      </w:r>
    </w:p>
    <w:p>
      <w:pPr>
        <w:spacing w:after="120" w:line="480" w:lineRule="auto"/>
      </w:pPr>
      <w:r>
        <w:t xml:space="preserve">Two types of errors are possible. A mine labeled as rock is a false negative for the mine class; a rock labeled as mine is a false positive. In a safety-related setting, a false negative may be more consequential, while many false positives may create costly investigation and reduce confidence in the system. The dataset itself does not provide a cost matrix or operational policy, so the experiment reports both error types rather than treating one threshold as universally correct. A technically high ROC AUC cannot by itself answer which operating point is appropriate.</w:t>
      </w:r>
    </w:p>
    <w:p>
      <w:pPr>
        <w:pStyle w:val="Heading2"/>
        <w:spacing w:after="120" w:line="480" w:lineRule="auto"/>
      </w:pPr>
      <w:r>
        <w:t xml:space="preserve">1.3 Rationale and significance</w:t>
      </w:r>
    </w:p>
    <w:p>
      <w:pPr>
        <w:pStyle w:val="Heading2"/>
        <w:spacing w:after="120" w:line="480" w:lineRule="auto"/>
      </w:pPr>
      <w:r>
        <w:t xml:space="preserve">1.3 Rationale and significance</w:t>
      </w:r>
    </w:p>
    <w:p>
      <w:pPr>
        <w:spacing w:after="120" w:line="480" w:lineRule="auto"/>
      </w:pPr>
      <w:r>
        <w:t xml:space="preserve">This topic was selected because it combines signal data, binary classification, and a clear real-world motivation while remaining small enough to inspect in a student project. It makes it possible to demonstrate the complete machine-learning process: data validation, exploratory analysis, train/test separation, preprocessing, cross-validation, model comparison, metric selection, error analysis, and model interpretation. The experiment also illustrates why accuracy alone is not sufficient and why a strong result on one split is not equivalent to operational readiness.</w:t>
      </w:r>
    </w:p>
    <w:p>
      <w:pPr>
        <w:spacing w:after="120" w:line="480" w:lineRule="auto"/>
      </w:pPr>
      <w:r>
        <w:t xml:space="preserve">A reproducible workflow is significant even when the dataset is modest. If preprocessing is fitted before cross-validation, information from validation folds can leak into training. If the test set is repeatedly consulted while tuning, it ceases to be an unbiased holdout. Pipelines and a clear separation of data roles reduce these risks. Reporting both ranking metrics and class-specific results makes the evaluation more informative than a single accuracy figure.</w:t>
      </w:r>
    </w:p>
    <w:p>
      <w:pPr>
        <w:pStyle w:val="Heading3"/>
        <w:spacing w:after="120" w:line="480" w:lineRule="auto"/>
      </w:pPr>
      <w:r>
        <w:t xml:space="preserve">1.3.1 Academic significance</w:t>
      </w:r>
    </w:p>
    <w:p>
      <w:pPr>
        <w:spacing w:after="120" w:line="480" w:lineRule="auto"/>
      </w:pPr>
      <w:r>
        <w:t xml:space="preserve">From an academic perspective, the project applies statistical learning ideas to a concrete signal-classification problem. Students can observe the role of feature scaling for distance-based methods, compare a margin-based learner with randomized tree ensembles, and see how model performance depends on a validation design. The dataset also makes it practical to investigate class-specific metrics, threshold selection, cross-validation, and feature importance in a single coherent experiment. These concepts transfer to many other domains in which labeled measurements are used to support classification.</w:t>
      </w:r>
    </w:p>
    <w:p>
      <w:pPr>
        <w:pStyle w:val="Heading3"/>
        <w:spacing w:after="120" w:line="480" w:lineRule="auto"/>
      </w:pPr>
      <w:r>
        <w:t xml:space="preserve">1.3.2 Practical significance and boundaries</w:t>
      </w:r>
    </w:p>
    <w:p>
      <w:pPr>
        <w:spacing w:after="120" w:line="480" w:lineRule="auto"/>
      </w:pPr>
      <w:r>
        <w:t xml:space="preserve">A decision-support model could, in principle, help prioritize observations for additional inspection. Yet real systems need evidence about reliability under expected use conditions, not only average benchmark performance. They also need defined failure-handling procedures, operating thresholds, monitoring, and human accountability. The current study does not establish these elements. Its practical significance is therefore methodological: it demonstrates how one might begin evaluating a classifier and highlights the additional data and controls that would be required before operational use.</w:t>
      </w:r>
    </w:p>
    <w:p>
      <w:pPr>
        <w:pStyle w:val="Heading3"/>
        <w:spacing w:after="120" w:line="480" w:lineRule="auto"/>
      </w:pPr>
      <w:r>
        <w:t xml:space="preserve">1.3.3 Why this topic was selected</w:t>
      </w:r>
    </w:p>
    <w:p>
      <w:pPr>
        <w:spacing w:after="120" w:line="480" w:lineRule="auto"/>
      </w:pPr>
      <w:r>
        <w:t xml:space="preserve">The topic was selected because the labels and task are understandable, the data can be processed with standard tools, and the problem is substantive enough to motivate careful evaluation. The benchmark size makes the code accessible and execution manageable, while its small sample creates an important opportunity to discuss uncertainty and overfitting. Unlike an exercise that reports only training accuracy, this project uses a held-out test set and cross-validation, allowing the analysis to explain why evaluation protocol is part of the research question itself.</w:t>
      </w:r>
    </w:p>
    <w:p>
      <w:pPr>
        <w:pStyle w:val="Heading2"/>
        <w:spacing w:after="120" w:line="480" w:lineRule="auto"/>
      </w:pPr>
      <w:r>
        <w:t xml:space="preserve">1.4 Scope</w:t>
      </w:r>
    </w:p>
    <w:p>
      <w:pPr>
        <w:spacing w:after="120" w:line="480" w:lineRule="auto"/>
      </w:pPr>
      <w:r>
        <w:t xml:space="preserve">The work is limited to the provided 208-row, 60-feature dataset and the binary labels R and M. It evaluates a majority-class reference, a tuned scaled SVC, a random forest, and Extra Trees. It uses a single stratified 80:20 holdout split with random state 42 and five-fold stratified cross-validation on the training partition. The selected model is interpreted using permutation importance. It does not process raw acoustic waveforms, design a sonar sensor, estimate target range, distinguish multiple mine types, or test performance under distribution shift.</w:t>
      </w:r>
    </w:p>
    <w:p>
      <w:pPr>
        <w:pStyle w:val="Heading3"/>
        <w:spacing w:after="120" w:line="480" w:lineRule="auto"/>
      </w:pPr>
      <w:r>
        <w:t xml:space="preserve">1.4.1 Assumptions</w:t>
      </w:r>
    </w:p>
    <w:p>
      <w:pPr>
        <w:spacing w:after="120" w:line="480" w:lineRule="auto"/>
      </w:pPr>
      <w:r>
        <w:t xml:space="preserve">The analysis assumes that each CSV row is one independent labeled observation, that the final column is the correct class label, and that the preceding 60 columns are numeric measurements in a consistent order. It assumes the supplied labels R and M have the meanings documented for the benchmark. It also assumes that a random stratified split is suitable for this educational comparison. If multiple rows were collected in related groups or sessions, a group-aware split could be more appropriate; the provided file does not include grouping information needed to assess that possibility.</w:t>
      </w:r>
    </w:p>
    <w:p>
      <w:pPr>
        <w:pStyle w:val="Heading3"/>
        <w:spacing w:after="120" w:line="480" w:lineRule="auto"/>
      </w:pPr>
      <w:r>
        <w:t xml:space="preserve">1.4.2 Key terms</w:t>
      </w:r>
    </w:p>
    <w:p>
      <w:pPr>
        <w:spacing w:after="120" w:line="480" w:lineRule="auto"/>
      </w:pPr>
      <w:r>
        <w:t xml:space="preserve">A feature is one measured input variable; in this dataset, a feature is a frequency-band energy measurement. The target is the class to predict. A training set is used to fit model parameters, while validation folds support model selection. A test set is held back for final performance estimation. A pipeline applies preprocessing and a classifier as one fitted procedure. A decision threshold converts a model score into a class label. A false negative is a mine predicted as rock, and a false positive is a rock predicted as mine.</w:t>
      </w:r>
    </w:p>
    <w:p>
      <w:pPr>
        <w:pStyle w:val="Heading2"/>
        <w:spacing w:after="120" w:line="480" w:lineRule="auto"/>
      </w:pPr>
      <w:r>
        <w:t xml:space="preserve">1.5 Organization of the report</w:t>
      </w:r>
    </w:p>
    <w:p>
      <w:pPr>
        <w:spacing w:after="120" w:line="480" w:lineRule="auto"/>
      </w:pPr>
      <w:r>
        <w:t xml:space="preserve">Chapter 2 reviews the dataset’s origins and the classification concepts that inform this analysis. Chapter 3 states objectives and describes the design, sample, instrument, and analysis plan. Chapter 4 reports the cross-validation and test-set results. Chapter 5 synthesizes the findings and conclusion. Chapter 6 provides practical recommendations and the study’s limitations. The references and appendix support traceability and reproducibility.</w:t>
      </w:r>
    </w:p>
    <w:p>
      <w:pPr>
        <w:pStyle w:val="Heading1"/>
        <w:spacing w:after="120" w:line="480" w:lineRule="auto"/>
      </w:pPr>
      <w:r>
        <w:t xml:space="preserve">CHAPTER 2. REVIEW OF LITERATURE</w:t>
      </w:r>
    </w:p>
    <w:p>
      <w:pPr>
        <w:pStyle w:val="Heading2"/>
        <w:spacing w:after="120" w:line="480" w:lineRule="auto"/>
      </w:pPr>
      <w:r>
        <w:t xml:space="preserve">2.1 Sonar target classification benchmark</w:t>
      </w:r>
    </w:p>
    <w:p>
      <w:pPr>
        <w:spacing w:after="120" w:line="480" w:lineRule="auto"/>
      </w:pPr>
      <w:r>
        <w:t xml:space="preserve">The Connectionist Bench dataset was developed for a task discriminating sonar returns from a metal cylinder and a rock. The dataset documentation describes 60 real-valued attributes for each pattern, with values representing energy in frequency bands. This design provides a compact feature matrix suitable for comparing classification approaches while retaining a connection to an acoustic sensing problem (Sejnowski &amp; Gorman, 1988; UCI Machine Learning Repository, n.d.).</w:t>
      </w:r>
    </w:p>
    <w:p>
      <w:pPr>
        <w:pStyle w:val="Heading2"/>
        <w:spacing w:after="120" w:line="480" w:lineRule="auto"/>
      </w:pPr>
      <w:r>
        <w:t xml:space="preserve">2.2 Early neural-network study</w:t>
      </w:r>
    </w:p>
    <w:p>
      <w:pPr>
        <w:spacing w:after="120" w:line="480" w:lineRule="auto"/>
      </w:pPr>
      <w:r>
        <w:t xml:space="preserve">Gorman and Sejnowski (1988) examined hidden-unit representations in a layered neural network trained on sonar targets. Their work analyzed how internal units responded to signal patterns and reported results on training and held-out examples. The paper is an important historical reference for this benchmark because it connects predictive classification with learned signal representations. Its experimental setup and data partitioning differ from the present study, so its figures should not be treated as a direct head-to-head comparison with the scores reported here.</w:t>
      </w:r>
    </w:p>
    <w:p>
      <w:pPr>
        <w:pStyle w:val="Heading2"/>
        <w:spacing w:after="120" w:line="480" w:lineRule="auto"/>
      </w:pPr>
      <w:r>
        <w:t xml:space="preserve">2.3 Classification methods used here</w:t>
      </w:r>
    </w:p>
    <w:p>
      <w:pPr>
        <w:spacing w:after="120" w:line="480" w:lineRule="auto"/>
      </w:pPr>
      <w:r>
        <w:t xml:space="preserve">A support vector classifier seeks a decision boundary with a large margin between classes. With a nonlinear kernel, such as the radial basis function kernel, it can represent curved boundaries in the original feature space. Feature scaling is generally important because distances and margins are sensitive to measurement scale. The regularization parameter C controls the penalty for training errors, while gamma controls the influence range of individual observations for the RBF kernel. These settings are selected by cross-validation in this project.</w:t>
      </w:r>
    </w:p>
    <w:p>
      <w:pPr>
        <w:spacing w:after="120" w:line="480" w:lineRule="auto"/>
      </w:pPr>
      <w:r>
        <w:t xml:space="preserve">Random forests and Extra Trees are ensembles of randomized decision trees. They can model nonlinear feature interactions and do not require standardization. Random forests use bootstrap samples and randomized candidate features; Extra Trees increase split randomization. Ensembles reduce dependence on a single tree, although with a small dataset their validation estimates can still be variable. Their comparison with SVC is useful because the methods make different assumptions about the shape of the decision function.</w:t>
      </w:r>
    </w:p>
    <w:p>
      <w:pPr>
        <w:pStyle w:val="Heading2"/>
        <w:spacing w:after="120" w:line="480" w:lineRule="auto"/>
      </w:pPr>
      <w:r>
        <w:t xml:space="preserve">2.4 Evaluation and validation concepts</w:t>
      </w:r>
    </w:p>
    <w:p>
      <w:pPr>
        <w:spacing w:after="120" w:line="480" w:lineRule="auto"/>
      </w:pPr>
      <w:r>
        <w:t xml:space="preserve">Stratified cross-validation partitions data into folds while approximately preserving class proportions. It allows candidate settings to be compared across multiple training/validation partitions. A separate test set provides a final estimate after model selection. ROC AUC summarizes ranking quality across decision thresholds; average precision summarizes the precision–recall curve and is useful when positive-class retrieval matters. Balanced accuracy averages sensitivity across classes and is less dominated by the more frequent class. Precision and recall describe the trade-off between false alarms and missed positive cases at a particular threshold.</w:t>
      </w:r>
    </w:p>
    <w:p>
      <w:pPr>
        <w:spacing w:after="120" w:line="480" w:lineRule="auto"/>
      </w:pPr>
      <w:r>
        <w:t xml:space="preserve">Permutation importance estimates the drop in a chosen score when one feature’s values are shuffled. It measures reliance of a fitted model on the information carried by that feature under the chosen evaluation data. Correlated inputs can substitute for one another, which can spread or mask individual importance. Importance is descriptive, not causal, and should be interpreted with this limitation.</w:t>
      </w:r>
    </w:p>
    <w:p>
      <w:pPr>
        <w:pStyle w:val="Heading2"/>
        <w:spacing w:after="120" w:line="480" w:lineRule="auto"/>
      </w:pPr>
      <w:r>
        <w:t xml:space="preserve">2.5 Research gap and contribution</w:t>
      </w:r>
    </w:p>
    <w:p>
      <w:pPr>
        <w:spacing w:after="120" w:line="480" w:lineRule="auto"/>
      </w:pPr>
      <w:r>
        <w:t xml:space="preserve">The benchmark has a long history, but a student analysis can still contribute a transparent, reproducible comparison under one clearly specified protocol. This report emphasizes leakage-safe model selection and keeps the test data separate until the final evaluation. It also reports class-specific errors and practical limitations, rather than presenting a single score as proof of operational capability.</w:t>
      </w:r>
    </w:p>
    <w:p>
      <w:pPr>
        <w:pStyle w:val="Heading1"/>
        <w:spacing w:after="120" w:line="480" w:lineRule="auto"/>
      </w:pPr>
      <w:r>
        <w:t xml:space="preserve">CHAPTER 3. RESEARCH OBJECTIVES AND METHODOLOGY</w:t>
      </w:r>
    </w:p>
    <w:p>
      <w:pPr>
        <w:pStyle w:val="Heading2"/>
        <w:spacing w:after="120" w:line="480" w:lineRule="auto"/>
      </w:pPr>
      <w:r>
        <w:t xml:space="preserve">3.1 Research objectives</w:t>
      </w:r>
    </w:p>
    <w:p>
      <w:pPr>
        <w:spacing w:after="120" w:line="480" w:lineRule="auto"/>
      </w:pPr>
      <w:r>
        <w:t xml:space="preserve">• Validate the structure, labels, missing values, duplicates, and class distribution of the supplied Sonar dataset.</w:t>
      </w:r>
    </w:p>
    <w:p>
      <w:pPr>
        <w:spacing w:after="120" w:line="480" w:lineRule="auto"/>
      </w:pPr>
      <w:r>
        <w:t xml:space="preserve">• Compare a majority baseline, a tuned SVC, Random Forest, and Extra Trees using stratified five-fold cross-validation.</w:t>
      </w:r>
    </w:p>
    <w:p>
      <w:pPr>
        <w:spacing w:after="120" w:line="480" w:lineRule="auto"/>
      </w:pPr>
      <w:r>
        <w:t xml:space="preserve">• Estimate the selected model’s held-out performance with class-aware metrics and analyze its errors.</w:t>
      </w:r>
    </w:p>
    <w:p>
      <w:pPr>
        <w:spacing w:after="120" w:line="480" w:lineRule="auto"/>
      </w:pPr>
      <w:r>
        <w:t xml:space="preserve">• Identify which input bands the fitted model relies on most using held-out permutation importance.</w:t>
      </w:r>
    </w:p>
    <w:p>
      <w:pPr>
        <w:spacing w:after="120" w:line="480" w:lineRule="auto"/>
      </w:pPr>
      <w:r>
        <w:t xml:space="preserve">• Document a reproducible procedure and identify the evidence needed before any real-world application.</w:t>
      </w:r>
    </w:p>
    <w:p>
      <w:pPr>
        <w:pStyle w:val="Heading2"/>
        <w:spacing w:after="120" w:line="480" w:lineRule="auto"/>
      </w:pPr>
      <w:r>
        <w:t xml:space="preserve">3.2 Research problem and design</w:t>
      </w:r>
    </w:p>
    <w:p>
      <w:pPr>
        <w:spacing w:after="120" w:line="480" w:lineRule="auto"/>
      </w:pPr>
      <w:r>
        <w:t xml:space="preserve">Research problem: Can supervised classifiers distinguish the dataset’s labeled mine and rock sonar returns, and how reliably can their performance be estimated from a small sample? The study uses a quantitative, observational, comparative experimental design. No new signals are collected; the analysis operates on an existing labeled dataset. The unit of analysis is one 60-feature sonar return.</w:t>
      </w:r>
    </w:p>
    <w:p>
      <w:pPr>
        <w:pStyle w:val="Heading2"/>
        <w:spacing w:after="120" w:line="480" w:lineRule="auto"/>
      </w:pPr>
      <w:r>
        <w:t xml:space="preserve">3.3 Data type and collection method</w:t>
      </w:r>
    </w:p>
    <w:p>
      <w:pPr>
        <w:spacing w:after="120" w:line="480" w:lineRule="auto"/>
      </w:pPr>
      <w:r>
        <w:t xml:space="preserve">The data are secondary, tabular, numeric measurements with a categorical binary target. The CSV file was supplied with the project. Dataset documentation attributes the benchmark to Sejnowski and Gorman and describes the records as energy measurements across frequency bands. The analysis does not infer the original sensor calibration or acquisition metadata beyond that documentation.</w:t>
      </w:r>
    </w:p>
    <w:p>
      <w:pPr>
        <w:pStyle w:val="Heading2"/>
        <w:spacing w:after="120" w:line="480" w:lineRule="auto"/>
      </w:pPr>
      <w:r>
        <w:t xml:space="preserve">3.4 Instrument and sample</w:t>
      </w:r>
    </w:p>
    <w:p>
      <w:pPr>
        <w:spacing w:after="120" w:line="480" w:lineRule="auto"/>
      </w:pPr>
      <w:r>
        <w:t xml:space="preserve">The instrument for this project is the supplied CSV data file and a Python analysis notebook using pandas, NumPy, Matplotlib, Seaborn, and scikit-learn. The sample is the complete available dataset: 208 observations, comprising 111 mines and 97 rocks. The study uses all observations, reserving 42 for a stratified holdout test and using the remaining 166 for cross-validation and fitting. The sample is a fixed benchmark collection, not a probability sample of all underwater objects.</w:t>
      </w:r>
    </w:p>
    <w:p>
      <w:pPr>
        <w:pStyle w:val="Heading2"/>
        <w:spacing w:after="120" w:line="480" w:lineRule="auto"/>
      </w:pPr>
      <w:r>
        <w:t xml:space="preserve">3.5 Sampling technique</w:t>
      </w:r>
    </w:p>
    <w:p>
      <w:pPr>
        <w:spacing w:after="120" w:line="480" w:lineRule="auto"/>
      </w:pPr>
      <w:r>
        <w:t xml:space="preserve">No new subjects were sampled. For model evaluation, a stratified random split assigns 80% of observations to training and 20% to testing, with random state 42. Five-fold stratified cross-validation is performed within training data. This split is reproducible but only one of many possible partitions; a different seed could yield different results.</w:t>
      </w:r>
    </w:p>
    <w:p>
      <w:pPr>
        <w:pStyle w:val="Heading2"/>
        <w:spacing w:after="120" w:line="480" w:lineRule="auto"/>
      </w:pPr>
      <w:r>
        <w:t xml:space="preserve">3.6 Data analysis tools and procedure</w:t>
      </w:r>
    </w:p>
    <w:p>
      <w:pPr>
        <w:spacing w:after="120" w:line="480" w:lineRule="auto"/>
      </w:pPr>
      <w:r>
        <w:t xml:space="preserve">• Read the headerless CSV and validate 61 columns, numeric features, and the expected R/M target labels.</w:t>
      </w:r>
    </w:p>
    <w:p>
      <w:pPr>
        <w:spacing w:after="120" w:line="480" w:lineRule="auto"/>
      </w:pPr>
      <w:r>
        <w:t xml:space="preserve">• Map R to 0 (Rock) and M to 1 (Mine); inspect class counts, descriptive statistics, missing values, duplicates, feature profiles, and correlations.</w:t>
      </w:r>
    </w:p>
    <w:p>
      <w:pPr>
        <w:spacing w:after="120" w:line="480" w:lineRule="auto"/>
      </w:pPr>
      <w:r>
        <w:t xml:space="preserve">• Create a stratified 80:20 train/test split before data-dependent preprocessing.</w:t>
      </w:r>
    </w:p>
    <w:p>
      <w:pPr>
        <w:spacing w:after="120" w:line="480" w:lineRule="auto"/>
      </w:pPr>
      <w:r>
        <w:t xml:space="preserve">• Use a StandardScaler plus SVC pipeline. Search C in {0.1, 1, 10, 100}, gamma in {scale, 0.001, 0.01, 0.1}, and kernel in {RBF, linear}.</w:t>
      </w:r>
    </w:p>
    <w:p>
      <w:pPr>
        <w:spacing w:after="120" w:line="480" w:lineRule="auto"/>
      </w:pPr>
      <w:r>
        <w:t xml:space="preserve">• Select SVC settings by mean ROC AUC from five-fold stratified cross-validation. Compare with Random Forest and Extra Trees using the same folds and scoring definitions.</w:t>
      </w:r>
    </w:p>
    <w:p>
      <w:pPr>
        <w:spacing w:after="120" w:line="480" w:lineRule="auto"/>
      </w:pPr>
      <w:r>
        <w:t xml:space="preserve">• Select the candidate with the highest mean cross-validated ROC AUC; fit it on all training data and evaluate once on the untouched test set.</w:t>
      </w:r>
    </w:p>
    <w:p>
      <w:pPr>
        <w:spacing w:after="120" w:line="480" w:lineRule="auto"/>
      </w:pPr>
      <w:r>
        <w:t xml:space="preserve">• Report accuracy, balanced accuracy, precision, recall, F1, ROC AUC, average precision, classification report, confusion matrix, and ROC/precision–recall plots.</w:t>
      </w:r>
    </w:p>
    <w:p>
      <w:pPr>
        <w:spacing w:after="120" w:line="480" w:lineRule="auto"/>
      </w:pPr>
      <w:r>
        <w:t xml:space="preserve">• Calculate permutation importance on the test set using ROC AUC and 30 repeats with a fixed random seed.</w:t>
      </w:r>
    </w:p>
    <w:p>
      <w:pPr>
        <w:pStyle w:val="Heading2"/>
        <w:spacing w:after="120" w:line="480" w:lineRule="auto"/>
      </w:pPr>
      <w:r>
        <w:t xml:space="preserve">3.7 Ethical and responsible-use considerations</w:t>
      </w:r>
    </w:p>
    <w:p>
      <w:pPr>
        <w:spacing w:after="120" w:line="480" w:lineRule="auto"/>
      </w:pPr>
      <w:r>
        <w:t xml:space="preserve">The dataset concerns physical targets and contains no personal records. The main responsibility is to avoid overstating model capability. A classifier trained on a small historical benchmark can produce dangerous errors if applied to different sensors or conditions. This report therefore frames the model as an educational experiment and recommends independent validation and human oversight before consequential use.</w:t>
      </w:r>
    </w:p>
    <w:p>
      <w:pPr>
        <w:pStyle w:val="Heading1"/>
        <w:spacing w:after="120" w:line="480" w:lineRule="auto"/>
      </w:pPr>
      <w:r>
        <w:t xml:space="preserve">CHAPTER 4. DATA ANALYSIS, RESULTS, AND INTERPRETATION</w:t>
      </w:r>
    </w:p>
    <w:p>
      <w:pPr>
        <w:pStyle w:val="Heading2"/>
        <w:spacing w:after="120" w:line="480" w:lineRule="auto"/>
      </w:pPr>
      <w:r>
        <w:t xml:space="preserve">4.1 Dataset overview</w:t>
      </w:r>
    </w:p>
    <w:tbl>
      <w:tblPr>
        <w:tblBorders>
          <w:top w:val="single" w:sz="4"/>
          <w:left w:val="single" w:sz="4"/>
          <w:bottom w:val="single" w:sz="4"/>
          <w:right w:val="single" w:sz="4"/>
          <w:insideH w:val="single" w:sz="4"/>
          <w:insideV w:val="single" w:sz="4"/>
        </w:tblBorders>
      </w:tblPr>
      <w:tr>
        <w:tc>
          <w:tcPr>
            <w:shd w:fill="D9EAF7"/>
            <w:tcW w:w="2200" w:type="dxa"/>
          </w:tcPr>
          <w:p>
            <w:pPr>
              <w:spacing w:after="60" w:line="300"/>
            </w:pPr>
            <w:r>
              <w:rPr>
                <w:b/>
              </w:rPr>
              <w:t xml:space="preserve">Measure</w:t>
            </w:r>
          </w:p>
        </w:tc>
        <w:tc>
          <w:tcPr>
            <w:shd w:fill="D9EAF7"/>
            <w:tcW w:w="2200" w:type="dxa"/>
          </w:tcPr>
          <w:p>
            <w:pPr>
              <w:spacing w:after="60" w:line="300"/>
            </w:pPr>
            <w:r>
              <w:rPr>
                <w:b/>
              </w:rPr>
              <w:t xml:space="preserve">Observed value</w:t>
            </w:r>
          </w:p>
        </w:tc>
      </w:tr>
      <w:tr>
        <w:tc>
          <w:tcPr>
            <w:tcW w:w="2200" w:type="dxa"/>
          </w:tcPr>
          <w:p>
            <w:pPr>
              <w:spacing w:after="60" w:line="300"/>
            </w:pPr>
            <w:r>
              <w:t xml:space="preserve">Observations</w:t>
            </w:r>
          </w:p>
        </w:tc>
        <w:tc>
          <w:tcPr>
            <w:tcW w:w="2200" w:type="dxa"/>
          </w:tcPr>
          <w:p>
            <w:pPr>
              <w:spacing w:after="60" w:line="300"/>
            </w:pPr>
            <w:r>
              <w:t xml:space="preserve">208</w:t>
            </w:r>
          </w:p>
        </w:tc>
      </w:tr>
      <w:tr>
        <w:tc>
          <w:tcPr>
            <w:tcW w:w="2200" w:type="dxa"/>
          </w:tcPr>
          <w:p>
            <w:pPr>
              <w:spacing w:after="60" w:line="300"/>
            </w:pPr>
            <w:r>
              <w:t xml:space="preserve">Features</w:t>
            </w:r>
          </w:p>
        </w:tc>
        <w:tc>
          <w:tcPr>
            <w:tcW w:w="2200" w:type="dxa"/>
          </w:tcPr>
          <w:p>
            <w:pPr>
              <w:spacing w:after="60" w:line="300"/>
            </w:pPr>
            <w:r>
              <w:t xml:space="preserve">60 numeric frequency-band measurements</w:t>
            </w:r>
          </w:p>
        </w:tc>
      </w:tr>
      <w:tr>
        <w:tc>
          <w:tcPr>
            <w:tcW w:w="2200" w:type="dxa"/>
          </w:tcPr>
          <w:p>
            <w:pPr>
              <w:spacing w:after="60" w:line="300"/>
            </w:pPr>
            <w:r>
              <w:t xml:space="preserve">Rock class (R)</w:t>
            </w:r>
          </w:p>
        </w:tc>
        <w:tc>
          <w:tcPr>
            <w:tcW w:w="2200" w:type="dxa"/>
          </w:tcPr>
          <w:p>
            <w:pPr>
              <w:spacing w:after="60" w:line="300"/>
            </w:pPr>
            <w:r>
              <w:t xml:space="preserve">97 (46.6%)</w:t>
            </w:r>
          </w:p>
        </w:tc>
      </w:tr>
      <w:tr>
        <w:tc>
          <w:tcPr>
            <w:tcW w:w="2200" w:type="dxa"/>
          </w:tcPr>
          <w:p>
            <w:pPr>
              <w:spacing w:after="60" w:line="300"/>
            </w:pPr>
            <w:r>
              <w:t xml:space="preserve">Mine class (M)</w:t>
            </w:r>
          </w:p>
        </w:tc>
        <w:tc>
          <w:tcPr>
            <w:tcW w:w="2200" w:type="dxa"/>
          </w:tcPr>
          <w:p>
            <w:pPr>
              <w:spacing w:after="60" w:line="300"/>
            </w:pPr>
            <w:r>
              <w:t xml:space="preserve">111 (53.4%)</w:t>
            </w:r>
          </w:p>
        </w:tc>
      </w:tr>
      <w:tr>
        <w:tc>
          <w:tcPr>
            <w:tcW w:w="2200" w:type="dxa"/>
          </w:tcPr>
          <w:p>
            <w:pPr>
              <w:spacing w:after="60" w:line="300"/>
            </w:pPr>
            <w:r>
              <w:t xml:space="preserve">Missing feature values</w:t>
            </w:r>
          </w:p>
        </w:tc>
        <w:tc>
          <w:tcPr>
            <w:tcW w:w="2200" w:type="dxa"/>
          </w:tcPr>
          <w:p>
            <w:pPr>
              <w:spacing w:after="60" w:line="300"/>
            </w:pPr>
            <w:r>
              <w:t xml:space="preserve">0</w:t>
            </w:r>
          </w:p>
        </w:tc>
      </w:tr>
      <w:tr>
        <w:tc>
          <w:tcPr>
            <w:tcW w:w="2200" w:type="dxa"/>
          </w:tcPr>
          <w:p>
            <w:pPr>
              <w:spacing w:after="60" w:line="300"/>
            </w:pPr>
            <w:r>
              <w:t xml:space="preserve">Duplicate rows</w:t>
            </w:r>
          </w:p>
        </w:tc>
        <w:tc>
          <w:tcPr>
            <w:tcW w:w="2200" w:type="dxa"/>
          </w:tcPr>
          <w:p>
            <w:pPr>
              <w:spacing w:after="60" w:line="300"/>
            </w:pPr>
            <w:r>
              <w:t xml:space="preserve">0</w:t>
            </w:r>
          </w:p>
        </w:tc>
      </w:tr>
    </w:tbl>
    <w:p>
      <w:pPr>
        <w:spacing w:after="120" w:line="480" w:lineRule="auto"/>
      </w:pPr>
      <w:r>
        <w:t xml:space="preserve">The class distribution is moderately balanced. The majority baseline predicts the more frequent class and therefore provides a reference for interpreting the classifiers. Feature correlation analysis is included because related bands may carry overlapping information. As the data contain no missing values, the workflow does not require imputation.</w:t>
      </w:r>
    </w:p>
    <w:p>
      <w:pPr>
        <w:pStyle w:val="Heading2"/>
        <w:spacing w:after="120" w:line="480" w:lineRule="auto"/>
      </w:pPr>
      <w:r>
        <w:t xml:space="preserve">4.2 Cross-validation comparison</w:t>
      </w:r>
    </w:p>
    <w:tbl>
      <w:tblPr>
        <w:tblBorders>
          <w:top w:val="single" w:sz="4"/>
          <w:left w:val="single" w:sz="4"/>
          <w:bottom w:val="single" w:sz="4"/>
          <w:right w:val="single" w:sz="4"/>
          <w:insideH w:val="single" w:sz="4"/>
          <w:insideV w:val="single" w:sz="4"/>
        </w:tblBorders>
      </w:tblPr>
      <w:tr>
        <w:tc>
          <w:tcPr>
            <w:shd w:fill="D9EAF7"/>
            <w:tcW w:w="2200" w:type="dxa"/>
          </w:tcPr>
          <w:p>
            <w:pPr>
              <w:spacing w:after="60" w:line="300"/>
            </w:pPr>
            <w:r>
              <w:rPr>
                <w:b/>
              </w:rPr>
              <w:t xml:space="preserve">Model</w:t>
            </w:r>
          </w:p>
        </w:tc>
        <w:tc>
          <w:tcPr>
            <w:shd w:fill="D9EAF7"/>
            <w:tcW w:w="2200" w:type="dxa"/>
          </w:tcPr>
          <w:p>
            <w:pPr>
              <w:spacing w:after="60" w:line="300"/>
            </w:pPr>
            <w:r>
              <w:rPr>
                <w:b/>
              </w:rPr>
              <w:t xml:space="preserve">Mean CV ROC AUC</w:t>
            </w:r>
          </w:p>
        </w:tc>
        <w:tc>
          <w:tcPr>
            <w:shd w:fill="D9EAF7"/>
            <w:tcW w:w="2200" w:type="dxa"/>
          </w:tcPr>
          <w:p>
            <w:pPr>
              <w:spacing w:after="60" w:line="300"/>
            </w:pPr>
            <w:r>
              <w:rPr>
                <w:b/>
              </w:rPr>
              <w:t xml:space="preserve">Mean CV average precision</w:t>
            </w:r>
          </w:p>
        </w:tc>
        <w:tc>
          <w:tcPr>
            <w:shd w:fill="D9EAF7"/>
            <w:tcW w:w="2200" w:type="dxa"/>
          </w:tcPr>
          <w:p>
            <w:pPr>
              <w:spacing w:after="60" w:line="300"/>
            </w:pPr>
            <w:r>
              <w:rPr>
                <w:b/>
              </w:rPr>
              <w:t xml:space="preserve">Mean CV balanced accuracy</w:t>
            </w:r>
          </w:p>
        </w:tc>
      </w:tr>
      <w:tr>
        <w:tc>
          <w:tcPr>
            <w:tcW w:w="2200" w:type="dxa"/>
          </w:tcPr>
          <w:p>
            <w:pPr>
              <w:spacing w:after="60" w:line="300"/>
            </w:pPr>
            <w:r>
              <w:t xml:space="preserve">Majority baseline</w:t>
            </w:r>
          </w:p>
        </w:tc>
        <w:tc>
          <w:tcPr>
            <w:tcW w:w="2200" w:type="dxa"/>
          </w:tcPr>
          <w:p>
            <w:pPr>
              <w:spacing w:after="60" w:line="300"/>
            </w:pPr>
            <w:r>
              <w:t xml:space="preserve">0.500</w:t>
            </w:r>
          </w:p>
        </w:tc>
        <w:tc>
          <w:tcPr>
            <w:tcW w:w="2200" w:type="dxa"/>
          </w:tcPr>
          <w:p>
            <w:pPr>
              <w:spacing w:after="60" w:line="300"/>
            </w:pPr>
            <w:r>
              <w:t xml:space="preserve">0.536</w:t>
            </w:r>
          </w:p>
        </w:tc>
        <w:tc>
          <w:tcPr>
            <w:tcW w:w="2200" w:type="dxa"/>
          </w:tcPr>
          <w:p>
            <w:pPr>
              <w:spacing w:after="60" w:line="300"/>
            </w:pPr>
            <w:r>
              <w:t xml:space="preserve">0.500</w:t>
            </w:r>
          </w:p>
        </w:tc>
      </w:tr>
      <w:tr>
        <w:tc>
          <w:tcPr>
            <w:tcW w:w="2200" w:type="dxa"/>
          </w:tcPr>
          <w:p>
            <w:pPr>
              <w:spacing w:after="60" w:line="300"/>
            </w:pPr>
            <w:r>
              <w:t xml:space="preserve">Tuned SVC</w:t>
            </w:r>
          </w:p>
        </w:tc>
        <w:tc>
          <w:tcPr>
            <w:tcW w:w="2200" w:type="dxa"/>
          </w:tcPr>
          <w:p>
            <w:pPr>
              <w:spacing w:after="60" w:line="300"/>
            </w:pPr>
            <w:r>
              <w:t xml:space="preserve">0.911</w:t>
            </w:r>
          </w:p>
        </w:tc>
        <w:tc>
          <w:tcPr>
            <w:tcW w:w="2200" w:type="dxa"/>
          </w:tcPr>
          <w:p>
            <w:pPr>
              <w:spacing w:after="60" w:line="300"/>
            </w:pPr>
            <w:r>
              <w:t xml:space="preserve">0.925</w:t>
            </w:r>
          </w:p>
        </w:tc>
        <w:tc>
          <w:tcPr>
            <w:tcW w:w="2200" w:type="dxa"/>
          </w:tcPr>
          <w:p>
            <w:pPr>
              <w:spacing w:after="60" w:line="300"/>
            </w:pPr>
            <w:r>
              <w:t xml:space="preserve">0.701</w:t>
            </w:r>
          </w:p>
        </w:tc>
      </w:tr>
      <w:tr>
        <w:tc>
          <w:tcPr>
            <w:tcW w:w="2200" w:type="dxa"/>
          </w:tcPr>
          <w:p>
            <w:pPr>
              <w:spacing w:after="60" w:line="300"/>
            </w:pPr>
            <w:r>
              <w:t xml:space="preserve">Random Forest</w:t>
            </w:r>
          </w:p>
        </w:tc>
        <w:tc>
          <w:tcPr>
            <w:tcW w:w="2200" w:type="dxa"/>
          </w:tcPr>
          <w:p>
            <w:pPr>
              <w:spacing w:after="60" w:line="300"/>
            </w:pPr>
            <w:r>
              <w:t xml:space="preserve">0.911</w:t>
            </w:r>
          </w:p>
        </w:tc>
        <w:tc>
          <w:tcPr>
            <w:tcW w:w="2200" w:type="dxa"/>
          </w:tcPr>
          <w:p>
            <w:pPr>
              <w:spacing w:after="60" w:line="300"/>
            </w:pPr>
            <w:r>
              <w:t xml:space="preserve">0.936</w:t>
            </w:r>
          </w:p>
        </w:tc>
        <w:tc>
          <w:tcPr>
            <w:tcW w:w="2200" w:type="dxa"/>
          </w:tcPr>
          <w:p>
            <w:pPr>
              <w:spacing w:after="60" w:line="300"/>
            </w:pPr>
            <w:r>
              <w:t xml:space="preserve">0.765</w:t>
            </w:r>
          </w:p>
        </w:tc>
      </w:tr>
      <w:tr>
        <w:tc>
          <w:tcPr>
            <w:tcW w:w="2200" w:type="dxa"/>
          </w:tcPr>
          <w:p>
            <w:pPr>
              <w:spacing w:after="60" w:line="300"/>
            </w:pPr>
            <w:r>
              <w:t xml:space="preserve">Extra Trees</w:t>
            </w:r>
          </w:p>
        </w:tc>
        <w:tc>
          <w:tcPr>
            <w:tcW w:w="2200" w:type="dxa"/>
          </w:tcPr>
          <w:p>
            <w:pPr>
              <w:spacing w:after="60" w:line="300"/>
            </w:pPr>
            <w:r>
              <w:t xml:space="preserve">0.932</w:t>
            </w:r>
          </w:p>
        </w:tc>
        <w:tc>
          <w:tcPr>
            <w:tcW w:w="2200" w:type="dxa"/>
          </w:tcPr>
          <w:p>
            <w:pPr>
              <w:spacing w:after="60" w:line="300"/>
            </w:pPr>
            <w:r>
              <w:t xml:space="preserve">0.946</w:t>
            </w:r>
          </w:p>
        </w:tc>
        <w:tc>
          <w:tcPr>
            <w:tcW w:w="2200" w:type="dxa"/>
          </w:tcPr>
          <w:p>
            <w:pPr>
              <w:spacing w:after="60" w:line="300"/>
            </w:pPr>
            <w:r>
              <w:t xml:space="preserve">0.839</w:t>
            </w:r>
          </w:p>
        </w:tc>
      </w:tr>
    </w:tbl>
    <w:p>
      <w:pPr>
        <w:spacing w:after="120" w:line="480" w:lineRule="auto"/>
      </w:pPr>
      <w:r>
        <w:t xml:space="preserve">Extra Trees attained the largest mean ROC AUC and was selected under the stated selection rule. Its advantage over the random forest and SVC is modest in ROC AUC, while its mean balanced accuracy is higher in these folds. Cross-validation scores are estimates from this dataset and should not be read as guarantees. The tuned SVC selected an RBF kernel with C = 1 and gamma = 0.1.</w:t>
      </w:r>
    </w:p>
    <w:p>
      <w:pPr>
        <w:pStyle w:val="Heading2"/>
        <w:spacing w:after="120" w:line="480" w:lineRule="auto"/>
      </w:pPr>
      <w:r>
        <w:t xml:space="preserve">4.3 Held-out test results</w:t>
      </w:r>
    </w:p>
    <w:tbl>
      <w:tblPr>
        <w:tblBorders>
          <w:top w:val="single" w:sz="4"/>
          <w:left w:val="single" w:sz="4"/>
          <w:bottom w:val="single" w:sz="4"/>
          <w:right w:val="single" w:sz="4"/>
          <w:insideH w:val="single" w:sz="4"/>
          <w:insideV w:val="single" w:sz="4"/>
        </w:tblBorders>
      </w:tblPr>
      <w:tr>
        <w:tc>
          <w:tcPr>
            <w:shd w:fill="D9EAF7"/>
            <w:tcW w:w="2200" w:type="dxa"/>
          </w:tcPr>
          <w:p>
            <w:pPr>
              <w:spacing w:after="60" w:line="300"/>
            </w:pPr>
            <w:r>
              <w:rPr>
                <w:b/>
              </w:rPr>
              <w:t xml:space="preserve">Metric</w:t>
            </w:r>
          </w:p>
        </w:tc>
        <w:tc>
          <w:tcPr>
            <w:shd w:fill="D9EAF7"/>
            <w:tcW w:w="2200" w:type="dxa"/>
          </w:tcPr>
          <w:p>
            <w:pPr>
              <w:spacing w:after="60" w:line="300"/>
            </w:pPr>
            <w:r>
              <w:rPr>
                <w:b/>
              </w:rPr>
              <w:t xml:space="preserve">Test result</w:t>
            </w:r>
          </w:p>
        </w:tc>
      </w:tr>
      <w:tr>
        <w:tc>
          <w:tcPr>
            <w:tcW w:w="2200" w:type="dxa"/>
          </w:tcPr>
          <w:p>
            <w:pPr>
              <w:spacing w:after="60" w:line="300"/>
            </w:pPr>
            <w:r>
              <w:t xml:space="preserve">Accuracy</w:t>
            </w:r>
          </w:p>
        </w:tc>
        <w:tc>
          <w:tcPr>
            <w:tcW w:w="2200" w:type="dxa"/>
          </w:tcPr>
          <w:p>
            <w:pPr>
              <w:spacing w:after="60" w:line="300"/>
            </w:pPr>
            <w:r>
              <w:t xml:space="preserve">0.905</w:t>
            </w:r>
          </w:p>
        </w:tc>
      </w:tr>
      <w:tr>
        <w:tc>
          <w:tcPr>
            <w:tcW w:w="2200" w:type="dxa"/>
          </w:tcPr>
          <w:p>
            <w:pPr>
              <w:spacing w:after="60" w:line="300"/>
            </w:pPr>
            <w:r>
              <w:t xml:space="preserve">Balanced accuracy</w:t>
            </w:r>
          </w:p>
        </w:tc>
        <w:tc>
          <w:tcPr>
            <w:tcW w:w="2200" w:type="dxa"/>
          </w:tcPr>
          <w:p>
            <w:pPr>
              <w:spacing w:after="60" w:line="300"/>
            </w:pPr>
            <w:r>
              <w:t xml:space="preserve">0.902</w:t>
            </w:r>
          </w:p>
        </w:tc>
      </w:tr>
      <w:tr>
        <w:tc>
          <w:tcPr>
            <w:tcW w:w="2200" w:type="dxa"/>
          </w:tcPr>
          <w:p>
            <w:pPr>
              <w:spacing w:after="60" w:line="300"/>
            </w:pPr>
            <w:r>
              <w:t xml:space="preserve">Precision, Mine</w:t>
            </w:r>
          </w:p>
        </w:tc>
        <w:tc>
          <w:tcPr>
            <w:tcW w:w="2200" w:type="dxa"/>
          </w:tcPr>
          <w:p>
            <w:pPr>
              <w:spacing w:after="60" w:line="300"/>
            </w:pPr>
            <w:r>
              <w:t xml:space="preserve">0.875</w:t>
            </w:r>
          </w:p>
        </w:tc>
      </w:tr>
      <w:tr>
        <w:tc>
          <w:tcPr>
            <w:tcW w:w="2200" w:type="dxa"/>
          </w:tcPr>
          <w:p>
            <w:pPr>
              <w:spacing w:after="60" w:line="300"/>
            </w:pPr>
            <w:r>
              <w:t xml:space="preserve">Recall, Mine</w:t>
            </w:r>
          </w:p>
        </w:tc>
        <w:tc>
          <w:tcPr>
            <w:tcW w:w="2200" w:type="dxa"/>
          </w:tcPr>
          <w:p>
            <w:pPr>
              <w:spacing w:after="60" w:line="300"/>
            </w:pPr>
            <w:r>
              <w:t xml:space="preserve">0.955</w:t>
            </w:r>
          </w:p>
        </w:tc>
      </w:tr>
      <w:tr>
        <w:tc>
          <w:tcPr>
            <w:tcW w:w="2200" w:type="dxa"/>
          </w:tcPr>
          <w:p>
            <w:pPr>
              <w:spacing w:after="60" w:line="300"/>
            </w:pPr>
            <w:r>
              <w:t xml:space="preserve">F1, Mine</w:t>
            </w:r>
          </w:p>
        </w:tc>
        <w:tc>
          <w:tcPr>
            <w:tcW w:w="2200" w:type="dxa"/>
          </w:tcPr>
          <w:p>
            <w:pPr>
              <w:spacing w:after="60" w:line="300"/>
            </w:pPr>
            <w:r>
              <w:t xml:space="preserve">0.913</w:t>
            </w:r>
          </w:p>
        </w:tc>
      </w:tr>
      <w:tr>
        <w:tc>
          <w:tcPr>
            <w:tcW w:w="2200" w:type="dxa"/>
          </w:tcPr>
          <w:p>
            <w:pPr>
              <w:spacing w:after="60" w:line="300"/>
            </w:pPr>
            <w:r>
              <w:t xml:space="preserve">ROC AUC</w:t>
            </w:r>
          </w:p>
        </w:tc>
        <w:tc>
          <w:tcPr>
            <w:tcW w:w="2200" w:type="dxa"/>
          </w:tcPr>
          <w:p>
            <w:pPr>
              <w:spacing w:after="60" w:line="300"/>
            </w:pPr>
            <w:r>
              <w:t xml:space="preserve">0.974</w:t>
            </w:r>
          </w:p>
        </w:tc>
      </w:tr>
      <w:tr>
        <w:tc>
          <w:tcPr>
            <w:tcW w:w="2200" w:type="dxa"/>
          </w:tcPr>
          <w:p>
            <w:pPr>
              <w:spacing w:after="60" w:line="300"/>
            </w:pPr>
            <w:r>
              <w:t xml:space="preserve">Average precision</w:t>
            </w:r>
          </w:p>
        </w:tc>
        <w:tc>
          <w:tcPr>
            <w:tcW w:w="2200" w:type="dxa"/>
          </w:tcPr>
          <w:p>
            <w:pPr>
              <w:spacing w:after="60" w:line="300"/>
            </w:pPr>
            <w:r>
              <w:t xml:space="preserve">0.977</w:t>
            </w:r>
          </w:p>
        </w:tc>
      </w:tr>
    </w:tbl>
    <w:tbl>
      <w:tblPr>
        <w:tblBorders>
          <w:top w:val="single" w:sz="4"/>
          <w:left w:val="single" w:sz="4"/>
          <w:bottom w:val="single" w:sz="4"/>
          <w:right w:val="single" w:sz="4"/>
          <w:insideH w:val="single" w:sz="4"/>
          <w:insideV w:val="single" w:sz="4"/>
        </w:tblBorders>
      </w:tblPr>
      <w:tr>
        <w:tc>
          <w:tcPr>
            <w:shd w:fill="D9EAF7"/>
            <w:tcW w:w="2200" w:type="dxa"/>
          </w:tcPr>
          <w:p>
            <w:pPr>
              <w:spacing w:after="60" w:line="300"/>
            </w:pPr>
            <w:r>
              <w:rPr>
                <w:b/>
              </w:rPr>
              <w:t xml:space="preserve">Actual / Predicted</w:t>
            </w:r>
          </w:p>
        </w:tc>
        <w:tc>
          <w:tcPr>
            <w:shd w:fill="D9EAF7"/>
            <w:tcW w:w="2200" w:type="dxa"/>
          </w:tcPr>
          <w:p>
            <w:pPr>
              <w:spacing w:after="60" w:line="300"/>
            </w:pPr>
            <w:r>
              <w:rPr>
                <w:b/>
              </w:rPr>
              <w:t xml:space="preserve">Rock</w:t>
            </w:r>
          </w:p>
        </w:tc>
        <w:tc>
          <w:tcPr>
            <w:shd w:fill="D9EAF7"/>
            <w:tcW w:w="2200" w:type="dxa"/>
          </w:tcPr>
          <w:p>
            <w:pPr>
              <w:spacing w:after="60" w:line="300"/>
            </w:pPr>
            <w:r>
              <w:rPr>
                <w:b/>
              </w:rPr>
              <w:t xml:space="preserve">Mine</w:t>
            </w:r>
          </w:p>
        </w:tc>
      </w:tr>
      <w:tr>
        <w:tc>
          <w:tcPr>
            <w:tcW w:w="2200" w:type="dxa"/>
          </w:tcPr>
          <w:p>
            <w:pPr>
              <w:spacing w:after="60" w:line="300"/>
            </w:pPr>
            <w:r>
              <w:t xml:space="preserve">Rock</w:t>
            </w:r>
          </w:p>
        </w:tc>
        <w:tc>
          <w:tcPr>
            <w:tcW w:w="2200" w:type="dxa"/>
          </w:tcPr>
          <w:p>
            <w:pPr>
              <w:spacing w:after="60" w:line="300"/>
            </w:pPr>
            <w:r>
              <w:t xml:space="preserve">17</w:t>
            </w:r>
          </w:p>
        </w:tc>
        <w:tc>
          <w:tcPr>
            <w:tcW w:w="2200" w:type="dxa"/>
          </w:tcPr>
          <w:p>
            <w:pPr>
              <w:spacing w:after="60" w:line="300"/>
            </w:pPr>
            <w:r>
              <w:t xml:space="preserve">3</w:t>
            </w:r>
          </w:p>
        </w:tc>
      </w:tr>
      <w:tr>
        <w:tc>
          <w:tcPr>
            <w:tcW w:w="2200" w:type="dxa"/>
          </w:tcPr>
          <w:p>
            <w:pPr>
              <w:spacing w:after="60" w:line="300"/>
            </w:pPr>
            <w:r>
              <w:t xml:space="preserve">Mine</w:t>
            </w:r>
          </w:p>
        </w:tc>
        <w:tc>
          <w:tcPr>
            <w:tcW w:w="2200" w:type="dxa"/>
          </w:tcPr>
          <w:p>
            <w:pPr>
              <w:spacing w:after="60" w:line="300"/>
            </w:pPr>
            <w:r>
              <w:t xml:space="preserve">1</w:t>
            </w:r>
          </w:p>
        </w:tc>
        <w:tc>
          <w:tcPr>
            <w:tcW w:w="2200" w:type="dxa"/>
          </w:tcPr>
          <w:p>
            <w:pPr>
              <w:spacing w:after="60" w:line="300"/>
            </w:pPr>
            <w:r>
              <w:t xml:space="preserve">21</w:t>
            </w:r>
          </w:p>
        </w:tc>
      </w:tr>
    </w:tbl>
    <w:p>
      <w:pPr>
        <w:spacing w:after="120" w:line="480" w:lineRule="auto"/>
      </w:pPr>
      <w:r>
        <w:t xml:space="preserve">On the 42-observation test set, 38 predictions were correct. Of 22 mine observations, 21 were detected and one was classified as rock. Of 20 rock observations, 17 were correctly classified and three were classified as mine. The observed mine recall is high on this split, while the precision result reflects the three false alarms among mine predictions. ROC AUC and average precision assess ranking over a range of thresholds; they do not prescribe an operating threshold or establish calibrated risk.</w:t>
      </w:r>
    </w:p>
    <w:p>
      <w:pPr>
        <w:pStyle w:val="Heading2"/>
        <w:spacing w:after="120" w:line="480" w:lineRule="auto"/>
      </w:pPr>
      <w:r>
        <w:t xml:space="preserve">4.4 Interpretation and feature influence</w:t>
      </w:r>
    </w:p>
    <w:p>
      <w:pPr>
        <w:spacing w:after="120" w:line="480" w:lineRule="auto"/>
      </w:pPr>
      <w:r>
        <w:t xml:space="preserve">Permutation importance identified bands 12, 37, 27, 16, and 31 as the five largest mean contributors to test ROC AUC in this run. Their mean AUC drops were approximately 0.0080, 0.0056, 0.0050, 0.0045, and 0.0039. The small magnitudes and standard deviations relative to the means suggest caution: with only 42 test cases, importance rankings can change. Correlated bands can share information, so these values are not proof that any one band has a causal or uniquely necessary role.</w:t>
      </w:r>
    </w:p>
    <w:p>
      <w:pPr>
        <w:pStyle w:val="Heading2"/>
        <w:spacing w:after="120" w:line="480" w:lineRule="auto"/>
      </w:pPr>
      <w:r>
        <w:t xml:space="preserve">4.5 Answer to the research problem</w:t>
      </w:r>
    </w:p>
    <w:p>
      <w:pPr>
        <w:spacing w:after="120" w:line="480" w:lineRule="auto"/>
      </w:pPr>
      <w:r>
        <w:t xml:space="preserve">Under the specified split and selection procedure, the evaluated classifiers separated the labeled examples substantially better than the majority baseline. Extra Trees ranked first by cross-validated ROC AUC and reached 90.5% accuracy on the held-out subset. This supports feasibility on the benchmark data. It does not establish generalization to new sonar instruments, collection locations, conditions, target materials, or operational decisions.</w:t>
      </w:r>
    </w:p>
    <w:p>
      <w:pPr>
        <w:pStyle w:val="Heading1"/>
        <w:spacing w:after="120" w:line="480" w:lineRule="auto"/>
      </w:pPr>
      <w:r>
        <w:t xml:space="preserve">CHAPTER 5. FINDINGS AND CONCLUSION</w:t>
      </w:r>
    </w:p>
    <w:p>
      <w:pPr>
        <w:pStyle w:val="Heading2"/>
        <w:spacing w:after="120" w:line="480" w:lineRule="auto"/>
      </w:pPr>
      <w:r>
        <w:t xml:space="preserve">5.1 Key findings</w:t>
      </w:r>
    </w:p>
    <w:p>
      <w:pPr>
        <w:spacing w:after="120" w:line="480" w:lineRule="auto"/>
      </w:pPr>
      <w:r>
        <w:t xml:space="preserve">First, the supplied dataset is compact and nearly balanced, with 208 records and 60 numeric measurements. No missing values or exact duplicate rows were observed. This makes it suitable for a complete educational modeling workflow, while its sample size constrains the precision of evaluation.</w:t>
      </w:r>
    </w:p>
    <w:p>
      <w:pPr>
        <w:spacing w:after="120" w:line="480" w:lineRule="auto"/>
      </w:pPr>
      <w:r>
        <w:t xml:space="preserve">Second, leakage-aware cross-validation favored Extra Trees by mean ROC AUC (0.932), followed by Random Forest (0.911) and the tuned SVC (0.911). The majority baseline had ROC AUC 0.500 and balanced accuracy 0.500. Extra Trees also had the highest mean cross-validated average precision and balanced accuracy among the compared models.</w:t>
      </w:r>
    </w:p>
    <w:p>
      <w:pPr>
        <w:spacing w:after="120" w:line="480" w:lineRule="auto"/>
      </w:pPr>
      <w:r>
        <w:t xml:space="preserve">Third, on the single untouched test split, Extra Trees classified 38 of 42 cases correctly. It missed one of 22 mines and generated three false alarms among 20 rocks. The resulting 90.5% accuracy, 90.2% balanced accuracy, 95.5% mine recall, and 87.5% mine precision show promising benchmark performance. However, the test sample is small, so one or two cases materially change these percentages.</w:t>
      </w:r>
    </w:p>
    <w:p>
      <w:pPr>
        <w:spacing w:after="120" w:line="480" w:lineRule="auto"/>
      </w:pPr>
      <w:r>
        <w:t xml:space="preserve">Fourth, permutation analysis placed bands 12, 37, 27, 16, and 31 near the top of the ranking. Feature correlation and limited test size prevent strong claims about individual band effects. The findings are predictive, not causal.</w:t>
      </w:r>
    </w:p>
    <w:p>
      <w:pPr>
        <w:pStyle w:val="Heading2"/>
        <w:spacing w:after="120" w:line="480" w:lineRule="auto"/>
      </w:pPr>
      <w:r>
        <w:t xml:space="preserve">5.2 Conclusion</w:t>
      </w:r>
    </w:p>
    <w:p>
      <w:pPr>
        <w:spacing w:after="120" w:line="480" w:lineRule="auto"/>
      </w:pPr>
      <w:r>
        <w:t xml:space="preserve">The project demonstrates a reproducible machine-learning approach to classifying rock and mine sonar returns. The separation of model selection from final testing, the use of a scaler within an SVC pipeline, and the reporting of several complementary metrics strengthen the analysis. In this run, Extra Trees provided the best cross-validated ROC AUC and strong test performance. The evidence is sufficient to conclude that these methods can learn useful patterns in this benchmark dataset. It is insufficient to claim reliable real-world mine detection. Larger, independent, and more representative data, uncertainty analysis, and operational cost assessment are necessary before such a model could support decisions.</w:t>
      </w:r>
    </w:p>
    <w:p>
      <w:pPr>
        <w:pStyle w:val="Heading1"/>
        <w:spacing w:after="120" w:line="480" w:lineRule="auto"/>
      </w:pPr>
      <w:r>
        <w:t xml:space="preserve">CHAPTER 6. RECOMMENDATIONS AND LIMITATIONS OF THE STUDY</w:t>
      </w:r>
    </w:p>
    <w:p>
      <w:pPr>
        <w:pStyle w:val="Heading2"/>
        <w:spacing w:after="120" w:line="480" w:lineRule="auto"/>
      </w:pPr>
      <w:r>
        <w:t xml:space="preserve">6.1 Recommendations</w:t>
      </w:r>
    </w:p>
    <w:p>
      <w:pPr>
        <w:spacing w:after="120" w:line="480" w:lineRule="auto"/>
      </w:pPr>
      <w:r>
        <w:t xml:space="preserve">1. Collect a larger dataset across multiple locations, sensors, operators, target orientations, ranges, and environmental conditions.</w:t>
      </w:r>
    </w:p>
    <w:p>
      <w:pPr>
        <w:spacing w:after="120" w:line="480" w:lineRule="auto"/>
      </w:pPr>
      <w:r>
        <w:t xml:space="preserve">2. Preserve a genuinely independent, preferably site- or session-based test set to assess distribution shift.</w:t>
      </w:r>
    </w:p>
    <w:p>
      <w:pPr>
        <w:spacing w:after="120" w:line="480" w:lineRule="auto"/>
      </w:pPr>
      <w:r>
        <w:t xml:space="preserve">3. Repeat model evaluation across multiple stratified splits or use nested cross-validation to estimate uncertainty in model selection.</w:t>
      </w:r>
    </w:p>
    <w:p>
      <w:pPr>
        <w:spacing w:after="120" w:line="480" w:lineRule="auto"/>
      </w:pPr>
      <w:r>
        <w:t xml:space="preserve">4. Report confidence intervals for performance metrics, for example using bootstrap resampling of independent test observations.</w:t>
      </w:r>
    </w:p>
    <w:p>
      <w:pPr>
        <w:spacing w:after="120" w:line="480" w:lineRule="auto"/>
      </w:pPr>
      <w:r>
        <w:t xml:space="preserve">5. Define the relative consequences of a missed mine and a false alarm before choosing an operating threshold.</w:t>
      </w:r>
    </w:p>
    <w:p>
      <w:pPr>
        <w:spacing w:after="120" w:line="480" w:lineRule="auto"/>
      </w:pPr>
      <w:r>
        <w:t xml:space="preserve">6. Select thresholds using training-only cross-validation, then evaluate the chosen policy on fresh data.</w:t>
      </w:r>
    </w:p>
    <w:p>
      <w:pPr>
        <w:spacing w:after="120" w:line="480" w:lineRule="auto"/>
      </w:pPr>
      <w:r>
        <w:t xml:space="preserve">7. Calibrate predicted probabilities if users need interpretable likelihoods; assess calibration on independent data.</w:t>
      </w:r>
    </w:p>
    <w:p>
      <w:pPr>
        <w:spacing w:after="120" w:line="480" w:lineRule="auto"/>
      </w:pPr>
      <w:r>
        <w:t xml:space="preserve">8. Compare additional methods only under a pre-specified validation design and retain a simple baseline for context.</w:t>
      </w:r>
    </w:p>
    <w:p>
      <w:pPr>
        <w:spacing w:after="120" w:line="480" w:lineRule="auto"/>
      </w:pPr>
      <w:r>
        <w:t xml:space="preserve">9. Investigate correlated frequency bands and group-level importance rather than over-interpreting a single feature ranking.</w:t>
      </w:r>
    </w:p>
    <w:p>
      <w:pPr>
        <w:spacing w:after="120" w:line="480" w:lineRule="auto"/>
      </w:pPr>
      <w:r>
        <w:t xml:space="preserve">10. Record dataset provenance, preprocessing, software versions, random seeds, parameter grids, and evaluation results.</w:t>
      </w:r>
    </w:p>
    <w:p>
      <w:pPr>
        <w:spacing w:after="120" w:line="480" w:lineRule="auto"/>
      </w:pPr>
      <w:r>
        <w:t xml:space="preserve">11. Keep a qualified human reviewer in the decision loop for any safety-relevant use and document model failure cases.</w:t>
      </w:r>
    </w:p>
    <w:p>
      <w:pPr>
        <w:spacing w:after="120" w:line="480" w:lineRule="auto"/>
      </w:pPr>
      <w:r>
        <w:t xml:space="preserve">12. Monitor performance after deployment and define retraining and rollback criteria before operational use.</w:t>
      </w:r>
    </w:p>
    <w:p>
      <w:pPr>
        <w:pStyle w:val="Heading2"/>
        <w:spacing w:after="120" w:line="480" w:lineRule="auto"/>
      </w:pPr>
      <w:r>
        <w:t xml:space="preserve">6.2 Limitations of the study</w:t>
      </w:r>
    </w:p>
    <w:p>
      <w:pPr>
        <w:spacing w:after="120" w:line="480" w:lineRule="auto"/>
      </w:pPr>
      <w:r>
        <w:t xml:space="preserve">1. The sample contains only 208 records, producing substantial uncertainty in cross-validation and test metrics.</w:t>
      </w:r>
    </w:p>
    <w:p>
      <w:pPr>
        <w:spacing w:after="120" w:line="480" w:lineRule="auto"/>
      </w:pPr>
      <w:r>
        <w:t xml:space="preserve">2. Only one train/test split was used; results may vary with a different random partition.</w:t>
      </w:r>
    </w:p>
    <w:p>
      <w:pPr>
        <w:spacing w:after="120" w:line="480" w:lineRule="auto"/>
      </w:pPr>
      <w:r>
        <w:t xml:space="preserve">3. The benchmark has two classes and does not represent the full diversity of underwater objects or ambiguous returns.</w:t>
      </w:r>
    </w:p>
    <w:p>
      <w:pPr>
        <w:spacing w:after="120" w:line="480" w:lineRule="auto"/>
      </w:pPr>
      <w:r>
        <w:t xml:space="preserve">4. The available file contains frequency-band features but limited acquisition metadata, constraining analysis of environmental and sensor effects.</w:t>
      </w:r>
    </w:p>
    <w:p>
      <w:pPr>
        <w:spacing w:after="120" w:line="480" w:lineRule="auto"/>
      </w:pPr>
      <w:r>
        <w:t xml:space="preserve">5. The test set contains only 42 cases; one error changes test accuracy by about 2.4 percentage points.</w:t>
      </w:r>
    </w:p>
    <w:p>
      <w:pPr>
        <w:spacing w:after="120" w:line="480" w:lineRule="auto"/>
      </w:pPr>
      <w:r>
        <w:t xml:space="preserve">6. Hyperparameter selection among several candidates can produce optimistic cross-validation estimates, especially on small datasets.</w:t>
      </w:r>
    </w:p>
    <w:p>
      <w:pPr>
        <w:spacing w:after="120" w:line="480" w:lineRule="auto"/>
      </w:pPr>
      <w:r>
        <w:t xml:space="preserve">7. Permutation importance may be unstable and diluted across correlated frequency bands.</w:t>
      </w:r>
    </w:p>
    <w:p>
      <w:pPr>
        <w:spacing w:after="120" w:line="480" w:lineRule="auto"/>
      </w:pPr>
      <w:r>
        <w:t xml:space="preserve">8. The study does not evaluate probability calibration, operational thresholds, external validity, or a live sensing system.</w:t>
      </w:r>
    </w:p>
    <w:p>
      <w:pPr>
        <w:pStyle w:val="Heading1"/>
        <w:spacing w:after="120" w:line="480" w:lineRule="auto"/>
      </w:pPr>
      <w:r>
        <w:t xml:space="preserve">BIBLIOGRAPHY / REFERENCES</w:t>
      </w:r>
    </w:p>
    <w:p>
      <w:pPr>
        <w:spacing w:after="120" w:line="480" w:lineRule="auto"/>
      </w:pPr>
      <w:r>
        <w:t xml:space="preserve">Gorman, R. P., &amp; Sejnowski, T. J. (1988). Analysis of hidden units in a layered network trained to classify sonar targets. Neural Networks, 1(1), 75–89. https://doi.org/10.1016/0893-6080(88)90023-8</w:t>
      </w:r>
    </w:p>
    <w:p>
      <w:pPr>
        <w:spacing w:after="120" w:line="480" w:lineRule="auto"/>
      </w:pPr>
      <w:r>
        <w:t xml:space="preserve">Sejnowski, T., &amp; Gorman, R. (1988). Connectionist Bench (Sonar, Mines vs. Rocks) [Dataset]. UCI Machine Learning Repository. https://doi.org/10.24432/C5T01Q</w:t>
      </w:r>
    </w:p>
    <w:p>
      <w:pPr>
        <w:spacing w:after="120" w:line="480" w:lineRule="auto"/>
      </w:pPr>
      <w:r>
        <w:t xml:space="preserve">scikit-learn developers. (n.d.). Cross-validation: evaluating estimator performance. scikit-learn user guide. https://scikit-learn.org/stable/modules/cross_validation.html</w:t>
      </w:r>
    </w:p>
    <w:p>
      <w:pPr>
        <w:spacing w:after="120" w:line="480" w:lineRule="auto"/>
      </w:pPr>
      <w:r>
        <w:t xml:space="preserve">scikit-learn developers. (n.d.). Permutation feature importance. scikit-learn user guide. https://scikit-learn.org/stable/modules/permutation_importance.html</w:t>
      </w:r>
    </w:p>
    <w:p>
      <w:pPr>
        <w:pStyle w:val="Heading1"/>
        <w:spacing w:after="120" w:line="480" w:lineRule="auto"/>
      </w:pPr>
      <w:r>
        <w:t xml:space="preserve">APPENDIX A. REPRODUCIBILITY DETAILS</w:t>
      </w:r>
    </w:p>
    <w:tbl>
      <w:tblPr>
        <w:tblBorders>
          <w:top w:val="single" w:sz="4"/>
          <w:left w:val="single" w:sz="4"/>
          <w:bottom w:val="single" w:sz="4"/>
          <w:right w:val="single" w:sz="4"/>
          <w:insideH w:val="single" w:sz="4"/>
          <w:insideV w:val="single" w:sz="4"/>
        </w:tblBorders>
      </w:tblPr>
      <w:tr>
        <w:tc>
          <w:tcPr>
            <w:shd w:fill="D9EAF7"/>
            <w:tcW w:w="2200" w:type="dxa"/>
          </w:tcPr>
          <w:p>
            <w:pPr>
              <w:spacing w:after="60" w:line="300"/>
            </w:pPr>
            <w:r>
              <w:rPr>
                <w:b/>
              </w:rPr>
              <w:t xml:space="preserve">Item</w:t>
            </w:r>
          </w:p>
        </w:tc>
        <w:tc>
          <w:tcPr>
            <w:shd w:fill="D9EAF7"/>
            <w:tcW w:w="2200" w:type="dxa"/>
          </w:tcPr>
          <w:p>
            <w:pPr>
              <w:spacing w:after="60" w:line="300"/>
            </w:pPr>
            <w:r>
              <w:rPr>
                <w:b/>
              </w:rPr>
              <w:t xml:space="preserve">Setting</w:t>
            </w:r>
          </w:p>
        </w:tc>
      </w:tr>
      <w:tr>
        <w:tc>
          <w:tcPr>
            <w:tcW w:w="2200" w:type="dxa"/>
          </w:tcPr>
          <w:p>
            <w:pPr>
              <w:spacing w:after="60" w:line="300"/>
            </w:pPr>
            <w:r>
              <w:t xml:space="preserve">Input file</w:t>
            </w:r>
          </w:p>
        </w:tc>
        <w:tc>
          <w:tcPr>
            <w:tcW w:w="2200" w:type="dxa"/>
          </w:tcPr>
          <w:p>
            <w:pPr>
              <w:spacing w:after="60" w:line="300"/>
            </w:pPr>
            <w:r>
              <w:t xml:space="preserve">solar_classification.ipynb/sonar_data.csv</w:t>
            </w:r>
          </w:p>
        </w:tc>
      </w:tr>
      <w:tr>
        <w:tc>
          <w:tcPr>
            <w:tcW w:w="2200" w:type="dxa"/>
          </w:tcPr>
          <w:p>
            <w:pPr>
              <w:spacing w:after="60" w:line="300"/>
            </w:pPr>
            <w:r>
              <w:t xml:space="preserve">Target mapping</w:t>
            </w:r>
          </w:p>
        </w:tc>
        <w:tc>
          <w:tcPr>
            <w:tcW w:w="2200" w:type="dxa"/>
          </w:tcPr>
          <w:p>
            <w:pPr>
              <w:spacing w:after="60" w:line="300"/>
            </w:pPr>
            <w:r>
              <w:t xml:space="preserve">R → 0 (Rock); M → 1 (Mine)</w:t>
            </w:r>
          </w:p>
        </w:tc>
      </w:tr>
      <w:tr>
        <w:tc>
          <w:tcPr>
            <w:tcW w:w="2200" w:type="dxa"/>
          </w:tcPr>
          <w:p>
            <w:pPr>
              <w:spacing w:after="60" w:line="300"/>
            </w:pPr>
            <w:r>
              <w:t xml:space="preserve">Train/test split</w:t>
            </w:r>
          </w:p>
        </w:tc>
        <w:tc>
          <w:tcPr>
            <w:tcW w:w="2200" w:type="dxa"/>
          </w:tcPr>
          <w:p>
            <w:pPr>
              <w:spacing w:after="60" w:line="300"/>
            </w:pPr>
            <w:r>
              <w:t xml:space="preserve">80:20, stratified, random_state=42</w:t>
            </w:r>
          </w:p>
        </w:tc>
      </w:tr>
      <w:tr>
        <w:tc>
          <w:tcPr>
            <w:tcW w:w="2200" w:type="dxa"/>
          </w:tcPr>
          <w:p>
            <w:pPr>
              <w:spacing w:after="60" w:line="300"/>
            </w:pPr>
            <w:r>
              <w:t xml:space="preserve">Cross-validation</w:t>
            </w:r>
          </w:p>
        </w:tc>
        <w:tc>
          <w:tcPr>
            <w:tcW w:w="2200" w:type="dxa"/>
          </w:tcPr>
          <w:p>
            <w:pPr>
              <w:spacing w:after="60" w:line="300"/>
            </w:pPr>
            <w:r>
              <w:t xml:space="preserve">StratifiedKFold, 5 folds, shuffle=True, random_state=42</w:t>
            </w:r>
          </w:p>
        </w:tc>
      </w:tr>
      <w:tr>
        <w:tc>
          <w:tcPr>
            <w:tcW w:w="2200" w:type="dxa"/>
          </w:tcPr>
          <w:p>
            <w:pPr>
              <w:spacing w:after="60" w:line="300"/>
            </w:pPr>
            <w:r>
              <w:t xml:space="preserve">Primary selection metric</w:t>
            </w:r>
          </w:p>
        </w:tc>
        <w:tc>
          <w:tcPr>
            <w:tcW w:w="2200" w:type="dxa"/>
          </w:tcPr>
          <w:p>
            <w:pPr>
              <w:spacing w:after="60" w:line="300"/>
            </w:pPr>
            <w:r>
              <w:t xml:space="preserve">ROC AUC</w:t>
            </w:r>
          </w:p>
        </w:tc>
      </w:tr>
      <w:tr>
        <w:tc>
          <w:tcPr>
            <w:tcW w:w="2200" w:type="dxa"/>
          </w:tcPr>
          <w:p>
            <w:pPr>
              <w:spacing w:after="60" w:line="300"/>
            </w:pPr>
            <w:r>
              <w:t xml:space="preserve">SVC search</w:t>
            </w:r>
          </w:p>
        </w:tc>
        <w:tc>
          <w:tcPr>
            <w:tcW w:w="2200" w:type="dxa"/>
          </w:tcPr>
          <w:p>
            <w:pPr>
              <w:spacing w:after="60" w:line="300"/>
            </w:pPr>
            <w:r>
              <w:t xml:space="preserve">C: 0.1, 1, 10, 100; gamma: scale, 0.001, 0.01, 0.1; kernel: RBF, linear</w:t>
            </w:r>
          </w:p>
        </w:tc>
      </w:tr>
      <w:tr>
        <w:tc>
          <w:tcPr>
            <w:tcW w:w="2200" w:type="dxa"/>
          </w:tcPr>
          <w:p>
            <w:pPr>
              <w:spacing w:after="60" w:line="300"/>
            </w:pPr>
            <w:r>
              <w:t xml:space="preserve">Forest models</w:t>
            </w:r>
          </w:p>
        </w:tc>
        <w:tc>
          <w:tcPr>
            <w:tcW w:w="2200" w:type="dxa"/>
          </w:tcPr>
          <w:p>
            <w:pPr>
              <w:spacing w:after="60" w:line="300"/>
            </w:pPr>
            <w:r>
              <w:t xml:space="preserve">500 trees; class_weight=balanced; random_state=42</w:t>
            </w:r>
          </w:p>
        </w:tc>
      </w:tr>
      <w:tr>
        <w:tc>
          <w:tcPr>
            <w:tcW w:w="2200" w:type="dxa"/>
          </w:tcPr>
          <w:p>
            <w:pPr>
              <w:spacing w:after="60" w:line="300"/>
            </w:pPr>
            <w:r>
              <w:t xml:space="preserve">Permutation importance</w:t>
            </w:r>
          </w:p>
        </w:tc>
        <w:tc>
          <w:tcPr>
            <w:tcW w:w="2200" w:type="dxa"/>
          </w:tcPr>
          <w:p>
            <w:pPr>
              <w:spacing w:after="60" w:line="300"/>
            </w:pPr>
            <w:r>
              <w:t xml:space="preserve">ROC AUC; 30 repeats; random_state=42</w:t>
            </w:r>
          </w:p>
        </w:tc>
      </w:tr>
      <w:tr>
        <w:tc>
          <w:tcPr>
            <w:tcW w:w="2200" w:type="dxa"/>
          </w:tcPr>
          <w:p>
            <w:pPr>
              <w:spacing w:after="60" w:line="300"/>
            </w:pPr>
            <w:r>
              <w:t xml:space="preserve">Selected model</w:t>
            </w:r>
          </w:p>
        </w:tc>
        <w:tc>
          <w:tcPr>
            <w:tcW w:w="2200" w:type="dxa"/>
          </w:tcPr>
          <w:p>
            <w:pPr>
              <w:spacing w:after="60" w:line="300"/>
            </w:pPr>
            <w:r>
              <w:t xml:space="preserve">ExtraTreesClassifier</w:t>
            </w:r>
          </w:p>
        </w:tc>
      </w:tr>
    </w:tbl>
    <w:p>
      <w:pPr>
        <w:spacing w:after="120" w:line="480" w:lineRule="auto"/>
      </w:pPr>
      <w:r>
        <w:t xml:space="preserve">The reported numeric results were produced using the above protocol and the notebook’s candidate-model definitions. Re-running with different package versions may result in small numerical differences. Personal identity, degree programme, guide, and academic-year fields on the front matter must be completed by the student and guide.</w:t>
      </w:r>
    </w:p>
    <w:sectPr>
      <w:pgSz w:w="12240" w:h="15840"/>
      <w:pgMar w:top="1440" w:right="1440" w:bottom="1440" w:left="1440"/>
      <w:cols w:space="720"/>
    </w:sectPr>
  </w:body>
</w:document>
</file>

<file path=word/styles.xml><?xml version="1.0" encoding="utf-8"?>
<w:styles xmlns:w="http://schemas.openxmlformats.org/wordprocessingml/2006/main">
  <w:docDefaults>
    <w:rPrDefault>
      <w:rPr>
        <w:rFonts w:ascii="Times New Roman" w:hAnsi="Times New Roman" w:eastAsia="Times New Roman"/>
        <w:sz w:val="24"/>
      </w:rPr>
    </w:rPrDefault>
    <w:pPrDefault>
      <w:pPr>
        <w:spacing w:line="480" w:lineRule="auto"/>
      </w:pPr>
    </w:pPrDefault>
  </w:docDefaults>
  <w:style w:type="paragraph" w:default="1" w:styleId="Normal">
    <w:name w:val="Normal"/>
  </w:style>
  <w:style w:type="paragraph" w:styleId="Heading1">
    <w:name w:val="heading 1"/>
    <w:basedOn w:val="Normal"/>
    <w:pPr>
      <w:keepNext/>
      <w:spacing w:before="360" w:after="180"/>
    </w:pPr>
    <w:rPr>
      <w:b/>
      <w:sz w:val="28"/>
    </w:rPr>
  </w:style>
  <w:style w:type="paragraph" w:styleId="Heading2">
    <w:name w:val="heading 2"/>
    <w:basedOn w:val="Normal"/>
    <w:pPr>
      <w:keepNext/>
      <w:spacing w:before="240" w:after="120"/>
    </w:pPr>
    <w:rPr>
      <w:b/>
      <w:sz w:val="2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