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D87C" w14:textId="77777777" w:rsidR="007C6ECC" w:rsidRDefault="007C6ECC"/>
    <w:p w14:paraId="2371D428" w14:textId="77777777" w:rsidR="007C6ECC" w:rsidRDefault="00000000">
      <w:pPr>
        <w:spacing w:before="800" w:after="240"/>
        <w:jc w:val="center"/>
      </w:pPr>
      <w:r>
        <w:rPr>
          <w:b/>
          <w:color w:val="1A6B3C"/>
          <w:sz w:val="36"/>
        </w:rPr>
        <w:t>Explainable AI in Computer Vision for Agricultural Disease</w:t>
      </w:r>
      <w:r>
        <w:rPr>
          <w:b/>
          <w:color w:val="1A6B3C"/>
          <w:sz w:val="36"/>
        </w:rPr>
        <w:br/>
        <w:t>and Pest Detection: A Systematic Review of Methods,</w:t>
      </w:r>
      <w:r>
        <w:rPr>
          <w:b/>
          <w:color w:val="1A6B3C"/>
          <w:sz w:val="36"/>
        </w:rPr>
        <w:br/>
        <w:t>Trends, and Future Directions</w:t>
      </w:r>
    </w:p>
    <w:p w14:paraId="60E4C477" w14:textId="77777777" w:rsidR="007C6ECC" w:rsidRDefault="00000000">
      <w:pPr>
        <w:spacing w:after="480"/>
        <w:jc w:val="center"/>
      </w:pPr>
      <w:r>
        <w:rPr>
          <w:i/>
          <w:sz w:val="26"/>
        </w:rPr>
        <w:t>A Systematic Literature Review (2017–2026)</w:t>
      </w:r>
    </w:p>
    <w:p w14:paraId="43520370" w14:textId="77777777" w:rsidR="007C6ECC" w:rsidRDefault="00000000">
      <w:pPr>
        <w:jc w:val="center"/>
      </w:pPr>
      <w:r>
        <w:t>Manuscript Type: Systematic Review</w:t>
      </w:r>
    </w:p>
    <w:p w14:paraId="3C5AC358" w14:textId="77777777" w:rsidR="007C6ECC" w:rsidRDefault="00000000">
      <w:pPr>
        <w:jc w:val="center"/>
      </w:pPr>
      <w:r>
        <w:t>Target Journal: Computers and Electronics in Agriculture / Expert Systems with Applications</w:t>
      </w:r>
    </w:p>
    <w:p w14:paraId="0104D0C7" w14:textId="77777777" w:rsidR="007C6ECC" w:rsidRDefault="00000000">
      <w:pPr>
        <w:jc w:val="center"/>
      </w:pPr>
      <w:r>
        <w:t>Subject Category: Artificial Intelligence | Precision Agriculture | Computer Vision</w:t>
      </w:r>
    </w:p>
    <w:p w14:paraId="30CA128C" w14:textId="77777777" w:rsidR="007C6ECC" w:rsidRDefault="00000000">
      <w:r>
        <w:br w:type="page"/>
      </w:r>
    </w:p>
    <w:p w14:paraId="53365DCD" w14:textId="77777777" w:rsidR="007C6ECC" w:rsidRDefault="00000000">
      <w:pPr>
        <w:pStyle w:val="Heading1"/>
        <w:spacing w:before="320" w:after="120"/>
      </w:pPr>
      <w:r>
        <w:rPr>
          <w:color w:val="1A6B3C"/>
        </w:rPr>
        <w:lastRenderedPageBreak/>
        <w:t>Abstract</w:t>
      </w:r>
    </w:p>
    <w:p w14:paraId="67B957C0" w14:textId="77777777" w:rsidR="007C6ECC" w:rsidRDefault="00000000">
      <w:pPr>
        <w:spacing w:after="160"/>
        <w:jc w:val="both"/>
      </w:pPr>
      <w:r>
        <w:t xml:space="preserve">Background: The intersection of Explainable Artificial Intelligence (XAI) and computer vision has emerged as a transformative paradigm in precision agriculture, specifically in the domain of plant disease and pest detection. While deep learning models such as Convolutional Neural Networks (CNNs), Vision Transformers (ViTs), and YOLO-based object detectors have achieved remarkable diagnostic accuracy, their inherent opacity—the 'black-box' problem—has severely constrained trust, adoption, and regulatory compliance in real-world agricultural settings. Objective: This systematic review critically synthesises the state-of-the-art literature on XAI techniques integrated with computer vision models for agricultural pest and disease detection, covering publications from 2017 to 2026. The review investigates five analytically formulated research questions concerning deep learning architectures, XAI taxonomies, biological validation, deployment challenges, and emerging standards for XAI evaluation. Methods: A structured literature search </w:t>
      </w:r>
      <w:proofErr w:type="gramStart"/>
      <w:r>
        <w:t>was conducted</w:t>
      </w:r>
      <w:proofErr w:type="gramEnd"/>
      <w:r>
        <w:t xml:space="preserve"> across IEEE Xplore, ScienceDirect, Scopus, Web of Science, and Google Scholar using PRISMA (Preferred Reporting Items for Systematic Reviews and Meta-Analyses) guidelines. After rigorous screening, a total of 161 peer-reviewed articles </w:t>
      </w:r>
      <w:proofErr w:type="gramStart"/>
      <w:r>
        <w:t>were included</w:t>
      </w:r>
      <w:proofErr w:type="gramEnd"/>
      <w:r>
        <w:t xml:space="preserve"> in the qualitative synthesis. Results: Grad-CAM and its variants dominate the XAI landscape (34%), followed by LIME (21%) and SHAP (16%). YOLOv5–v8 architectures and ResNet families constitute the most frequently employed DL backbones. The review reveals persistent methodological gaps including the absence of standardised XAI evaluation metrics, over-reliance on controlled laboratory datasets, and limited human-in-the-loop (HITL) validation frameworks. Conclusions: A unified evaluation framework for agricultural XAI systems </w:t>
      </w:r>
      <w:proofErr w:type="gramStart"/>
      <w:r>
        <w:t>is urgently needed</w:t>
      </w:r>
      <w:proofErr w:type="gramEnd"/>
      <w:r>
        <w:t>. Future research must prioritise edge-deployable explainable models, multimodal sensor fusion with spectral XAI attribution, and neuro-symbolic integration to bridge the gap between computational intelligence and agronomic practice. This review provides a comprehensive roadmap for researchers and practitioners navigating the evolving landscape of trustworthy AI in agriculture.</w:t>
      </w:r>
    </w:p>
    <w:p w14:paraId="4C6853D7" w14:textId="77777777" w:rsidR="007C6ECC" w:rsidRDefault="00000000">
      <w:pPr>
        <w:spacing w:after="160"/>
      </w:pPr>
      <w:r>
        <w:rPr>
          <w:b/>
        </w:rPr>
        <w:t xml:space="preserve">Keywords: </w:t>
      </w:r>
      <w:r>
        <w:t>Explainable Artificial Intelligence; Computer Vision; Agricultural Disease Detection; Pest Identification; Grad-CAM; LIME; SHAP; Vision Transformers; Precision Agriculture; Deep Learning; Systematic Review; Human-in-the-Loop</w:t>
      </w:r>
    </w:p>
    <w:p w14:paraId="596538F1" w14:textId="77777777" w:rsidR="007C6ECC" w:rsidRDefault="00000000">
      <w:r>
        <w:br w:type="page"/>
      </w:r>
    </w:p>
    <w:p w14:paraId="1B466D97" w14:textId="77777777" w:rsidR="007C6ECC" w:rsidRDefault="00000000">
      <w:pPr>
        <w:pStyle w:val="Heading1"/>
        <w:spacing w:before="320" w:after="120"/>
      </w:pPr>
      <w:r>
        <w:rPr>
          <w:color w:val="1A6B3C"/>
        </w:rPr>
        <w:lastRenderedPageBreak/>
        <w:t>1. Introduction</w:t>
      </w:r>
    </w:p>
    <w:p w14:paraId="77E6ECE1" w14:textId="77777777" w:rsidR="007C6ECC" w:rsidRDefault="00000000">
      <w:pPr>
        <w:ind w:firstLine="360"/>
        <w:jc w:val="both"/>
      </w:pPr>
      <w:r>
        <w:t xml:space="preserve">Global food security stands as one of the most formidable challenges of the twenty-first century. The United Nations Food and Agriculture Organization (FAO) estimates that plant diseases and pests cause annual crop yield losses ranging from 20% to 40% worldwide, translating into economic losses exceeding USD 220 billion annually (FAO, 2021). These losses disproportionately affect smallholder farmers in low- and middle-income countries, exacerbating rural poverty and threatening food sovereignty. As the global population </w:t>
      </w:r>
      <w:proofErr w:type="gramStart"/>
      <w:r>
        <w:t>is projected</w:t>
      </w:r>
      <w:proofErr w:type="gramEnd"/>
      <w:r>
        <w:t xml:space="preserve"> to surpass 9.7 billion by 2050, the imperative to produce more food with fewer resources and under the growing pressures of climate change has accelerated the adoption of Precision Agriculture (PA) technologies (Liakos et al., 2018). Within the PA ecosystem, Computer Vision (CV) has emerged as a cornerstone technology, enabling automated, non-invasive, and scalable detection of biotic stressors—including fungal pathogens, bacterial infections, viral diseases, and arthropod pests—directly in the field or through drone-captured imagery (Kamilaris &amp; Prenafeta-Boldú, 2018). The proliferation of low-cost multispectral sensors, thermal cameras, and high-resolution RGB imaging systems mounted on unmanned aerial vehicles (UAVs) has provided unprecedented volumes of plant phenotyping data, catalysing a new era of data-driven crop health management (Peng et al., 2021).</w:t>
      </w:r>
    </w:p>
    <w:p w14:paraId="711A6853" w14:textId="77777777" w:rsidR="007C6ECC" w:rsidRDefault="00000000">
      <w:pPr>
        <w:ind w:firstLine="360"/>
        <w:jc w:val="both"/>
      </w:pPr>
      <w:r>
        <w:t xml:space="preserve">The deep learning revolution, heralded by the seminal work of LeCun, Bengio, and Hinton (2015), fundamentally transformed the field of computer vision. Architectures such as VGGNet (Simonyan &amp; Zisserman, 2014), ResNet (He et al., 2016), EfficientNet (Tan &amp; Le, 2019), and MobileNetV2 (Sandler et al., 2018) achieved superhuman performance on image classification benchmarks and were rapidly adapted for plant disease diagnosis. Mohanty, Hughes, and Salathé (2016) demonstrated that a CNN trained on the PlantVillage dataset—comprising 54,306 labelled images across </w:t>
      </w:r>
      <w:proofErr w:type="gramStart"/>
      <w:r>
        <w:t>38</w:t>
      </w:r>
      <w:proofErr w:type="gramEnd"/>
      <w:r>
        <w:t xml:space="preserve"> disease categories—could achieve over 99% classification accuracy under controlled conditions, igniting global research interest. The subsequent introduction of object detection frameworks—most notably the You Only Look Once (YOLO) family (Redmon et al., 2016; Bochkovskiy et al., 2020; Wang et al., 2023)—enabled real-time, bounding-box-level localisation of pests and lesions in complex agricultural scenes. More recently, the Vision Transformer (ViT) architecture (Dosovitskiy et al., 2020) and its hierarchical variants such as the Swin Transformer (Liu et al., 2021) have demonstrated superior performance on fine-grained agricultural classification tasks by capturing long-range spatial dependencies through self-attention mechanisms. Despite this remarkable progress, a fundamental and deeply consequential problem </w:t>
      </w:r>
      <w:proofErr w:type="gramStart"/>
      <w:r>
        <w:t>persists:</w:t>
      </w:r>
      <w:proofErr w:type="gramEnd"/>
      <w:r>
        <w:t xml:space="preserve"> modern deep learning models operate as opaque 'black boxes.' The internal representations and decision pathways of these </w:t>
      </w:r>
      <w:proofErr w:type="gramStart"/>
      <w:r>
        <w:t>models—</w:t>
      </w:r>
      <w:proofErr w:type="gramEnd"/>
      <w:r>
        <w:t xml:space="preserve">the weights, activations, and attention patterns that collectively determine a prediction—remain </w:t>
      </w:r>
      <w:proofErr w:type="gramStart"/>
      <w:r>
        <w:t>largely inscrutable</w:t>
      </w:r>
      <w:proofErr w:type="gramEnd"/>
      <w:r>
        <w:t xml:space="preserve"> to the human experts who must act upon them. Consider a scenario where a ResNet-50 model predicts 'Late Blight' on a potato leaf with 99.2% confidence. A critical question immediately arises: Is the model identifying the characteristic water-soaked lesions with white sporulation on the underside of the leaf—the genuine biological signature of Phytophthora infestans? Or is it inadvertently exploiting a spurious correlation, such as the consistent appearance of diseased leaves photographed against a dark background in a greenhouse, or the inadvertent presence of the researcher's fingers holding the leaf specimen? This ambiguity is not merely academic. When a model that achieves 99% accuracy on a test set fails catastrophically upon deployment in open fields—due to different lighting conditions, weed interference, dew on leaves, or shadows—agronomists and farmers lose confidence in the system entirely. The phenomenon </w:t>
      </w:r>
      <w:proofErr w:type="gramStart"/>
      <w:r>
        <w:t>is encapsulated</w:t>
      </w:r>
      <w:proofErr w:type="gramEnd"/>
      <w:r>
        <w:t xml:space="preserve"> by the 'Clever Hans' effect, wherein a model </w:t>
      </w:r>
      <w:proofErr w:type="gramStart"/>
      <w:r>
        <w:t>appears to solve</w:t>
      </w:r>
      <w:proofErr w:type="gramEnd"/>
      <w:r>
        <w:t xml:space="preserve"> a task correctly but does so for entirely wrong reasons (Lapuschkin et al., 2019). In high-stakes agricultural decisions—such as whether to apply a costly fungicide treatment </w:t>
      </w:r>
      <w:r>
        <w:lastRenderedPageBreak/>
        <w:t>across hundreds of hectares—a model that cannot justify its prediction is not a decision support tool; it is a liability. The black-box problem, therefore, directly impedes the translation of laboratory-grade AI performance into real-world agricultural utility.</w:t>
      </w:r>
    </w:p>
    <w:p w14:paraId="1D212A45" w14:textId="77777777" w:rsidR="007C6ECC" w:rsidRDefault="00000000">
      <w:pPr>
        <w:ind w:firstLine="360"/>
        <w:jc w:val="both"/>
      </w:pPr>
      <w:r>
        <w:t xml:space="preserve">Explainable Artificial Intelligence (XAI) has emerged as the scientific response to the opacity of deep learning systems. The field, formally catalysed by the DARPA Explainable AI Programme (Gunning et al., 2019), encompasses a diverse set of methods and frameworks designed to make AI model predictions interpretable, transparent, and accountable to human stakeholders. In the context of agricultural computer vision, XAI serves a dual function: first, it provides technical transparency by revealing which image features—pixels, patches, spectral bands, or morphological structures—drove a particular prediction; second, it provides biological validation by confirming that the identified features correspond to genuine pathogenic symptoms, thereby bridging the epistemic gap between computational statistics and plant pathology. Gradient-weighted Class Activation Mapping (Grad-CAM), introduced by Selvaraju et al. (2017), generates saliency heatmaps that visually overlay the model's discriminative regions on the input image. Local Interpretable Model-Agnostic Explanations (LIME), developed by Ribeiro, Singh, and Guestrin (2016), constructs a local linear surrogate model around a specific prediction, identifying which superpixels of a leaf image most influenced the classification outcome. SHapley Additive exPlanations (SHAP), grounded in cooperative game theory by Lundberg and Lee (2017), assigns attribution values to each input feature based on its marginal contribution to the prediction across all </w:t>
      </w:r>
      <w:proofErr w:type="gramStart"/>
      <w:r>
        <w:t>possible feature</w:t>
      </w:r>
      <w:proofErr w:type="gramEnd"/>
      <w:r>
        <w:t xml:space="preserve"> coalitions. Together, these and related methods—including Score-CAM (Wang et al., 2020), Grad-CAM++ (Chattopadhay et al., 2018), Eigen-CAM, Integrated Gradients (Sundararajan et al., 2017), and Testing with Concept Activation Vectors (TCAV; Kim et al., 2018)—constitute a rich and rapidly expanding toolkit for interrogating deep learning models in agricultural applications.</w:t>
      </w:r>
    </w:p>
    <w:p w14:paraId="1C5F651F" w14:textId="77777777" w:rsidR="007C6ECC" w:rsidRDefault="00000000">
      <w:pPr>
        <w:ind w:firstLine="360"/>
        <w:jc w:val="both"/>
      </w:pPr>
      <w:r>
        <w:t>Despite the proliferation of individual studies incorporating XAI into agricultural computer vision systems, the field suffers from a critical absence of synthesised, structured knowledge. Existing reviews either address plant disease detection broadly without a dedicated focus on explainability (Liu &amp; Wang, 2021; Kamilaris &amp; Prenafeta-Boldú, 2018), or they examine XAI methods in generic machine learning contexts without specialised treatment of agricultural computer vision's unique challenges—such as intra-class variability in disease severity, complex field backgrounds, occlusion by overlapping canopies, and the domain expertise required to validate biological relevance of XAI outputs (Adadi &amp; Berrada, 2018; Arrieta et al., 2020). No prior systematic review has simultaneously addressed the full spectrum of XAI taxonomies, their application across diverse agricultural imaging modalities, their biological validation utility, and their readiness for edge deployment in precision agriculture settings. Furthermore, the rapid emergence of Vision Transformers, large-scale foundation models, and multimodal sensor fusion platforms has introduced entirely new categories of XAI challenges that remain unaddressed in existing literature surveys. The growing pressure from regulatory frameworks such as the EU Artificial Intelligence Act (2024) and ISO/IEC 42001 (Artificial Intelligence Management Systems) further underscores the urgency of establishing transparent, auditable AI systems in safety-critical agricultural applications where food safety and ecological balance are at stake.</w:t>
      </w:r>
    </w:p>
    <w:p w14:paraId="12B717C1" w14:textId="77777777" w:rsidR="007C6ECC" w:rsidRDefault="00000000">
      <w:pPr>
        <w:ind w:firstLine="360"/>
        <w:jc w:val="both"/>
      </w:pPr>
      <w:r>
        <w:t xml:space="preserve">This systematic review addresses the above gaps by providing the first comprehensive, PRISMA-guided synthesis of XAI applications in agricultural computer vision for disease and pest detection, spanning the period from 2017 to 2026. The principal contributions of this work are as follows: (i) the formulation of five analytically rigorous research questions that transcend simple descriptive enumeration </w:t>
      </w:r>
      <w:r>
        <w:lastRenderedPageBreak/>
        <w:t>and probe the mechanistic, evaluative, and deployment dimensions of agricultural XAI; (ii) the development of a novel multi-dimensional XAI taxonomy specifically tailored to computer vision pipelines in agricultural settings, extending beyond the standard intrinsic/post-hoc classification to encompass scope, architectural basis, and deployment context; (iii) a thematic synthesis of 161 PRISMA-selected studies organised into four primary application domains—leaf disease classification, pest detection, severity estimation, and advanced multimodal deployment—with cross-cutting critical analysis; (iv) the identification of twelve persistent methodological gaps, including the absence of standardised XAI evaluation protocols, insufficient wild-data validation, and the 'Clever Hans' phenomenon in published models; and (v) a forward-looking research roadmap encompassing Human-in-the-Loop agronomy, edge-XAI frameworks, neuro-symbolic integration, and LLM-augmented explanation generation. The remainder of this paper is organised as follows: Section 2 presents the formulated research questions; Section 3 details the PRISMA methodology; Section 4 develops the XAI taxonomy; Section 5 presents the thematic application synthesis; Section 6 provides a comprehensive discussion of limitations, opportunities, and future directions; and Section 7 concludes the review.</w:t>
      </w:r>
    </w:p>
    <w:p w14:paraId="1516F127" w14:textId="77777777" w:rsidR="007C6ECC" w:rsidRDefault="007C6ECC"/>
    <w:p w14:paraId="2C2E14D3" w14:textId="77777777" w:rsidR="007C6ECC" w:rsidRDefault="00000000">
      <w:pPr>
        <w:spacing w:after="160"/>
        <w:jc w:val="both"/>
      </w:pPr>
      <w:r>
        <w:rPr>
          <w:i/>
        </w:rPr>
        <w:t>[Figure: Figure 1: Annual Publication Trend of XAI in Agricultural Computer Vision (2017–2026). Note the exponential growth phase beginning 2021, coinciding with the widespread adoption of Vision Transformers and the EU AI Act regulatory discussions.]</w:t>
      </w:r>
    </w:p>
    <w:p w14:paraId="7EE1AA35" w14:textId="77777777" w:rsidR="007C6ECC" w:rsidRDefault="00000000">
      <w:r>
        <w:br w:type="page"/>
      </w:r>
    </w:p>
    <w:p w14:paraId="324B9F01" w14:textId="77777777" w:rsidR="007C6ECC" w:rsidRDefault="00000000">
      <w:pPr>
        <w:pStyle w:val="Heading1"/>
        <w:spacing w:before="320" w:after="120"/>
      </w:pPr>
      <w:r>
        <w:rPr>
          <w:color w:val="1A6B3C"/>
        </w:rPr>
        <w:lastRenderedPageBreak/>
        <w:t>2. Research Questions</w:t>
      </w:r>
    </w:p>
    <w:p w14:paraId="1A1FA4A2" w14:textId="77777777" w:rsidR="007C6ECC" w:rsidRDefault="00000000">
      <w:pPr>
        <w:ind w:firstLine="360"/>
        <w:jc w:val="both"/>
      </w:pPr>
      <w:r>
        <w:t xml:space="preserve">The research questions formulated for this systematic review </w:t>
      </w:r>
      <w:proofErr w:type="gramStart"/>
      <w:r>
        <w:t>are designed</w:t>
      </w:r>
      <w:proofErr w:type="gramEnd"/>
      <w:r>
        <w:t xml:space="preserve"> to interrogate the agricultural XAI literature at multiple levels of analytical depth—from technological characterisation and methodological classification, through evaluation rigour and biological validity, to systemic deployment challenges and emerging frontiers. Each question </w:t>
      </w:r>
      <w:proofErr w:type="gramStart"/>
      <w:r>
        <w:t>was developed</w:t>
      </w:r>
      <w:proofErr w:type="gramEnd"/>
      <w:r>
        <w:t xml:space="preserve"> through an iterative consultation process aligned with the Population, Intervention, Comparison, Outcome, and Context (PICOC) framework, adapted for systematic literature reviews in computer science and agricultural engineering.</w:t>
      </w:r>
    </w:p>
    <w:p w14:paraId="4AFBA854" w14:textId="77777777" w:rsidR="007C6ECC" w:rsidRDefault="007C6ECC"/>
    <w:p w14:paraId="33757150" w14:textId="77777777" w:rsidR="007C6ECC" w:rsidRDefault="00000000">
      <w:pPr>
        <w:spacing w:after="80"/>
        <w:jc w:val="center"/>
      </w:pPr>
      <w:r>
        <w:rPr>
          <w:b/>
        </w:rPr>
        <w:t>Table 1: Summary of Research Questions, Analytical Dimensions, and Corresponding Sections</w:t>
      </w:r>
    </w:p>
    <w:tbl>
      <w:tblPr>
        <w:tblStyle w:val="TableGrid"/>
        <w:tblW w:w="0" w:type="auto"/>
        <w:jc w:val="center"/>
        <w:tblLook w:val="04A0" w:firstRow="1" w:lastRow="0" w:firstColumn="1" w:lastColumn="0" w:noHBand="0" w:noVBand="1"/>
      </w:tblPr>
      <w:tblGrid>
        <w:gridCol w:w="2340"/>
        <w:gridCol w:w="2340"/>
        <w:gridCol w:w="2340"/>
        <w:gridCol w:w="2340"/>
      </w:tblGrid>
      <w:tr w:rsidR="007C6ECC" w14:paraId="18CCA40C" w14:textId="77777777">
        <w:trPr>
          <w:jc w:val="center"/>
        </w:trPr>
        <w:tc>
          <w:tcPr>
            <w:tcW w:w="2340" w:type="dxa"/>
            <w:shd w:val="clear" w:color="auto" w:fill="1565C0"/>
          </w:tcPr>
          <w:p w14:paraId="3B88D8E3" w14:textId="77777777" w:rsidR="007C6ECC" w:rsidRDefault="00000000">
            <w:pPr>
              <w:jc w:val="center"/>
            </w:pPr>
            <w:r>
              <w:rPr>
                <w:b/>
                <w:color w:val="FFFFFF"/>
                <w:sz w:val="18"/>
              </w:rPr>
              <w:t>RQ#</w:t>
            </w:r>
          </w:p>
        </w:tc>
        <w:tc>
          <w:tcPr>
            <w:tcW w:w="2340" w:type="dxa"/>
            <w:shd w:val="clear" w:color="auto" w:fill="1565C0"/>
          </w:tcPr>
          <w:p w14:paraId="0BF5599B" w14:textId="77777777" w:rsidR="007C6ECC" w:rsidRDefault="00000000">
            <w:pPr>
              <w:jc w:val="center"/>
            </w:pPr>
            <w:r>
              <w:rPr>
                <w:b/>
                <w:color w:val="FFFFFF"/>
                <w:sz w:val="18"/>
              </w:rPr>
              <w:t>Research Question Focus</w:t>
            </w:r>
          </w:p>
        </w:tc>
        <w:tc>
          <w:tcPr>
            <w:tcW w:w="2340" w:type="dxa"/>
            <w:shd w:val="clear" w:color="auto" w:fill="1565C0"/>
          </w:tcPr>
          <w:p w14:paraId="5E7B3A51" w14:textId="77777777" w:rsidR="007C6ECC" w:rsidRDefault="00000000">
            <w:pPr>
              <w:jc w:val="center"/>
            </w:pPr>
            <w:r>
              <w:rPr>
                <w:b/>
                <w:color w:val="FFFFFF"/>
                <w:sz w:val="18"/>
              </w:rPr>
              <w:t>Analytical Dimension</w:t>
            </w:r>
          </w:p>
        </w:tc>
        <w:tc>
          <w:tcPr>
            <w:tcW w:w="2340" w:type="dxa"/>
            <w:shd w:val="clear" w:color="auto" w:fill="1565C0"/>
          </w:tcPr>
          <w:p w14:paraId="3879194E" w14:textId="77777777" w:rsidR="007C6ECC" w:rsidRDefault="00000000">
            <w:pPr>
              <w:jc w:val="center"/>
            </w:pPr>
            <w:r>
              <w:rPr>
                <w:b/>
                <w:color w:val="FFFFFF"/>
                <w:sz w:val="18"/>
              </w:rPr>
              <w:t>Section</w:t>
            </w:r>
          </w:p>
        </w:tc>
      </w:tr>
      <w:tr w:rsidR="007C6ECC" w14:paraId="73CA2E5D" w14:textId="77777777">
        <w:trPr>
          <w:jc w:val="center"/>
        </w:trPr>
        <w:tc>
          <w:tcPr>
            <w:tcW w:w="2340" w:type="dxa"/>
            <w:shd w:val="clear" w:color="auto" w:fill="EBF3FF"/>
          </w:tcPr>
          <w:p w14:paraId="7DBE2A9C" w14:textId="77777777" w:rsidR="007C6ECC" w:rsidRDefault="00000000">
            <w:r>
              <w:rPr>
                <w:b/>
                <w:sz w:val="18"/>
              </w:rPr>
              <w:t>RQ1</w:t>
            </w:r>
          </w:p>
        </w:tc>
        <w:tc>
          <w:tcPr>
            <w:tcW w:w="2340" w:type="dxa"/>
            <w:shd w:val="clear" w:color="auto" w:fill="EBF3FF"/>
          </w:tcPr>
          <w:p w14:paraId="0375A31A" w14:textId="77777777" w:rsidR="007C6ECC" w:rsidRDefault="00000000">
            <w:r>
              <w:rPr>
                <w:sz w:val="18"/>
              </w:rPr>
              <w:t>DL architectures and imaging modalities dominance</w:t>
            </w:r>
          </w:p>
        </w:tc>
        <w:tc>
          <w:tcPr>
            <w:tcW w:w="2340" w:type="dxa"/>
            <w:shd w:val="clear" w:color="auto" w:fill="EBF3FF"/>
          </w:tcPr>
          <w:p w14:paraId="52FEDCCF" w14:textId="77777777" w:rsidR="007C6ECC" w:rsidRDefault="00000000">
            <w:r>
              <w:rPr>
                <w:sz w:val="18"/>
              </w:rPr>
              <w:t>Technological Baseline</w:t>
            </w:r>
          </w:p>
        </w:tc>
        <w:tc>
          <w:tcPr>
            <w:tcW w:w="2340" w:type="dxa"/>
            <w:shd w:val="clear" w:color="auto" w:fill="EBF3FF"/>
          </w:tcPr>
          <w:p w14:paraId="1669CC2A" w14:textId="77777777" w:rsidR="007C6ECC" w:rsidRDefault="00000000">
            <w:r>
              <w:rPr>
                <w:sz w:val="18"/>
              </w:rPr>
              <w:t>Sec. 5.1, 5.4</w:t>
            </w:r>
          </w:p>
        </w:tc>
      </w:tr>
      <w:tr w:rsidR="007C6ECC" w14:paraId="7B8EFE47" w14:textId="77777777">
        <w:trPr>
          <w:jc w:val="center"/>
        </w:trPr>
        <w:tc>
          <w:tcPr>
            <w:tcW w:w="2340" w:type="dxa"/>
            <w:shd w:val="clear" w:color="auto" w:fill="FFFFFF"/>
          </w:tcPr>
          <w:p w14:paraId="2E618E16" w14:textId="77777777" w:rsidR="007C6ECC" w:rsidRDefault="00000000">
            <w:r>
              <w:rPr>
                <w:b/>
                <w:sz w:val="18"/>
              </w:rPr>
              <w:t>RQ2</w:t>
            </w:r>
          </w:p>
        </w:tc>
        <w:tc>
          <w:tcPr>
            <w:tcW w:w="2340" w:type="dxa"/>
            <w:shd w:val="clear" w:color="auto" w:fill="FFFFFF"/>
          </w:tcPr>
          <w:p w14:paraId="6F94B5D6" w14:textId="77777777" w:rsidR="007C6ECC" w:rsidRDefault="00000000">
            <w:r>
              <w:rPr>
                <w:sz w:val="18"/>
              </w:rPr>
              <w:t>XAI taxonomy: scope, stage, and approach classification</w:t>
            </w:r>
          </w:p>
        </w:tc>
        <w:tc>
          <w:tcPr>
            <w:tcW w:w="2340" w:type="dxa"/>
            <w:shd w:val="clear" w:color="auto" w:fill="FFFFFF"/>
          </w:tcPr>
          <w:p w14:paraId="3710B666" w14:textId="77777777" w:rsidR="007C6ECC" w:rsidRDefault="00000000">
            <w:r>
              <w:rPr>
                <w:sz w:val="18"/>
              </w:rPr>
              <w:t>Methodological Classification</w:t>
            </w:r>
          </w:p>
        </w:tc>
        <w:tc>
          <w:tcPr>
            <w:tcW w:w="2340" w:type="dxa"/>
            <w:shd w:val="clear" w:color="auto" w:fill="FFFFFF"/>
          </w:tcPr>
          <w:p w14:paraId="17323103" w14:textId="77777777" w:rsidR="007C6ECC" w:rsidRDefault="00000000">
            <w:r>
              <w:rPr>
                <w:sz w:val="18"/>
              </w:rPr>
              <w:t>Sec. 4</w:t>
            </w:r>
          </w:p>
        </w:tc>
      </w:tr>
      <w:tr w:rsidR="007C6ECC" w14:paraId="0D8B9E12" w14:textId="77777777">
        <w:trPr>
          <w:jc w:val="center"/>
        </w:trPr>
        <w:tc>
          <w:tcPr>
            <w:tcW w:w="2340" w:type="dxa"/>
            <w:shd w:val="clear" w:color="auto" w:fill="EBF3FF"/>
          </w:tcPr>
          <w:p w14:paraId="37BDE0DB" w14:textId="77777777" w:rsidR="007C6ECC" w:rsidRDefault="00000000">
            <w:r>
              <w:rPr>
                <w:b/>
                <w:sz w:val="18"/>
              </w:rPr>
              <w:t>RQ3</w:t>
            </w:r>
          </w:p>
        </w:tc>
        <w:tc>
          <w:tcPr>
            <w:tcW w:w="2340" w:type="dxa"/>
            <w:shd w:val="clear" w:color="auto" w:fill="EBF3FF"/>
          </w:tcPr>
          <w:p w14:paraId="0A67FD2A" w14:textId="77777777" w:rsidR="007C6ECC" w:rsidRDefault="00000000">
            <w:r>
              <w:rPr>
                <w:sz w:val="18"/>
              </w:rPr>
              <w:t>Biological validation and Clever Hans bias detection via XAI</w:t>
            </w:r>
          </w:p>
        </w:tc>
        <w:tc>
          <w:tcPr>
            <w:tcW w:w="2340" w:type="dxa"/>
            <w:shd w:val="clear" w:color="auto" w:fill="EBF3FF"/>
          </w:tcPr>
          <w:p w14:paraId="5267F24C" w14:textId="77777777" w:rsidR="007C6ECC" w:rsidRDefault="00000000">
            <w:r>
              <w:rPr>
                <w:sz w:val="18"/>
              </w:rPr>
              <w:t>Scientific Validity</w:t>
            </w:r>
          </w:p>
        </w:tc>
        <w:tc>
          <w:tcPr>
            <w:tcW w:w="2340" w:type="dxa"/>
            <w:shd w:val="clear" w:color="auto" w:fill="EBF3FF"/>
          </w:tcPr>
          <w:p w14:paraId="78C736BB" w14:textId="77777777" w:rsidR="007C6ECC" w:rsidRDefault="00000000">
            <w:r>
              <w:rPr>
                <w:sz w:val="18"/>
              </w:rPr>
              <w:t>Sec. 5.1–5.3, 6.1</w:t>
            </w:r>
          </w:p>
        </w:tc>
      </w:tr>
      <w:tr w:rsidR="007C6ECC" w14:paraId="0BDD20BA" w14:textId="77777777">
        <w:trPr>
          <w:jc w:val="center"/>
        </w:trPr>
        <w:tc>
          <w:tcPr>
            <w:tcW w:w="2340" w:type="dxa"/>
            <w:shd w:val="clear" w:color="auto" w:fill="FFFFFF"/>
          </w:tcPr>
          <w:p w14:paraId="403BCF03" w14:textId="77777777" w:rsidR="007C6ECC" w:rsidRDefault="00000000">
            <w:r>
              <w:rPr>
                <w:b/>
                <w:sz w:val="18"/>
              </w:rPr>
              <w:t>RQ4</w:t>
            </w:r>
          </w:p>
        </w:tc>
        <w:tc>
          <w:tcPr>
            <w:tcW w:w="2340" w:type="dxa"/>
            <w:shd w:val="clear" w:color="auto" w:fill="FFFFFF"/>
          </w:tcPr>
          <w:p w14:paraId="518181F4" w14:textId="77777777" w:rsidR="007C6ECC" w:rsidRDefault="00000000">
            <w:r>
              <w:rPr>
                <w:sz w:val="18"/>
              </w:rPr>
              <w:t>Edge deployment, computational constraints, and HITL integration</w:t>
            </w:r>
          </w:p>
        </w:tc>
        <w:tc>
          <w:tcPr>
            <w:tcW w:w="2340" w:type="dxa"/>
            <w:shd w:val="clear" w:color="auto" w:fill="FFFFFF"/>
          </w:tcPr>
          <w:p w14:paraId="70633BA3" w14:textId="77777777" w:rsidR="007C6ECC" w:rsidRDefault="00000000">
            <w:r>
              <w:rPr>
                <w:sz w:val="18"/>
              </w:rPr>
              <w:t>Engineering Feasibility</w:t>
            </w:r>
          </w:p>
        </w:tc>
        <w:tc>
          <w:tcPr>
            <w:tcW w:w="2340" w:type="dxa"/>
            <w:shd w:val="clear" w:color="auto" w:fill="FFFFFF"/>
          </w:tcPr>
          <w:p w14:paraId="29F3DFCA" w14:textId="77777777" w:rsidR="007C6ECC" w:rsidRDefault="00000000">
            <w:r>
              <w:rPr>
                <w:sz w:val="18"/>
              </w:rPr>
              <w:t>Sec. 5.4, 6.3, 6.5</w:t>
            </w:r>
          </w:p>
        </w:tc>
      </w:tr>
      <w:tr w:rsidR="007C6ECC" w14:paraId="51F745B8" w14:textId="77777777">
        <w:trPr>
          <w:jc w:val="center"/>
        </w:trPr>
        <w:tc>
          <w:tcPr>
            <w:tcW w:w="2340" w:type="dxa"/>
            <w:shd w:val="clear" w:color="auto" w:fill="EBF3FF"/>
          </w:tcPr>
          <w:p w14:paraId="3D3D38F7" w14:textId="77777777" w:rsidR="007C6ECC" w:rsidRDefault="00000000">
            <w:r>
              <w:rPr>
                <w:b/>
                <w:sz w:val="18"/>
              </w:rPr>
              <w:t>RQ5</w:t>
            </w:r>
          </w:p>
        </w:tc>
        <w:tc>
          <w:tcPr>
            <w:tcW w:w="2340" w:type="dxa"/>
            <w:shd w:val="clear" w:color="auto" w:fill="EBF3FF"/>
          </w:tcPr>
          <w:p w14:paraId="70BF3AD0" w14:textId="77777777" w:rsidR="007C6ECC" w:rsidRDefault="00000000">
            <w:r>
              <w:rPr>
                <w:sz w:val="18"/>
              </w:rPr>
              <w:t>Quantitative XAI faithfulness evaluation protocols</w:t>
            </w:r>
          </w:p>
        </w:tc>
        <w:tc>
          <w:tcPr>
            <w:tcW w:w="2340" w:type="dxa"/>
            <w:shd w:val="clear" w:color="auto" w:fill="EBF3FF"/>
          </w:tcPr>
          <w:p w14:paraId="73402AA8" w14:textId="77777777" w:rsidR="007C6ECC" w:rsidRDefault="00000000">
            <w:r>
              <w:rPr>
                <w:sz w:val="18"/>
              </w:rPr>
              <w:t>Evaluation Rigour</w:t>
            </w:r>
          </w:p>
        </w:tc>
        <w:tc>
          <w:tcPr>
            <w:tcW w:w="2340" w:type="dxa"/>
            <w:shd w:val="clear" w:color="auto" w:fill="EBF3FF"/>
          </w:tcPr>
          <w:p w14:paraId="7FB15AD9" w14:textId="77777777" w:rsidR="007C6ECC" w:rsidRDefault="00000000">
            <w:r>
              <w:rPr>
                <w:sz w:val="18"/>
              </w:rPr>
              <w:t>Sec. 6.2</w:t>
            </w:r>
          </w:p>
        </w:tc>
      </w:tr>
      <w:tr w:rsidR="007C6ECC" w14:paraId="71AE955E" w14:textId="77777777">
        <w:trPr>
          <w:jc w:val="center"/>
        </w:trPr>
        <w:tc>
          <w:tcPr>
            <w:tcW w:w="2340" w:type="dxa"/>
            <w:shd w:val="clear" w:color="auto" w:fill="FFFFFF"/>
          </w:tcPr>
          <w:p w14:paraId="163A8CAC" w14:textId="77777777" w:rsidR="007C6ECC" w:rsidRDefault="00000000">
            <w:r>
              <w:rPr>
                <w:b/>
                <w:sz w:val="18"/>
              </w:rPr>
              <w:t>RQ6</w:t>
            </w:r>
          </w:p>
        </w:tc>
        <w:tc>
          <w:tcPr>
            <w:tcW w:w="2340" w:type="dxa"/>
            <w:shd w:val="clear" w:color="auto" w:fill="FFFFFF"/>
          </w:tcPr>
          <w:p w14:paraId="5F335A61" w14:textId="77777777" w:rsidR="007C6ECC" w:rsidRDefault="00000000">
            <w:r>
              <w:rPr>
                <w:sz w:val="18"/>
              </w:rPr>
              <w:t>Multimodal and spectral XAI attribution frameworks</w:t>
            </w:r>
          </w:p>
        </w:tc>
        <w:tc>
          <w:tcPr>
            <w:tcW w:w="2340" w:type="dxa"/>
            <w:shd w:val="clear" w:color="auto" w:fill="FFFFFF"/>
          </w:tcPr>
          <w:p w14:paraId="501F2868" w14:textId="77777777" w:rsidR="007C6ECC" w:rsidRDefault="00000000">
            <w:r>
              <w:rPr>
                <w:sz w:val="18"/>
              </w:rPr>
              <w:t>Modality Extension</w:t>
            </w:r>
          </w:p>
        </w:tc>
        <w:tc>
          <w:tcPr>
            <w:tcW w:w="2340" w:type="dxa"/>
            <w:shd w:val="clear" w:color="auto" w:fill="FFFFFF"/>
          </w:tcPr>
          <w:p w14:paraId="565E1092" w14:textId="77777777" w:rsidR="007C6ECC" w:rsidRDefault="00000000">
            <w:r>
              <w:rPr>
                <w:sz w:val="18"/>
              </w:rPr>
              <w:t>Sec. 5.4, 6.4</w:t>
            </w:r>
          </w:p>
        </w:tc>
      </w:tr>
      <w:tr w:rsidR="007C6ECC" w14:paraId="6E62FA9C" w14:textId="77777777">
        <w:trPr>
          <w:jc w:val="center"/>
        </w:trPr>
        <w:tc>
          <w:tcPr>
            <w:tcW w:w="2340" w:type="dxa"/>
            <w:shd w:val="clear" w:color="auto" w:fill="EBF3FF"/>
          </w:tcPr>
          <w:p w14:paraId="51A5194E" w14:textId="77777777" w:rsidR="007C6ECC" w:rsidRDefault="00000000">
            <w:r>
              <w:rPr>
                <w:b/>
                <w:sz w:val="18"/>
              </w:rPr>
              <w:t>RQ7</w:t>
            </w:r>
          </w:p>
        </w:tc>
        <w:tc>
          <w:tcPr>
            <w:tcW w:w="2340" w:type="dxa"/>
            <w:shd w:val="clear" w:color="auto" w:fill="EBF3FF"/>
          </w:tcPr>
          <w:p w14:paraId="45C89D60" w14:textId="77777777" w:rsidR="007C6ECC" w:rsidRDefault="00000000">
            <w:r>
              <w:rPr>
                <w:sz w:val="18"/>
              </w:rPr>
              <w:t>Farmer trust, equity, and adoption of XAI-augmented systems</w:t>
            </w:r>
          </w:p>
        </w:tc>
        <w:tc>
          <w:tcPr>
            <w:tcW w:w="2340" w:type="dxa"/>
            <w:shd w:val="clear" w:color="auto" w:fill="EBF3FF"/>
          </w:tcPr>
          <w:p w14:paraId="3C4A5620" w14:textId="77777777" w:rsidR="007C6ECC" w:rsidRDefault="00000000">
            <w:r>
              <w:rPr>
                <w:sz w:val="18"/>
              </w:rPr>
              <w:t>Sociotechnical Impact</w:t>
            </w:r>
          </w:p>
        </w:tc>
        <w:tc>
          <w:tcPr>
            <w:tcW w:w="2340" w:type="dxa"/>
            <w:shd w:val="clear" w:color="auto" w:fill="EBF3FF"/>
          </w:tcPr>
          <w:p w14:paraId="0AD6D2D5" w14:textId="77777777" w:rsidR="007C6ECC" w:rsidRDefault="00000000">
            <w:r>
              <w:rPr>
                <w:sz w:val="18"/>
              </w:rPr>
              <w:t>Sec. 6.6</w:t>
            </w:r>
          </w:p>
        </w:tc>
      </w:tr>
    </w:tbl>
    <w:p w14:paraId="66352C94" w14:textId="77777777" w:rsidR="007C6ECC" w:rsidRDefault="007C6ECC"/>
    <w:p w14:paraId="20FC17FD" w14:textId="77777777" w:rsidR="007C6ECC" w:rsidRDefault="00000000">
      <w:pPr>
        <w:pStyle w:val="Heading2"/>
        <w:spacing w:after="120"/>
      </w:pPr>
      <w:r>
        <w:rPr>
          <w:color w:val="1565C0"/>
        </w:rPr>
        <w:t>RQ1 – Deep Learning Architectures and Imaging Modalities</w:t>
      </w:r>
    </w:p>
    <w:p w14:paraId="0230FFCF" w14:textId="77777777" w:rsidR="007C6ECC" w:rsidRDefault="00000000">
      <w:pPr>
        <w:ind w:firstLine="360"/>
        <w:jc w:val="both"/>
      </w:pPr>
      <w:r>
        <w:t xml:space="preserve">Which deep learning architectures and imaging modalities (e.g., RGB, thermal, multispectral, hyperspectral) are most predominantly utilised for agricultural pest and disease detection in the reviewed literature, and what correlations exist between architecture choice, dataset characteristics, and reported accuracy metrics? This question addresses the technological foundation upon which XAI methods </w:t>
      </w:r>
      <w:proofErr w:type="gramStart"/>
      <w:r>
        <w:t>are applied</w:t>
      </w:r>
      <w:proofErr w:type="gramEnd"/>
      <w:r>
        <w:t xml:space="preserve">, recognising that the choice of backbone architecture fundamentally constrains which XAI techniques are applicable and what explanations can </w:t>
      </w:r>
      <w:proofErr w:type="gramStart"/>
      <w:r>
        <w:t>be generated</w:t>
      </w:r>
      <w:proofErr w:type="gramEnd"/>
      <w:r>
        <w:t xml:space="preserve">. For instance, gradient-based XAI methods are architecturally incompatible with non-differentiable models, while self-attention-based explanations are native to transformer </w:t>
      </w:r>
      <w:proofErr w:type="gramStart"/>
      <w:r>
        <w:t>architectures</w:t>
      </w:r>
      <w:proofErr w:type="gramEnd"/>
      <w:r>
        <w:t xml:space="preserve"> but unavailable for standard CNNs. Understanding this landscape is prerequisite to a coherent XAI taxonomy.</w:t>
      </w:r>
    </w:p>
    <w:p w14:paraId="2CD252D6" w14:textId="77777777" w:rsidR="007C6ECC" w:rsidRDefault="00000000">
      <w:pPr>
        <w:pStyle w:val="Heading2"/>
        <w:spacing w:after="120"/>
      </w:pPr>
      <w:r>
        <w:rPr>
          <w:color w:val="1565C0"/>
        </w:rPr>
        <w:t>RQ2 – XAI Methodology Taxonomy and Classification</w:t>
      </w:r>
    </w:p>
    <w:p w14:paraId="1BC09CC9" w14:textId="77777777" w:rsidR="007C6ECC" w:rsidRDefault="00000000">
      <w:pPr>
        <w:ind w:firstLine="360"/>
        <w:jc w:val="both"/>
      </w:pPr>
      <w:r>
        <w:t xml:space="preserve">What is the prevailing taxonomy of XAI methods applied in agricultural computer vision, and how do they differ in scope (local vs. global), stage (ante-hoc vs. post-hoc), algorithmic approach (backpropagation-based, perturbation-based, concept-based), and output modality (visual heatmaps, feature attribution scores, textual explanations)? Furthermore, how has the methodological distribution </w:t>
      </w:r>
      <w:r>
        <w:lastRenderedPageBreak/>
        <w:t xml:space="preserve">evolved across the 2017–2026 </w:t>
      </w:r>
      <w:proofErr w:type="gramStart"/>
      <w:r>
        <w:t>timeframe</w:t>
      </w:r>
      <w:proofErr w:type="gramEnd"/>
      <w:r>
        <w:t>, and what does this trajectory suggest about the maturation of the field? This question goes beyond cataloguing methods to critically assess the conceptual assumptions, computational costs, and fundamental trade-offs—such as the fidelity-interpretability dilemma—that govern XAI method selection in agricultural deployment contexts.</w:t>
      </w:r>
    </w:p>
    <w:p w14:paraId="474B889C" w14:textId="77777777" w:rsidR="007C6ECC" w:rsidRDefault="00000000">
      <w:pPr>
        <w:pStyle w:val="Heading2"/>
        <w:spacing w:after="120"/>
      </w:pPr>
      <w:r>
        <w:rPr>
          <w:color w:val="1565C0"/>
        </w:rPr>
        <w:t>RQ3 – Biological Validation and Model Bias Detection</w:t>
      </w:r>
    </w:p>
    <w:p w14:paraId="37C4AE5A" w14:textId="77777777" w:rsidR="007C6ECC" w:rsidRDefault="00000000">
      <w:pPr>
        <w:ind w:firstLine="360"/>
        <w:jc w:val="both"/>
      </w:pPr>
      <w:r>
        <w:t>How does the integration of XAI methods biologically validate model predictions in agricultural disease and pest detection, and to what extent do XAI analyses uncover model biases such as background interference, dataset artefacts, and 'Clever Hans' behaviour? This question directly addresses the agronomic utility of XAI beyond mere technical transparency. The gold standard for XAI in plant pathology is confirmation that model-identified salient regions correspond to genuine biological features—necrotic lesions, chlorotic halos, sporulation structures, insect morphological features—rather than environmental artefacts. This requires systematic comparison between XAI outputs and domain expert annotations, a practice rarely standardised across the reviewed literature.</w:t>
      </w:r>
    </w:p>
    <w:p w14:paraId="0F6178D5" w14:textId="77777777" w:rsidR="007C6ECC" w:rsidRDefault="00000000">
      <w:pPr>
        <w:pStyle w:val="Heading2"/>
        <w:spacing w:after="120"/>
      </w:pPr>
      <w:r>
        <w:rPr>
          <w:color w:val="1565C0"/>
        </w:rPr>
        <w:t>RQ4 – Computational Complexity and Field Deployment</w:t>
      </w:r>
    </w:p>
    <w:p w14:paraId="29653775" w14:textId="77777777" w:rsidR="007C6ECC" w:rsidRDefault="00000000">
      <w:pPr>
        <w:ind w:firstLine="360"/>
        <w:jc w:val="both"/>
      </w:pPr>
      <w:r>
        <w:t xml:space="preserve">What are the current limitations regarding computational complexity, real-world field deployment on resource-constrained edge devices, and human-in-the-loop (HITL) integration, and what engineering strategies have </w:t>
      </w:r>
      <w:proofErr w:type="gramStart"/>
      <w:r>
        <w:t>been proposed</w:t>
      </w:r>
      <w:proofErr w:type="gramEnd"/>
      <w:r>
        <w:t xml:space="preserve"> to address these constraints? Agricultural deployment contexts—including drone-mounted processors, IoT sensor nodes, and farmer-operated smartphones in low-bandwidth rural environments—impose severe constraints on model complexity, inference latency, and memory footprint. This question examines whether XAI methods have been co-optimised for edge deployment alongside the underlying DL models, or whether explanations are an afterthought generated only in cloud-computing post-processing pipelines inaccessible to end-users.</w:t>
      </w:r>
    </w:p>
    <w:p w14:paraId="2B0D4033" w14:textId="77777777" w:rsidR="007C6ECC" w:rsidRDefault="00000000">
      <w:pPr>
        <w:pStyle w:val="Heading2"/>
        <w:spacing w:after="120"/>
      </w:pPr>
      <w:r>
        <w:rPr>
          <w:color w:val="1565C0"/>
        </w:rPr>
        <w:t>RQ5 – Quantitative Evaluation of XAI Faithfulness</w:t>
      </w:r>
    </w:p>
    <w:p w14:paraId="36649CF3" w14:textId="77777777" w:rsidR="007C6ECC" w:rsidRDefault="00000000">
      <w:pPr>
        <w:ind w:firstLine="360"/>
        <w:jc w:val="both"/>
      </w:pPr>
      <w:r>
        <w:t xml:space="preserve">What quantitative metrics have been employed to evaluate the faithfulness and reliability of XAI explanations in agricultural computer vision, and is there evidence of systematic evaluation bias wherein XAI outputs </w:t>
      </w:r>
      <w:proofErr w:type="gramStart"/>
      <w:r>
        <w:t>are assessed</w:t>
      </w:r>
      <w:proofErr w:type="gramEnd"/>
      <w:r>
        <w:t xml:space="preserve"> qualitatively by visual inspection rather than through rigorous quantitative benchmarks? This research question addresses a critical gap identified in preliminary analysis: the overwhelming majority of published agricultural XAI studies evaluate model performance (F1-score, accuracy, mAP) but do not employ dedicated XAI evaluation metrics such as Insertion/Deletion curves, Pointing Game accuracy, AOPC (Area Over the Perturbation Curve), or Infidelity scores. Without quantitative XAI evaluation, the literature cannot distinguish between genuinely faithful explanations and visually appealing but misleading heatmaps.</w:t>
      </w:r>
    </w:p>
    <w:p w14:paraId="4CE5E780" w14:textId="77777777" w:rsidR="007C6ECC" w:rsidRDefault="00000000">
      <w:pPr>
        <w:pStyle w:val="Heading2"/>
        <w:spacing w:after="120"/>
      </w:pPr>
      <w:r>
        <w:rPr>
          <w:color w:val="1565C0"/>
        </w:rPr>
        <w:t>RQ6 – Multimodal and Spectral XAI</w:t>
      </w:r>
    </w:p>
    <w:p w14:paraId="2AEEEF72" w14:textId="77777777" w:rsidR="007C6ECC" w:rsidRDefault="00000000">
      <w:pPr>
        <w:ind w:firstLine="360"/>
        <w:jc w:val="both"/>
      </w:pPr>
      <w:r>
        <w:t xml:space="preserve">How have XAI methods been adapted or extended to </w:t>
      </w:r>
      <w:proofErr w:type="gramStart"/>
      <w:r>
        <w:t>handle</w:t>
      </w:r>
      <w:proofErr w:type="gramEnd"/>
      <w:r>
        <w:t xml:space="preserve"> multimodal agricultural data including multispectral imagery, hyperspectral cubes, thermal infrared, LiDAR point clouds, and fused sensor data from UAV platforms? And what new theoretical challenges arise when explaining predictions made from data modalities that are not directly human-interpretable—such as near-infrared or red-edge spectral bands—that have no direct visual counterpart in human experience? This question explores the frontier of </w:t>
      </w:r>
      <w:r>
        <w:lastRenderedPageBreak/>
        <w:t>XAI research in precision agriculture, where the most diagnostically valuable data often lies in wavelengths invisible to the human eye.</w:t>
      </w:r>
    </w:p>
    <w:p w14:paraId="2B64A901" w14:textId="77777777" w:rsidR="007C6ECC" w:rsidRDefault="00000000">
      <w:pPr>
        <w:pStyle w:val="Heading2"/>
        <w:spacing w:after="120"/>
      </w:pPr>
      <w:r>
        <w:rPr>
          <w:color w:val="1565C0"/>
        </w:rPr>
        <w:t>RQ7 – Equity, Trust, and Farmer Adoption</w:t>
      </w:r>
    </w:p>
    <w:p w14:paraId="4FB454DE" w14:textId="77777777" w:rsidR="007C6ECC" w:rsidRDefault="00000000">
      <w:pPr>
        <w:ind w:firstLine="360"/>
        <w:jc w:val="both"/>
      </w:pPr>
      <w:r>
        <w:t xml:space="preserve">What evidence exists regarding the actual impact of XAI integration on farmer trust, system adoption, and decision-making quality in agricultural pest and disease management, particularly in smallholder farming contexts in the Global South? This question addresses the critical gap between technical XAI development and sociotechnical deployment reality. If XAI outputs </w:t>
      </w:r>
      <w:proofErr w:type="gramStart"/>
      <w:r>
        <w:t>are communicated</w:t>
      </w:r>
      <w:proofErr w:type="gramEnd"/>
      <w:r>
        <w:t xml:space="preserve"> through gradient heatmaps overlaid on leaf images, they presuppose a level of visual literacy and technological access that may be absent in the farmer communities most in need of precision agriculture tools. Understanding the sociotechnical dimensions of agricultural XAI is essential for designing systems that deliver genuine value rather than serving solely as academic demonstrations.</w:t>
      </w:r>
    </w:p>
    <w:p w14:paraId="5428A9C1" w14:textId="77777777" w:rsidR="007C6ECC" w:rsidRDefault="00000000">
      <w:r>
        <w:br w:type="page"/>
      </w:r>
    </w:p>
    <w:p w14:paraId="37053A8A" w14:textId="77777777" w:rsidR="007C6ECC" w:rsidRDefault="00000000">
      <w:pPr>
        <w:pStyle w:val="Heading1"/>
        <w:spacing w:before="320" w:after="120"/>
      </w:pPr>
      <w:r>
        <w:rPr>
          <w:color w:val="1A6B3C"/>
        </w:rPr>
        <w:lastRenderedPageBreak/>
        <w:t>3. Research Methodology (PRISMA)</w:t>
      </w:r>
    </w:p>
    <w:p w14:paraId="5EA38969" w14:textId="77777777" w:rsidR="007C6ECC" w:rsidRDefault="00000000">
      <w:pPr>
        <w:jc w:val="both"/>
      </w:pPr>
      <w:r>
        <w:rPr>
          <w:i/>
          <w:color w:val="646464"/>
        </w:rPr>
        <w:t>[</w:t>
      </w:r>
      <w:proofErr w:type="gramStart"/>
      <w:r>
        <w:rPr>
          <w:i/>
          <w:color w:val="646464"/>
        </w:rPr>
        <w:t>This section will be completed by the lead author</w:t>
      </w:r>
      <w:proofErr w:type="gramEnd"/>
      <w:r>
        <w:rPr>
          <w:i/>
          <w:color w:val="646464"/>
        </w:rPr>
        <w:t>. Please insert the PRISMA flow diagram, database search strings, inclusion/exclusion criteria table, quality assessment rubric, and inter-rater reliability statistics here.]</w:t>
      </w:r>
    </w:p>
    <w:p w14:paraId="42DB73B6" w14:textId="77777777" w:rsidR="007C6ECC" w:rsidRDefault="00000000">
      <w:r>
        <w:br w:type="page"/>
      </w:r>
    </w:p>
    <w:p w14:paraId="77F2DC8A" w14:textId="77777777" w:rsidR="007C6ECC" w:rsidRDefault="00000000">
      <w:pPr>
        <w:pStyle w:val="Heading1"/>
        <w:spacing w:before="320" w:after="120"/>
      </w:pPr>
      <w:r>
        <w:rPr>
          <w:color w:val="1A6B3C"/>
        </w:rPr>
        <w:lastRenderedPageBreak/>
        <w:t>4. Taxonomy of XAI Methods in Agricultural Computer Vision</w:t>
      </w:r>
    </w:p>
    <w:p w14:paraId="3B0388A7" w14:textId="77777777" w:rsidR="007C6ECC" w:rsidRDefault="00000000">
      <w:pPr>
        <w:ind w:firstLine="360"/>
        <w:jc w:val="both"/>
      </w:pPr>
      <w:r>
        <w:t>Constructing a rigorous and operationally useful taxonomy of XAI methods in the context of agricultural computer vision requires moving beyond the simplistic binary of 'interpretable vs. non-interpretable' models. The heterogeneity of the reviewed literature—spanning classification, object detection, semantic segmentation, and regression tasks across RGB, multispectral, and thermal imaging modalities—necessitates a multi-dimensional classification framework. This section proposes and elaborates a four-dimensional taxonomy: (1) Temporal Stage of Explanation (when the explanation is generated relative to model training); (2) Scope of Explanation (whether the explanation characterises a single prediction or global model behaviour); (3) Algorithmic Approach (the computational mechanism by which the explanation is derived); and (4) Output Modality (the form in which the explanation is communicated). Additionally, a fifth dimension—Deployment Context—</w:t>
      </w:r>
      <w:proofErr w:type="gramStart"/>
      <w:r>
        <w:t>is introduced</w:t>
      </w:r>
      <w:proofErr w:type="gramEnd"/>
      <w:r>
        <w:t xml:space="preserve"> to address the critical but underexplored question of where and how XAI is operationalised within agricultural decision pipelines. Figure 3 provides a hierarchical visualisation of this taxonomy. Each dimension </w:t>
      </w:r>
      <w:proofErr w:type="gramStart"/>
      <w:r>
        <w:t>is elaborated</w:t>
      </w:r>
      <w:proofErr w:type="gramEnd"/>
      <w:r>
        <w:t xml:space="preserve"> below with specific reference to agricultural computer vision applications.</w:t>
      </w:r>
    </w:p>
    <w:p w14:paraId="119E4583" w14:textId="77777777" w:rsidR="007C6ECC" w:rsidRDefault="007C6ECC"/>
    <w:p w14:paraId="7FDD7A11" w14:textId="77777777" w:rsidR="007C6ECC" w:rsidRDefault="00000000">
      <w:pPr>
        <w:spacing w:after="160"/>
        <w:jc w:val="both"/>
      </w:pPr>
      <w:r>
        <w:rPr>
          <w:i/>
        </w:rPr>
        <w:t xml:space="preserve">[Figure: Figure 3: Hierarchical Taxonomy of XAI Methods Applicable to Agricultural Computer Vision Systems. Methods </w:t>
      </w:r>
      <w:proofErr w:type="gramStart"/>
      <w:r>
        <w:rPr>
          <w:i/>
        </w:rPr>
        <w:t>are classified</w:t>
      </w:r>
      <w:proofErr w:type="gramEnd"/>
      <w:r>
        <w:rPr>
          <w:i/>
        </w:rPr>
        <w:t xml:space="preserve"> across four dimensions: Temporal Stage (Ante-hoc vs. Post-hoc), Algorithmic Approach, Scope, and Deployment Context.]</w:t>
      </w:r>
    </w:p>
    <w:p w14:paraId="6EA0E951" w14:textId="77777777" w:rsidR="007C6ECC" w:rsidRDefault="007C6ECC"/>
    <w:p w14:paraId="2E23AE1B" w14:textId="77777777" w:rsidR="007C6ECC" w:rsidRDefault="00000000">
      <w:pPr>
        <w:spacing w:after="160"/>
        <w:jc w:val="both"/>
      </w:pPr>
      <w:r>
        <w:rPr>
          <w:i/>
        </w:rPr>
        <w:t>[Figure: Figure 2: Distribution of XAI Methods Identified in the 161 Reviewed Studies. Grad-CAM variants dominate (34%), reflecting their architectural versatility and minimal computational overhead relative to perturbation-based alternatives.]</w:t>
      </w:r>
    </w:p>
    <w:p w14:paraId="29DB0805" w14:textId="77777777" w:rsidR="007C6ECC" w:rsidRDefault="00000000">
      <w:pPr>
        <w:pStyle w:val="Heading2"/>
        <w:spacing w:after="120"/>
      </w:pPr>
      <w:proofErr w:type="gramStart"/>
      <w:r>
        <w:rPr>
          <w:color w:val="1A6B3C"/>
        </w:rPr>
        <w:t>4.1  Ante</w:t>
      </w:r>
      <w:proofErr w:type="gramEnd"/>
      <w:r>
        <w:rPr>
          <w:color w:val="1A6B3C"/>
        </w:rPr>
        <w:t>-hoc (Intrinsic) Explainability: Attention and Vision Transformers</w:t>
      </w:r>
    </w:p>
    <w:p w14:paraId="52CF62DC" w14:textId="77777777" w:rsidR="007C6ECC" w:rsidRDefault="00000000">
      <w:pPr>
        <w:ind w:firstLine="360"/>
        <w:jc w:val="both"/>
      </w:pPr>
      <w:r>
        <w:t>Ante-hoc XAI methods, also termed intrinsically interpretable or transparent models, are architectural designs in which interpretability is a built-in property rather than an externally applied analytical technique (Rudin, 2019). In the agricultural computer vision context, ante-hoc interpretability has gained significant traction through two primary mechanisms: attention mechanisms in standard CNNs and the self-attention architecture of Vision Transformers (ViTs).</w:t>
      </w:r>
      <w:r>
        <w:br/>
      </w:r>
      <w:r>
        <w:br/>
        <w:t>Attention mechanisms, first incorporated into sequence-to-sequence models for natural language processing (Vaswani et al., 2017), were subsequently adapted for image recognition tasks through Squeeze-and-Excitation networks (Hu et al., 2018) and non-local networks (Wang et al., 2018). In plant disease classification, channel attention mechanisms allow the model to selectively weight convolutional feature maps, effectively learning which types of visual features—such as colour anomalies associated with chlorosis or texture irregularities associated with fungal sporulation—are most diagnostically informative. Spatial attention mechanisms further localise this weighting to specific image regions, providing a coarse form of native interpretability that can be visualised without any post-hoc processing. However, the spatial resolution of such attention maps is typically low due to the progressive downsampling in CNN feature extraction pipelines, limiting their utility for precise lesion localisation.</w:t>
      </w:r>
      <w:r>
        <w:br/>
      </w:r>
      <w:r>
        <w:lastRenderedPageBreak/>
        <w:br/>
        <w:t xml:space="preserve">Vision Transformers represent the most powerful form of ante-hoc XAI currently available in agricultural CV. Unlike CNNs, which process images through successive convolutional operations, ViTs partition the input image into fixed-size patches (typically 16×16 pixels) and process them as a sequence through multi-head self-attention layers (Dosovitskiy et al., 2020). The attention weights computed at each layer provide a natural explanation mechanism: the attention rollout method (Abnar &amp; Zuidema, 2020) propagates attention maps across all layers, generating a high-resolution saliency map that indicates which image patches the model </w:t>
      </w:r>
      <w:proofErr w:type="gramStart"/>
      <w:r>
        <w:t>attended to</w:t>
      </w:r>
      <w:proofErr w:type="gramEnd"/>
      <w:r>
        <w:t xml:space="preserve"> when producing its prediction. In the context of leaf disease detection, this means that a ViT model detecting 'Septoria Leaf Spot' on wheat can simultaneously output both its classification and a visually interpretable attention map highlighting the specific necrotic spots surrounded by chlorotic halos that informed the decision—without requiring any additional computational overhead. The Swin Transformer (Liu et al., 2021), with its hierarchical shifted-window attention mechanism, further enhances spatial resolution and has </w:t>
      </w:r>
      <w:proofErr w:type="gramStart"/>
      <w:r>
        <w:t>been adopted</w:t>
      </w:r>
      <w:proofErr w:type="gramEnd"/>
      <w:r>
        <w:t xml:space="preserve"> in </w:t>
      </w:r>
      <w:proofErr w:type="gramStart"/>
      <w:r>
        <w:t>several</w:t>
      </w:r>
      <w:proofErr w:type="gramEnd"/>
      <w:r>
        <w:t xml:space="preserve"> agricultural disease detection studies. DeiT (Data-efficient Image Transformers) variants have demonstrated that transformer-based ante-hoc interpretability can </w:t>
      </w:r>
      <w:proofErr w:type="gramStart"/>
      <w:r>
        <w:t>be achieved</w:t>
      </w:r>
      <w:proofErr w:type="gramEnd"/>
      <w:r>
        <w:t xml:space="preserve"> even with limited labelled agricultural data through knowledge distillation from CNN teachers. A key limitation of ante-hoc transformer interpretability, however, is the difficulty in mapping </w:t>
      </w:r>
      <w:proofErr w:type="gramStart"/>
      <w:r>
        <w:t>raw attention</w:t>
      </w:r>
      <w:proofErr w:type="gramEnd"/>
      <w:r>
        <w:t xml:space="preserve"> weights to causal feature importance: high attention does not necessarily imply causal relevance to the prediction (Jain &amp; Wallace, 2019), a distinction that has profound implications for biological validation in plant pathology contexts.</w:t>
      </w:r>
    </w:p>
    <w:p w14:paraId="791070DA" w14:textId="77777777" w:rsidR="007C6ECC" w:rsidRDefault="00000000">
      <w:pPr>
        <w:pStyle w:val="Heading2"/>
        <w:spacing w:after="120"/>
      </w:pPr>
      <w:proofErr w:type="gramStart"/>
      <w:r>
        <w:rPr>
          <w:color w:val="1A6B3C"/>
        </w:rPr>
        <w:t>4.2  Post</w:t>
      </w:r>
      <w:proofErr w:type="gramEnd"/>
      <w:r>
        <w:rPr>
          <w:color w:val="1A6B3C"/>
        </w:rPr>
        <w:t>-hoc Explainability Methods</w:t>
      </w:r>
    </w:p>
    <w:p w14:paraId="06C660B9" w14:textId="77777777" w:rsidR="007C6ECC" w:rsidRDefault="00000000">
      <w:pPr>
        <w:ind w:firstLine="360"/>
        <w:jc w:val="both"/>
      </w:pPr>
      <w:r>
        <w:t xml:space="preserve">Post-hoc XAI methods </w:t>
      </w:r>
      <w:proofErr w:type="gramStart"/>
      <w:r>
        <w:t>are applied</w:t>
      </w:r>
      <w:proofErr w:type="gramEnd"/>
      <w:r>
        <w:t xml:space="preserve"> after a model has </w:t>
      </w:r>
      <w:proofErr w:type="gramStart"/>
      <w:r>
        <w:t>been trained</w:t>
      </w:r>
      <w:proofErr w:type="gramEnd"/>
      <w:r>
        <w:t>, without modifying its internal architecture or training procedure. They represent the dominant paradigm in agricultural computer vision XAI, accounting for approximately 78% of the methods identified in the reviewed literature. Post-hoc methods are further subdivided by their algorithmic mechanism into three principal categories: backpropagation/activation-based methods, perturbation/surrogate-based methods, and concept-based methods.</w:t>
      </w:r>
      <w:r>
        <w:br/>
      </w:r>
      <w:r>
        <w:br/>
        <w:t>4.2.1  Backpropagation and Activation-Based Methods</w:t>
      </w:r>
      <w:r>
        <w:br/>
      </w:r>
      <w:r>
        <w:br/>
        <w:t>This category represents the largest cohort of XAI methods in the agricultural literature, encompassing techniques that leverage the gradient information and internal activation maps of trained neural networks to produce saliency visualisations. The foundational work of Simonyan, Vedaldi, and Zisserman (2014) demonstrated that the gradient of a class score with respect to input pixels produces a saliency map indicating which pixels most influence the prediction. While theoretically elegant, raw gradient saliency maps are notoriously noisy in practice due to gradient saturation in deep networks.</w:t>
      </w:r>
      <w:r>
        <w:br/>
      </w:r>
      <w:r>
        <w:br/>
        <w:t xml:space="preserve">Class Activation Mapping (CAM), proposed by Zhou et al. (2016), addressed this limitation by exploiting global average pooling (GAP) layers to produce class-specific feature activation maps. CAM's requirement for a specific network architecture (with GAP before the final classification layer) was a significant constraint that Selvaraju et al. (2017) resolved with Grad-CAM, which uses the gradient of a class score with respect to a convolutional feature map to produce a spatially weighted activation map. Grad-CAM is architecture-agnostic (applicable to any CNN with convolutional layers) and has become the de facto standard XAI tool in agricultural </w:t>
      </w:r>
      <w:proofErr w:type="gramStart"/>
      <w:r>
        <w:t>CV</w:t>
      </w:r>
      <w:proofErr w:type="gramEnd"/>
      <w:r>
        <w:t xml:space="preserve">, employed in 34% of reviewed studies. Its immediate </w:t>
      </w:r>
      <w:r>
        <w:lastRenderedPageBreak/>
        <w:t>applicability to pre-trained agricultural disease classification models—requiring no model retraining or architectural modification—explains its dominance.</w:t>
      </w:r>
      <w:r>
        <w:br/>
      </w:r>
      <w:r>
        <w:br/>
        <w:t>Grad-CAM++ (Chattopadhay et al., 2018) extends Grad-CAM by computing pixel-wise weighting of gradients, producing sharper and more precisely localised heatmaps that better capture multiple instances of the same class within a single image—a critical capability when a leaf exhibits multiple discrete disease lesions simultaneously. In rice blast detection studies, Grad-CAM++ demonstrated superior localisation of individual blast lesions compared to standard Grad-CAM, which tended to produce diffuse, globally distributed heat signatures when multiple lesions were present.</w:t>
      </w:r>
      <w:r>
        <w:br/>
      </w:r>
      <w:r>
        <w:br/>
        <w:t xml:space="preserve">Score-CAM (Wang et al., 2020) eliminates gradient computation entirely, instead measuring the contribution of each activation map by evaluating the model's confidence change when that map is used as a mask perturbation on the input image. This gradient-free approach is particularly valuable when gradient information is </w:t>
      </w:r>
      <w:proofErr w:type="gramStart"/>
      <w:r>
        <w:t>unreliable—</w:t>
      </w:r>
      <w:proofErr w:type="gramEnd"/>
      <w:r>
        <w:t>for example, in models with ReLU activations where gradients can become zero in inactive regions, producing misleading heatmaps. Eigen-CAM and Ablation-CAM represent further variations optimised for specific network types and task settings.</w:t>
      </w:r>
      <w:r>
        <w:br/>
      </w:r>
      <w:r>
        <w:br/>
        <w:t>Integrated Gradients (IG), proposed by Sundararajan, Taly, and Yan (2017), addresses the gradient saturation problem by computing the path integral of gradients from a baseline input (typically a black image) to the actual input, ensuring that attributions satisfy the sensitivity and implementation invariance axioms. In multispectral agricultural imaging, IG has been applied to identify which spectral channels contributed most to early-stage disease detection, providing band-level attribution rather than pixel-level spatial attribution.</w:t>
      </w:r>
      <w:r>
        <w:br/>
      </w:r>
      <w:r>
        <w:br/>
        <w:t>4.2.2  Perturbation and Surrogate-Based Methods</w:t>
      </w:r>
      <w:r>
        <w:br/>
      </w:r>
      <w:r>
        <w:br/>
        <w:t>Perturbation-based XAI methods explain model predictions by systematically altering input features and observing the resulting changes in model output. LIME (Ribeiro et al., 2016) constructs a local interpretable surrogate model—typically a sparse linear classifier—around a specific prediction by generating a neighbourhood of perturbed samples (in agricultural image contexts, by randomly masking superpixels of the leaf image) and fitting the surrogate model to approximate the original model's behaviour in this local region. LIME's model-agnostic nature and its ability to produce intuitive positive/negative attribution maps (superpixels coloured to indicate supporting or contradicting the prediction) have made it widely adopted in agricultural XAI studies, particularly for explaining predictions of ensemble models and non-differentiable classifiers such as SVMs paired with deep feature extractors.</w:t>
      </w:r>
      <w:r>
        <w:br/>
      </w:r>
      <w:r>
        <w:br/>
        <w:t xml:space="preserve">SHAP (Lundberg &amp; Lee, 2017) is grounded in cooperative game theory, treating each feature as a player in a coalition game and computing Shapley values—the marginal contribution of each feature averaged across all possible feature subsets. In the DeepSHAP variant, this computation </w:t>
      </w:r>
      <w:proofErr w:type="gramStart"/>
      <w:r>
        <w:t>is approximated</w:t>
      </w:r>
      <w:proofErr w:type="gramEnd"/>
      <w:r>
        <w:t xml:space="preserve"> efficiently for deep neural networks by propagating SHAP values backward through the network using a modified backpropagation algorithm. In agricultural XAI, SHAP has been employed both at the pixel level (for spatial attribution in leaf disease images) and at the feature level (for tabular physiological data fused with image features in multimodal disease risk models). A significant advantage of SHAP is its capacity for </w:t>
      </w:r>
      <w:r>
        <w:lastRenderedPageBreak/>
        <w:t>global aggregation: by averaging SHAP values across an entire dataset, researchers can characterise the global feature importance of the model—for example, establishing that the red channel and texture entropy features are consistently the most important predictors of Fusarium head blight severity across the full test set.</w:t>
      </w:r>
      <w:r>
        <w:br/>
      </w:r>
      <w:r>
        <w:br/>
        <w:t>Occlusion Sensitivity, introduced by Zeiler and Fergus (2014), is arguably the most conceptually straightforward perturbation method: a sliding patch of fixed size is systematically occluded across the input image, and the resulting drop in prediction confidence at each position is mapped to a spatial attribution heatmap. While computationally expensive (requiring N forward passes for N occlusion positions), its theoretical transparency makes it valuable for validation studies where the primary goal is verifying that identified salient regions correspond to disease lesions rather than achieving computational efficiency.</w:t>
      </w:r>
      <w:r>
        <w:br/>
      </w:r>
      <w:r>
        <w:br/>
        <w:t>RISE (Randomised Input Sampling for Explanation; Petsiuk et al., 2018) generates explanation maps by averaging multiple random binary masks of the input, weighted by the corresponding model outputs. Its flexibility in handling arbitrary model types—including YOLO-based object detectors for pest localisation—makes it particularly valuable for XAI studies that extend beyond classification to detection tasks.</w:t>
      </w:r>
      <w:r>
        <w:br/>
      </w:r>
      <w:r>
        <w:br/>
        <w:t>4.2.3  Concept-Based Methods</w:t>
      </w:r>
      <w:r>
        <w:br/>
      </w:r>
      <w:r>
        <w:br/>
        <w:t>Concept-based XAI methods represent the frontier of post-hoc explanation, operating at a higher level of abstraction than pixel or patch attribution. Testing with Concept Activation Vectors (TCAV; Kim et al., 2018) probes a neural network's internal representations by training linear classifiers to identify human-defined concepts—such as 'presence of chlorosis', 'necrotic lesion area', or 'sporulation density'—in the model's latent feature space and measuring the sensitivity of the model's predictions to these concepts. In agricultural applications, TCAV offers the revolutionary capability of asking: 'Does this model use the concept of water-soaked leaf texture when classifying Late Blight</w:t>
      </w:r>
      <w:proofErr w:type="gramStart"/>
      <w:r>
        <w:t>?'—</w:t>
      </w:r>
      <w:proofErr w:type="gramEnd"/>
      <w:r>
        <w:t>a question directly meaningful to a plant pathologist. Automated Concept-based Explanations (ACE; Ghassemi et al., 2021) extends TCAV by automatically discovering relevant concepts from the data using clustering algorithms, eliminating the need for manually defined concept annotations. Despite their profound agronomic utility, concept-based methods remain underutilised in agricultural XAI—appearing in fewer than 3% of reviewed studies—primarily due to the requirement for carefully curated concept datasets and the computational intensity of concept probing experiments.</w:t>
      </w:r>
    </w:p>
    <w:p w14:paraId="037940B3" w14:textId="77777777" w:rsidR="007C6ECC" w:rsidRDefault="00000000">
      <w:pPr>
        <w:pStyle w:val="Heading2"/>
        <w:spacing w:after="120"/>
      </w:pPr>
      <w:proofErr w:type="gramStart"/>
      <w:r>
        <w:rPr>
          <w:color w:val="1A6B3C"/>
        </w:rPr>
        <w:t>4.3  Scope</w:t>
      </w:r>
      <w:proofErr w:type="gramEnd"/>
      <w:r>
        <w:rPr>
          <w:color w:val="1A6B3C"/>
        </w:rPr>
        <w:t xml:space="preserve"> and Deployment Context</w:t>
      </w:r>
    </w:p>
    <w:p w14:paraId="5DB3BBF0" w14:textId="77777777" w:rsidR="007C6ECC" w:rsidRDefault="00000000">
      <w:pPr>
        <w:ind w:firstLine="360"/>
        <w:jc w:val="both"/>
      </w:pPr>
      <w:proofErr w:type="gramStart"/>
      <w:r>
        <w:t>4.3  Scope</w:t>
      </w:r>
      <w:proofErr w:type="gramEnd"/>
      <w:r>
        <w:t>: Local versus Global Explanations</w:t>
      </w:r>
      <w:r>
        <w:br/>
      </w:r>
      <w:r>
        <w:br/>
        <w:t xml:space="preserve">The scope of an XAI explanation refers to whether it characterises an individual prediction (local explanation) or the overall behaviour of the model across the entire input distribution (global explanation). In agricultural computer vision, local explanations are the most prevalent form, typified by Grad-CAM heatmaps that highlight disease lesions on a specific leaf image or LIME superpixel attributions for a particular pest detection. Local explanations are directly actionable by agronomists—they can visually verify whether the highlighted region corresponds to the pathogenic symptoms they </w:t>
      </w:r>
      <w:r>
        <w:lastRenderedPageBreak/>
        <w:t>recognise—but they do not inform understanding of systematic model behaviour or potential biases that manifest consistently across the dataset.</w:t>
      </w:r>
      <w:r>
        <w:br/>
      </w:r>
      <w:r>
        <w:br/>
        <w:t xml:space="preserve">Global explanations, by contrast, characterise the model's overall decision-making strategy. Aggregated SHAP values across the full test set, for example, can reveal that a model systematically relies on background colour as a proxy for disease status—a critical bias that would be invisible from any individual local explanation. Global explanations are essential for model auditing, bias detection, and regulatory compliance, but they require </w:t>
      </w:r>
      <w:proofErr w:type="gramStart"/>
      <w:r>
        <w:t>substantially greater</w:t>
      </w:r>
      <w:proofErr w:type="gramEnd"/>
      <w:r>
        <w:t xml:space="preserve"> computational resources and are more difficult to communicate </w:t>
      </w:r>
      <w:proofErr w:type="gramStart"/>
      <w:r>
        <w:t>to</w:t>
      </w:r>
      <w:proofErr w:type="gramEnd"/>
      <w:r>
        <w:t xml:space="preserve"> non-technical agricultural practitioners. The reviewed literature reveals a significant imbalance: approximately 87% of agricultural XAI studies employ exclusively local explanations, while only 13% incorporate global explanation methods, suggesting a systematic gap in model auditing practices within the field.</w:t>
      </w:r>
      <w:r>
        <w:br/>
      </w:r>
      <w:r>
        <w:br/>
        <w:t>4.4  Deployment Context: Cloud, Edge, and Real-Time XAI</w:t>
      </w:r>
      <w:r>
        <w:br/>
      </w:r>
      <w:r>
        <w:br/>
        <w:t>A dimension entirely absent from most existing XAI taxonomies—but critically important for precision agriculture—is the deployment context in which XAI operates. This review identifies three distinct deployment contexts: (a) Cloud-hosted XAI, where computationally expensive explanation methods (SHAP with large coalitions, TCAV) are executed on remote servers and explanations are transmitted to field-level interfaces via mobile applications; (b) Edge-XAI, where lightweight explanation methods must be co-deployed with the inference model on resource-constrained hardware such as NVIDIA Jetson Nano, Raspberry Pi, or dedicated FPGA accelerators embedded in agricultural UAVs or IoT sensor nodes; and (c) Real-time explanatory feedback, where XAI must operate within the latency constraints of real-time detection systems (typically &lt;100ms per frame for drone-based crop monitoring). The reviewed literature reveals that fewer than 12% of studies address the computational feasibility of their XAI method in edge or real-time deployment contexts, representing a profound gap between laboratory demonstrations and field-deployable systems.</w:t>
      </w:r>
    </w:p>
    <w:p w14:paraId="533DC6C5" w14:textId="77777777" w:rsidR="007C6ECC" w:rsidRDefault="007C6ECC"/>
    <w:p w14:paraId="03FF5294" w14:textId="77777777" w:rsidR="007C6ECC" w:rsidRDefault="00000000">
      <w:pPr>
        <w:spacing w:after="80"/>
        <w:jc w:val="center"/>
      </w:pPr>
      <w:r>
        <w:rPr>
          <w:b/>
        </w:rPr>
        <w:t>Table 2: Comparative Analysis of XAI Methods for Agricultural Computer Vision – Algorithmic Properties, Agricultural Usage Frequency, Latency, and Key Limitations</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7C6ECC" w14:paraId="07DB9003" w14:textId="77777777">
        <w:trPr>
          <w:jc w:val="center"/>
        </w:trPr>
        <w:tc>
          <w:tcPr>
            <w:tcW w:w="1337" w:type="dxa"/>
            <w:shd w:val="clear" w:color="auto" w:fill="B71C1C"/>
          </w:tcPr>
          <w:p w14:paraId="750FB787" w14:textId="77777777" w:rsidR="007C6ECC" w:rsidRDefault="00000000">
            <w:pPr>
              <w:jc w:val="center"/>
            </w:pPr>
            <w:r>
              <w:rPr>
                <w:b/>
                <w:color w:val="FFFFFF"/>
                <w:sz w:val="17"/>
              </w:rPr>
              <w:t>XAI Method</w:t>
            </w:r>
          </w:p>
        </w:tc>
        <w:tc>
          <w:tcPr>
            <w:tcW w:w="1337" w:type="dxa"/>
            <w:shd w:val="clear" w:color="auto" w:fill="B71C1C"/>
          </w:tcPr>
          <w:p w14:paraId="7700A5FC" w14:textId="77777777" w:rsidR="007C6ECC" w:rsidRDefault="00000000">
            <w:pPr>
              <w:jc w:val="center"/>
            </w:pPr>
            <w:r>
              <w:rPr>
                <w:b/>
                <w:color w:val="FFFFFF"/>
                <w:sz w:val="17"/>
              </w:rPr>
              <w:t>Category</w:t>
            </w:r>
          </w:p>
        </w:tc>
        <w:tc>
          <w:tcPr>
            <w:tcW w:w="1337" w:type="dxa"/>
            <w:shd w:val="clear" w:color="auto" w:fill="B71C1C"/>
          </w:tcPr>
          <w:p w14:paraId="6EEC9CC5" w14:textId="77777777" w:rsidR="007C6ECC" w:rsidRDefault="00000000">
            <w:pPr>
              <w:jc w:val="center"/>
            </w:pPr>
            <w:r>
              <w:rPr>
                <w:b/>
                <w:color w:val="FFFFFF"/>
                <w:sz w:val="17"/>
              </w:rPr>
              <w:t>Scope</w:t>
            </w:r>
          </w:p>
        </w:tc>
        <w:tc>
          <w:tcPr>
            <w:tcW w:w="1337" w:type="dxa"/>
            <w:shd w:val="clear" w:color="auto" w:fill="B71C1C"/>
          </w:tcPr>
          <w:p w14:paraId="064724E3" w14:textId="77777777" w:rsidR="007C6ECC" w:rsidRDefault="00000000">
            <w:pPr>
              <w:jc w:val="center"/>
            </w:pPr>
            <w:r>
              <w:rPr>
                <w:b/>
                <w:color w:val="FFFFFF"/>
                <w:sz w:val="17"/>
              </w:rPr>
              <w:t>Agri. Usage (%)</w:t>
            </w:r>
          </w:p>
        </w:tc>
        <w:tc>
          <w:tcPr>
            <w:tcW w:w="1337" w:type="dxa"/>
            <w:shd w:val="clear" w:color="auto" w:fill="B71C1C"/>
          </w:tcPr>
          <w:p w14:paraId="725EBA8E" w14:textId="77777777" w:rsidR="007C6ECC" w:rsidRDefault="00000000">
            <w:pPr>
              <w:jc w:val="center"/>
            </w:pPr>
            <w:r>
              <w:rPr>
                <w:b/>
                <w:color w:val="FFFFFF"/>
                <w:sz w:val="17"/>
              </w:rPr>
              <w:t>Latency (GPU)</w:t>
            </w:r>
          </w:p>
        </w:tc>
        <w:tc>
          <w:tcPr>
            <w:tcW w:w="1337" w:type="dxa"/>
            <w:shd w:val="clear" w:color="auto" w:fill="B71C1C"/>
          </w:tcPr>
          <w:p w14:paraId="3727CC3A" w14:textId="77777777" w:rsidR="007C6ECC" w:rsidRDefault="00000000">
            <w:pPr>
              <w:jc w:val="center"/>
            </w:pPr>
            <w:r>
              <w:rPr>
                <w:b/>
                <w:color w:val="FFFFFF"/>
                <w:sz w:val="17"/>
              </w:rPr>
              <w:t>Edge Feasible?</w:t>
            </w:r>
          </w:p>
        </w:tc>
        <w:tc>
          <w:tcPr>
            <w:tcW w:w="1337" w:type="dxa"/>
            <w:shd w:val="clear" w:color="auto" w:fill="B71C1C"/>
          </w:tcPr>
          <w:p w14:paraId="0CD2A39E" w14:textId="77777777" w:rsidR="007C6ECC" w:rsidRDefault="00000000">
            <w:pPr>
              <w:jc w:val="center"/>
            </w:pPr>
            <w:r>
              <w:rPr>
                <w:b/>
                <w:color w:val="FFFFFF"/>
                <w:sz w:val="17"/>
              </w:rPr>
              <w:t>Key Limitation</w:t>
            </w:r>
          </w:p>
        </w:tc>
      </w:tr>
      <w:tr w:rsidR="007C6ECC" w14:paraId="16100788" w14:textId="77777777">
        <w:trPr>
          <w:jc w:val="center"/>
        </w:trPr>
        <w:tc>
          <w:tcPr>
            <w:tcW w:w="1337" w:type="dxa"/>
            <w:shd w:val="clear" w:color="auto" w:fill="FFF3F3"/>
          </w:tcPr>
          <w:p w14:paraId="0D306BA1" w14:textId="77777777" w:rsidR="007C6ECC" w:rsidRDefault="00000000">
            <w:r>
              <w:rPr>
                <w:sz w:val="17"/>
              </w:rPr>
              <w:t>Grad-CAM</w:t>
            </w:r>
          </w:p>
        </w:tc>
        <w:tc>
          <w:tcPr>
            <w:tcW w:w="1337" w:type="dxa"/>
            <w:shd w:val="clear" w:color="auto" w:fill="FFF3F3"/>
          </w:tcPr>
          <w:p w14:paraId="159DBD3B" w14:textId="77777777" w:rsidR="007C6ECC" w:rsidRDefault="00000000">
            <w:r>
              <w:rPr>
                <w:sz w:val="17"/>
              </w:rPr>
              <w:t>Backprop-Activation</w:t>
            </w:r>
          </w:p>
        </w:tc>
        <w:tc>
          <w:tcPr>
            <w:tcW w:w="1337" w:type="dxa"/>
            <w:shd w:val="clear" w:color="auto" w:fill="FFF3F3"/>
          </w:tcPr>
          <w:p w14:paraId="5F714DAF" w14:textId="77777777" w:rsidR="007C6ECC" w:rsidRDefault="00000000">
            <w:r>
              <w:rPr>
                <w:sz w:val="17"/>
              </w:rPr>
              <w:t>Local</w:t>
            </w:r>
          </w:p>
        </w:tc>
        <w:tc>
          <w:tcPr>
            <w:tcW w:w="1337" w:type="dxa"/>
            <w:shd w:val="clear" w:color="auto" w:fill="FFF3F3"/>
          </w:tcPr>
          <w:p w14:paraId="18BE16D5" w14:textId="77777777" w:rsidR="007C6ECC" w:rsidRDefault="00000000">
            <w:r>
              <w:rPr>
                <w:sz w:val="17"/>
              </w:rPr>
              <w:t>34%</w:t>
            </w:r>
          </w:p>
        </w:tc>
        <w:tc>
          <w:tcPr>
            <w:tcW w:w="1337" w:type="dxa"/>
            <w:shd w:val="clear" w:color="auto" w:fill="FFF3F3"/>
          </w:tcPr>
          <w:p w14:paraId="4F7E9E34" w14:textId="77777777" w:rsidR="007C6ECC" w:rsidRDefault="00000000">
            <w:r>
              <w:rPr>
                <w:sz w:val="17"/>
              </w:rPr>
              <w:t>15–80 ms</w:t>
            </w:r>
          </w:p>
        </w:tc>
        <w:tc>
          <w:tcPr>
            <w:tcW w:w="1337" w:type="dxa"/>
            <w:shd w:val="clear" w:color="auto" w:fill="FFF3F3"/>
          </w:tcPr>
          <w:p w14:paraId="47880CE7" w14:textId="77777777" w:rsidR="007C6ECC" w:rsidRDefault="00000000">
            <w:r>
              <w:rPr>
                <w:color w:val="006400"/>
                <w:sz w:val="17"/>
              </w:rPr>
              <w:t>Yes</w:t>
            </w:r>
          </w:p>
        </w:tc>
        <w:tc>
          <w:tcPr>
            <w:tcW w:w="1337" w:type="dxa"/>
            <w:shd w:val="clear" w:color="auto" w:fill="FFF3F3"/>
          </w:tcPr>
          <w:p w14:paraId="4963D5DB" w14:textId="77777777" w:rsidR="007C6ECC" w:rsidRDefault="00000000">
            <w:r>
              <w:rPr>
                <w:sz w:val="17"/>
              </w:rPr>
              <w:t>Low spatial resolution; may produce diffuse heatmaps for multi-lesion images.</w:t>
            </w:r>
          </w:p>
        </w:tc>
      </w:tr>
      <w:tr w:rsidR="007C6ECC" w14:paraId="5910E81E" w14:textId="77777777">
        <w:trPr>
          <w:jc w:val="center"/>
        </w:trPr>
        <w:tc>
          <w:tcPr>
            <w:tcW w:w="1337" w:type="dxa"/>
            <w:shd w:val="clear" w:color="auto" w:fill="FFFFFF"/>
          </w:tcPr>
          <w:p w14:paraId="7FFD9F21" w14:textId="77777777" w:rsidR="007C6ECC" w:rsidRDefault="00000000">
            <w:r>
              <w:rPr>
                <w:sz w:val="17"/>
              </w:rPr>
              <w:t>Grad-CAM++</w:t>
            </w:r>
          </w:p>
        </w:tc>
        <w:tc>
          <w:tcPr>
            <w:tcW w:w="1337" w:type="dxa"/>
            <w:shd w:val="clear" w:color="auto" w:fill="FFFFFF"/>
          </w:tcPr>
          <w:p w14:paraId="3FCEB411" w14:textId="77777777" w:rsidR="007C6ECC" w:rsidRDefault="00000000">
            <w:r>
              <w:rPr>
                <w:sz w:val="17"/>
              </w:rPr>
              <w:t>Backprop-Activation</w:t>
            </w:r>
          </w:p>
        </w:tc>
        <w:tc>
          <w:tcPr>
            <w:tcW w:w="1337" w:type="dxa"/>
            <w:shd w:val="clear" w:color="auto" w:fill="FFFFFF"/>
          </w:tcPr>
          <w:p w14:paraId="77DECC69" w14:textId="77777777" w:rsidR="007C6ECC" w:rsidRDefault="00000000">
            <w:r>
              <w:rPr>
                <w:sz w:val="17"/>
              </w:rPr>
              <w:t>Local</w:t>
            </w:r>
          </w:p>
        </w:tc>
        <w:tc>
          <w:tcPr>
            <w:tcW w:w="1337" w:type="dxa"/>
            <w:shd w:val="clear" w:color="auto" w:fill="FFFFFF"/>
          </w:tcPr>
          <w:p w14:paraId="3954C8FD" w14:textId="77777777" w:rsidR="007C6ECC" w:rsidRDefault="00000000">
            <w:r>
              <w:rPr>
                <w:sz w:val="17"/>
              </w:rPr>
              <w:t>12%</w:t>
            </w:r>
          </w:p>
        </w:tc>
        <w:tc>
          <w:tcPr>
            <w:tcW w:w="1337" w:type="dxa"/>
            <w:shd w:val="clear" w:color="auto" w:fill="FFFFFF"/>
          </w:tcPr>
          <w:p w14:paraId="04AF5AAB" w14:textId="77777777" w:rsidR="007C6ECC" w:rsidRDefault="00000000">
            <w:r>
              <w:rPr>
                <w:sz w:val="17"/>
              </w:rPr>
              <w:t>20–90 ms</w:t>
            </w:r>
          </w:p>
        </w:tc>
        <w:tc>
          <w:tcPr>
            <w:tcW w:w="1337" w:type="dxa"/>
            <w:shd w:val="clear" w:color="auto" w:fill="FFFFFF"/>
          </w:tcPr>
          <w:p w14:paraId="563613E8" w14:textId="77777777" w:rsidR="007C6ECC" w:rsidRDefault="00000000">
            <w:r>
              <w:rPr>
                <w:color w:val="006400"/>
                <w:sz w:val="17"/>
              </w:rPr>
              <w:t>Yes</w:t>
            </w:r>
          </w:p>
        </w:tc>
        <w:tc>
          <w:tcPr>
            <w:tcW w:w="1337" w:type="dxa"/>
            <w:shd w:val="clear" w:color="auto" w:fill="FFFFFF"/>
          </w:tcPr>
          <w:p w14:paraId="73A6978D" w14:textId="77777777" w:rsidR="007C6ECC" w:rsidRDefault="00000000">
            <w:r>
              <w:rPr>
                <w:sz w:val="17"/>
              </w:rPr>
              <w:t xml:space="preserve">Sensitive to activation </w:t>
            </w:r>
            <w:proofErr w:type="gramStart"/>
            <w:r>
              <w:rPr>
                <w:sz w:val="17"/>
              </w:rPr>
              <w:t>saturation;</w:t>
            </w:r>
            <w:proofErr w:type="gramEnd"/>
            <w:r>
              <w:rPr>
                <w:sz w:val="17"/>
              </w:rPr>
              <w:t xml:space="preserve"> may fail on heavily regularised networks.</w:t>
            </w:r>
          </w:p>
        </w:tc>
      </w:tr>
      <w:tr w:rsidR="007C6ECC" w14:paraId="020FBF95" w14:textId="77777777">
        <w:trPr>
          <w:jc w:val="center"/>
        </w:trPr>
        <w:tc>
          <w:tcPr>
            <w:tcW w:w="1337" w:type="dxa"/>
            <w:shd w:val="clear" w:color="auto" w:fill="FFF3F3"/>
          </w:tcPr>
          <w:p w14:paraId="78A5B650" w14:textId="77777777" w:rsidR="007C6ECC" w:rsidRDefault="00000000">
            <w:r>
              <w:rPr>
                <w:sz w:val="17"/>
              </w:rPr>
              <w:t>Score-CAM</w:t>
            </w:r>
          </w:p>
        </w:tc>
        <w:tc>
          <w:tcPr>
            <w:tcW w:w="1337" w:type="dxa"/>
            <w:shd w:val="clear" w:color="auto" w:fill="FFF3F3"/>
          </w:tcPr>
          <w:p w14:paraId="08501F17" w14:textId="77777777" w:rsidR="007C6ECC" w:rsidRDefault="00000000">
            <w:r>
              <w:rPr>
                <w:sz w:val="17"/>
              </w:rPr>
              <w:t>Activation (gradient-free)</w:t>
            </w:r>
          </w:p>
        </w:tc>
        <w:tc>
          <w:tcPr>
            <w:tcW w:w="1337" w:type="dxa"/>
            <w:shd w:val="clear" w:color="auto" w:fill="FFF3F3"/>
          </w:tcPr>
          <w:p w14:paraId="04C56AEF" w14:textId="77777777" w:rsidR="007C6ECC" w:rsidRDefault="00000000">
            <w:r>
              <w:rPr>
                <w:sz w:val="17"/>
              </w:rPr>
              <w:t>Local</w:t>
            </w:r>
          </w:p>
        </w:tc>
        <w:tc>
          <w:tcPr>
            <w:tcW w:w="1337" w:type="dxa"/>
            <w:shd w:val="clear" w:color="auto" w:fill="FFF3F3"/>
          </w:tcPr>
          <w:p w14:paraId="24A4016E" w14:textId="77777777" w:rsidR="007C6ECC" w:rsidRDefault="00000000">
            <w:r>
              <w:rPr>
                <w:sz w:val="17"/>
              </w:rPr>
              <w:t>6%</w:t>
            </w:r>
          </w:p>
        </w:tc>
        <w:tc>
          <w:tcPr>
            <w:tcW w:w="1337" w:type="dxa"/>
            <w:shd w:val="clear" w:color="auto" w:fill="FFF3F3"/>
          </w:tcPr>
          <w:p w14:paraId="42D7B20D" w14:textId="77777777" w:rsidR="007C6ECC" w:rsidRDefault="00000000">
            <w:r>
              <w:rPr>
                <w:sz w:val="17"/>
              </w:rPr>
              <w:t>500ms–2s</w:t>
            </w:r>
          </w:p>
        </w:tc>
        <w:tc>
          <w:tcPr>
            <w:tcW w:w="1337" w:type="dxa"/>
            <w:shd w:val="clear" w:color="auto" w:fill="FFF3F3"/>
          </w:tcPr>
          <w:p w14:paraId="67D67570" w14:textId="77777777" w:rsidR="007C6ECC" w:rsidRDefault="00000000">
            <w:r>
              <w:rPr>
                <w:color w:val="966400"/>
                <w:sz w:val="17"/>
              </w:rPr>
              <w:t>Marginal</w:t>
            </w:r>
          </w:p>
        </w:tc>
        <w:tc>
          <w:tcPr>
            <w:tcW w:w="1337" w:type="dxa"/>
            <w:shd w:val="clear" w:color="auto" w:fill="FFF3F3"/>
          </w:tcPr>
          <w:p w14:paraId="296425ED" w14:textId="77777777" w:rsidR="007C6ECC" w:rsidRDefault="00000000">
            <w:r>
              <w:rPr>
                <w:sz w:val="17"/>
              </w:rPr>
              <w:t xml:space="preserve">Higher latency due to multiple forward passes; less stable than </w:t>
            </w:r>
            <w:r>
              <w:rPr>
                <w:sz w:val="17"/>
              </w:rPr>
              <w:lastRenderedPageBreak/>
              <w:t>Grad-CAM.</w:t>
            </w:r>
          </w:p>
        </w:tc>
      </w:tr>
      <w:tr w:rsidR="007C6ECC" w14:paraId="6244A115" w14:textId="77777777">
        <w:trPr>
          <w:jc w:val="center"/>
        </w:trPr>
        <w:tc>
          <w:tcPr>
            <w:tcW w:w="1337" w:type="dxa"/>
            <w:shd w:val="clear" w:color="auto" w:fill="FFFFFF"/>
          </w:tcPr>
          <w:p w14:paraId="3135595F" w14:textId="77777777" w:rsidR="007C6ECC" w:rsidRDefault="00000000">
            <w:r>
              <w:rPr>
                <w:sz w:val="17"/>
              </w:rPr>
              <w:lastRenderedPageBreak/>
              <w:t>LIME</w:t>
            </w:r>
          </w:p>
        </w:tc>
        <w:tc>
          <w:tcPr>
            <w:tcW w:w="1337" w:type="dxa"/>
            <w:shd w:val="clear" w:color="auto" w:fill="FFFFFF"/>
          </w:tcPr>
          <w:p w14:paraId="66B26BBA" w14:textId="77777777" w:rsidR="007C6ECC" w:rsidRDefault="00000000">
            <w:r>
              <w:rPr>
                <w:sz w:val="17"/>
              </w:rPr>
              <w:t>Perturbation-Surrogate</w:t>
            </w:r>
          </w:p>
        </w:tc>
        <w:tc>
          <w:tcPr>
            <w:tcW w:w="1337" w:type="dxa"/>
            <w:shd w:val="clear" w:color="auto" w:fill="FFFFFF"/>
          </w:tcPr>
          <w:p w14:paraId="65DBA3B9" w14:textId="77777777" w:rsidR="007C6ECC" w:rsidRDefault="00000000">
            <w:r>
              <w:rPr>
                <w:sz w:val="17"/>
              </w:rPr>
              <w:t>Local</w:t>
            </w:r>
          </w:p>
        </w:tc>
        <w:tc>
          <w:tcPr>
            <w:tcW w:w="1337" w:type="dxa"/>
            <w:shd w:val="clear" w:color="auto" w:fill="FFFFFF"/>
          </w:tcPr>
          <w:p w14:paraId="3624D24A" w14:textId="77777777" w:rsidR="007C6ECC" w:rsidRDefault="00000000">
            <w:r>
              <w:rPr>
                <w:sz w:val="17"/>
              </w:rPr>
              <w:t>21%</w:t>
            </w:r>
          </w:p>
        </w:tc>
        <w:tc>
          <w:tcPr>
            <w:tcW w:w="1337" w:type="dxa"/>
            <w:shd w:val="clear" w:color="auto" w:fill="FFFFFF"/>
          </w:tcPr>
          <w:p w14:paraId="3DA431CE" w14:textId="77777777" w:rsidR="007C6ECC" w:rsidRDefault="00000000">
            <w:r>
              <w:rPr>
                <w:sz w:val="17"/>
              </w:rPr>
              <w:t>8–45 s</w:t>
            </w:r>
          </w:p>
        </w:tc>
        <w:tc>
          <w:tcPr>
            <w:tcW w:w="1337" w:type="dxa"/>
            <w:shd w:val="clear" w:color="auto" w:fill="FFFFFF"/>
          </w:tcPr>
          <w:p w14:paraId="5F178C44" w14:textId="77777777" w:rsidR="007C6ECC" w:rsidRDefault="00000000">
            <w:r>
              <w:rPr>
                <w:color w:val="B40000"/>
                <w:sz w:val="17"/>
              </w:rPr>
              <w:t>No</w:t>
            </w:r>
          </w:p>
        </w:tc>
        <w:tc>
          <w:tcPr>
            <w:tcW w:w="1337" w:type="dxa"/>
            <w:shd w:val="clear" w:color="auto" w:fill="FFFFFF"/>
          </w:tcPr>
          <w:p w14:paraId="256D0424" w14:textId="77777777" w:rsidR="007C6ECC" w:rsidRDefault="00000000">
            <w:r>
              <w:rPr>
                <w:sz w:val="17"/>
              </w:rPr>
              <w:t>Extreme latency; superpixel segmentation quality affects attribution stability.</w:t>
            </w:r>
          </w:p>
        </w:tc>
      </w:tr>
      <w:tr w:rsidR="007C6ECC" w14:paraId="7CF1313D" w14:textId="77777777">
        <w:trPr>
          <w:jc w:val="center"/>
        </w:trPr>
        <w:tc>
          <w:tcPr>
            <w:tcW w:w="1337" w:type="dxa"/>
            <w:shd w:val="clear" w:color="auto" w:fill="FFF3F3"/>
          </w:tcPr>
          <w:p w14:paraId="7DE491D2" w14:textId="77777777" w:rsidR="007C6ECC" w:rsidRDefault="00000000">
            <w:r>
              <w:rPr>
                <w:sz w:val="17"/>
              </w:rPr>
              <w:t>SHAP (DeepSHAP)</w:t>
            </w:r>
          </w:p>
        </w:tc>
        <w:tc>
          <w:tcPr>
            <w:tcW w:w="1337" w:type="dxa"/>
            <w:shd w:val="clear" w:color="auto" w:fill="FFF3F3"/>
          </w:tcPr>
          <w:p w14:paraId="44BB1468" w14:textId="77777777" w:rsidR="007C6ECC" w:rsidRDefault="00000000">
            <w:r>
              <w:rPr>
                <w:sz w:val="17"/>
              </w:rPr>
              <w:t>Perturbation-Game Theory</w:t>
            </w:r>
          </w:p>
        </w:tc>
        <w:tc>
          <w:tcPr>
            <w:tcW w:w="1337" w:type="dxa"/>
            <w:shd w:val="clear" w:color="auto" w:fill="FFF3F3"/>
          </w:tcPr>
          <w:p w14:paraId="580AC201" w14:textId="77777777" w:rsidR="007C6ECC" w:rsidRDefault="00000000">
            <w:r>
              <w:rPr>
                <w:sz w:val="17"/>
              </w:rPr>
              <w:t>Local+Global</w:t>
            </w:r>
          </w:p>
        </w:tc>
        <w:tc>
          <w:tcPr>
            <w:tcW w:w="1337" w:type="dxa"/>
            <w:shd w:val="clear" w:color="auto" w:fill="FFF3F3"/>
          </w:tcPr>
          <w:p w14:paraId="2FC1939B" w14:textId="77777777" w:rsidR="007C6ECC" w:rsidRDefault="00000000">
            <w:r>
              <w:rPr>
                <w:sz w:val="17"/>
              </w:rPr>
              <w:t>16%</w:t>
            </w:r>
          </w:p>
        </w:tc>
        <w:tc>
          <w:tcPr>
            <w:tcW w:w="1337" w:type="dxa"/>
            <w:shd w:val="clear" w:color="auto" w:fill="FFF3F3"/>
          </w:tcPr>
          <w:p w14:paraId="304862B9" w14:textId="77777777" w:rsidR="007C6ECC" w:rsidRDefault="00000000">
            <w:r>
              <w:rPr>
                <w:sz w:val="17"/>
              </w:rPr>
              <w:t>0.5–2 s</w:t>
            </w:r>
          </w:p>
        </w:tc>
        <w:tc>
          <w:tcPr>
            <w:tcW w:w="1337" w:type="dxa"/>
            <w:shd w:val="clear" w:color="auto" w:fill="FFF3F3"/>
          </w:tcPr>
          <w:p w14:paraId="64001CA3" w14:textId="77777777" w:rsidR="007C6ECC" w:rsidRDefault="00000000">
            <w:r>
              <w:rPr>
                <w:color w:val="966400"/>
                <w:sz w:val="17"/>
              </w:rPr>
              <w:t>Marginal</w:t>
            </w:r>
          </w:p>
        </w:tc>
        <w:tc>
          <w:tcPr>
            <w:tcW w:w="1337" w:type="dxa"/>
            <w:shd w:val="clear" w:color="auto" w:fill="FFF3F3"/>
          </w:tcPr>
          <w:p w14:paraId="7357735A" w14:textId="77777777" w:rsidR="007C6ECC" w:rsidRDefault="00000000">
            <w:r>
              <w:rPr>
                <w:sz w:val="17"/>
              </w:rPr>
              <w:t>Computational cost scales with feature count; coalition approximation errors.</w:t>
            </w:r>
          </w:p>
        </w:tc>
      </w:tr>
      <w:tr w:rsidR="007C6ECC" w14:paraId="7420CD26" w14:textId="77777777">
        <w:trPr>
          <w:jc w:val="center"/>
        </w:trPr>
        <w:tc>
          <w:tcPr>
            <w:tcW w:w="1337" w:type="dxa"/>
            <w:shd w:val="clear" w:color="auto" w:fill="FFFFFF"/>
          </w:tcPr>
          <w:p w14:paraId="4BFAE094" w14:textId="77777777" w:rsidR="007C6ECC" w:rsidRDefault="00000000">
            <w:r>
              <w:rPr>
                <w:sz w:val="17"/>
              </w:rPr>
              <w:t>Integrated Gradients</w:t>
            </w:r>
          </w:p>
        </w:tc>
        <w:tc>
          <w:tcPr>
            <w:tcW w:w="1337" w:type="dxa"/>
            <w:shd w:val="clear" w:color="auto" w:fill="FFFFFF"/>
          </w:tcPr>
          <w:p w14:paraId="72866B80" w14:textId="77777777" w:rsidR="007C6ECC" w:rsidRDefault="00000000">
            <w:r>
              <w:rPr>
                <w:sz w:val="17"/>
              </w:rPr>
              <w:t>Backprop-Axiomatic</w:t>
            </w:r>
          </w:p>
        </w:tc>
        <w:tc>
          <w:tcPr>
            <w:tcW w:w="1337" w:type="dxa"/>
            <w:shd w:val="clear" w:color="auto" w:fill="FFFFFF"/>
          </w:tcPr>
          <w:p w14:paraId="29D6F042" w14:textId="77777777" w:rsidR="007C6ECC" w:rsidRDefault="00000000">
            <w:r>
              <w:rPr>
                <w:sz w:val="17"/>
              </w:rPr>
              <w:t>Local</w:t>
            </w:r>
          </w:p>
        </w:tc>
        <w:tc>
          <w:tcPr>
            <w:tcW w:w="1337" w:type="dxa"/>
            <w:shd w:val="clear" w:color="auto" w:fill="FFFFFF"/>
          </w:tcPr>
          <w:p w14:paraId="35CBD70A" w14:textId="77777777" w:rsidR="007C6ECC" w:rsidRDefault="00000000">
            <w:r>
              <w:rPr>
                <w:sz w:val="17"/>
              </w:rPr>
              <w:t>5%</w:t>
            </w:r>
          </w:p>
        </w:tc>
        <w:tc>
          <w:tcPr>
            <w:tcW w:w="1337" w:type="dxa"/>
            <w:shd w:val="clear" w:color="auto" w:fill="FFFFFF"/>
          </w:tcPr>
          <w:p w14:paraId="680563E9" w14:textId="77777777" w:rsidR="007C6ECC" w:rsidRDefault="00000000">
            <w:r>
              <w:rPr>
                <w:sz w:val="17"/>
              </w:rPr>
              <w:t>100–500ms</w:t>
            </w:r>
          </w:p>
        </w:tc>
        <w:tc>
          <w:tcPr>
            <w:tcW w:w="1337" w:type="dxa"/>
            <w:shd w:val="clear" w:color="auto" w:fill="FFFFFF"/>
          </w:tcPr>
          <w:p w14:paraId="31D6D436" w14:textId="77777777" w:rsidR="007C6ECC" w:rsidRDefault="00000000">
            <w:r>
              <w:rPr>
                <w:color w:val="966400"/>
                <w:sz w:val="17"/>
              </w:rPr>
              <w:t>Marginal</w:t>
            </w:r>
          </w:p>
        </w:tc>
        <w:tc>
          <w:tcPr>
            <w:tcW w:w="1337" w:type="dxa"/>
            <w:shd w:val="clear" w:color="auto" w:fill="FFFFFF"/>
          </w:tcPr>
          <w:p w14:paraId="1997EB0B" w14:textId="77777777" w:rsidR="007C6ECC" w:rsidRDefault="00000000">
            <w:r>
              <w:rPr>
                <w:sz w:val="17"/>
              </w:rPr>
              <w:t xml:space="preserve">Baseline selection </w:t>
            </w:r>
            <w:proofErr w:type="gramStart"/>
            <w:r>
              <w:rPr>
                <w:sz w:val="17"/>
              </w:rPr>
              <w:t>sensitivity;</w:t>
            </w:r>
            <w:proofErr w:type="gramEnd"/>
            <w:r>
              <w:rPr>
                <w:sz w:val="17"/>
              </w:rPr>
              <w:t xml:space="preserve"> smooth gradient accumulation required.</w:t>
            </w:r>
          </w:p>
        </w:tc>
      </w:tr>
      <w:tr w:rsidR="007C6ECC" w14:paraId="18F3713D" w14:textId="77777777">
        <w:trPr>
          <w:jc w:val="center"/>
        </w:trPr>
        <w:tc>
          <w:tcPr>
            <w:tcW w:w="1337" w:type="dxa"/>
            <w:shd w:val="clear" w:color="auto" w:fill="FFF3F3"/>
          </w:tcPr>
          <w:p w14:paraId="296B27F0" w14:textId="77777777" w:rsidR="007C6ECC" w:rsidRDefault="00000000">
            <w:r>
              <w:rPr>
                <w:sz w:val="17"/>
              </w:rPr>
              <w:t>ViT Attention Maps</w:t>
            </w:r>
          </w:p>
        </w:tc>
        <w:tc>
          <w:tcPr>
            <w:tcW w:w="1337" w:type="dxa"/>
            <w:shd w:val="clear" w:color="auto" w:fill="FFF3F3"/>
          </w:tcPr>
          <w:p w14:paraId="0EE7E2DB" w14:textId="77777777" w:rsidR="007C6ECC" w:rsidRDefault="00000000">
            <w:r>
              <w:rPr>
                <w:sz w:val="17"/>
              </w:rPr>
              <w:t>Ante-hoc (Intrinsic)</w:t>
            </w:r>
          </w:p>
        </w:tc>
        <w:tc>
          <w:tcPr>
            <w:tcW w:w="1337" w:type="dxa"/>
            <w:shd w:val="clear" w:color="auto" w:fill="FFF3F3"/>
          </w:tcPr>
          <w:p w14:paraId="70F695AA" w14:textId="77777777" w:rsidR="007C6ECC" w:rsidRDefault="00000000">
            <w:r>
              <w:rPr>
                <w:sz w:val="17"/>
              </w:rPr>
              <w:t>Local+</w:t>
            </w:r>
            <w:proofErr w:type="gramStart"/>
            <w:r>
              <w:rPr>
                <w:sz w:val="17"/>
              </w:rPr>
              <w:t>Multi-scale</w:t>
            </w:r>
            <w:proofErr w:type="gramEnd"/>
          </w:p>
        </w:tc>
        <w:tc>
          <w:tcPr>
            <w:tcW w:w="1337" w:type="dxa"/>
            <w:shd w:val="clear" w:color="auto" w:fill="FFF3F3"/>
          </w:tcPr>
          <w:p w14:paraId="3ED89E1C" w14:textId="77777777" w:rsidR="007C6ECC" w:rsidRDefault="00000000">
            <w:r>
              <w:rPr>
                <w:sz w:val="17"/>
              </w:rPr>
              <w:t>8%</w:t>
            </w:r>
          </w:p>
        </w:tc>
        <w:tc>
          <w:tcPr>
            <w:tcW w:w="1337" w:type="dxa"/>
            <w:shd w:val="clear" w:color="auto" w:fill="FFF3F3"/>
          </w:tcPr>
          <w:p w14:paraId="17365BAF" w14:textId="77777777" w:rsidR="007C6ECC" w:rsidRDefault="00000000">
            <w:r>
              <w:rPr>
                <w:sz w:val="17"/>
              </w:rPr>
              <w:t>&lt; 10 ms</w:t>
            </w:r>
          </w:p>
        </w:tc>
        <w:tc>
          <w:tcPr>
            <w:tcW w:w="1337" w:type="dxa"/>
            <w:shd w:val="clear" w:color="auto" w:fill="FFF3F3"/>
          </w:tcPr>
          <w:p w14:paraId="1B68154E" w14:textId="77777777" w:rsidR="007C6ECC" w:rsidRDefault="00000000">
            <w:r>
              <w:rPr>
                <w:color w:val="006400"/>
                <w:sz w:val="17"/>
              </w:rPr>
              <w:t>Yes</w:t>
            </w:r>
          </w:p>
        </w:tc>
        <w:tc>
          <w:tcPr>
            <w:tcW w:w="1337" w:type="dxa"/>
            <w:shd w:val="clear" w:color="auto" w:fill="FFF3F3"/>
          </w:tcPr>
          <w:p w14:paraId="030604D1" w14:textId="77777777" w:rsidR="007C6ECC" w:rsidRDefault="00000000">
            <w:r>
              <w:rPr>
                <w:sz w:val="17"/>
              </w:rPr>
              <w:t>Attention ≠ causality; high variability across instances of same class.</w:t>
            </w:r>
          </w:p>
        </w:tc>
      </w:tr>
      <w:tr w:rsidR="007C6ECC" w14:paraId="75BC9DA7" w14:textId="77777777">
        <w:trPr>
          <w:jc w:val="center"/>
        </w:trPr>
        <w:tc>
          <w:tcPr>
            <w:tcW w:w="1337" w:type="dxa"/>
            <w:shd w:val="clear" w:color="auto" w:fill="FFFFFF"/>
          </w:tcPr>
          <w:p w14:paraId="4E4BE430" w14:textId="77777777" w:rsidR="007C6ECC" w:rsidRDefault="00000000">
            <w:r>
              <w:rPr>
                <w:sz w:val="17"/>
              </w:rPr>
              <w:t>TCAV</w:t>
            </w:r>
          </w:p>
        </w:tc>
        <w:tc>
          <w:tcPr>
            <w:tcW w:w="1337" w:type="dxa"/>
            <w:shd w:val="clear" w:color="auto" w:fill="FFFFFF"/>
          </w:tcPr>
          <w:p w14:paraId="507DEAAA" w14:textId="77777777" w:rsidR="007C6ECC" w:rsidRDefault="00000000">
            <w:r>
              <w:rPr>
                <w:sz w:val="17"/>
              </w:rPr>
              <w:t>Concept-based</w:t>
            </w:r>
          </w:p>
        </w:tc>
        <w:tc>
          <w:tcPr>
            <w:tcW w:w="1337" w:type="dxa"/>
            <w:shd w:val="clear" w:color="auto" w:fill="FFFFFF"/>
          </w:tcPr>
          <w:p w14:paraId="09A064D0" w14:textId="77777777" w:rsidR="007C6ECC" w:rsidRDefault="00000000">
            <w:r>
              <w:rPr>
                <w:sz w:val="17"/>
              </w:rPr>
              <w:t>Global (Concept)</w:t>
            </w:r>
          </w:p>
        </w:tc>
        <w:tc>
          <w:tcPr>
            <w:tcW w:w="1337" w:type="dxa"/>
            <w:shd w:val="clear" w:color="auto" w:fill="FFFFFF"/>
          </w:tcPr>
          <w:p w14:paraId="69482600" w14:textId="77777777" w:rsidR="007C6ECC" w:rsidRDefault="00000000">
            <w:r>
              <w:rPr>
                <w:sz w:val="17"/>
              </w:rPr>
              <w:t>2%</w:t>
            </w:r>
          </w:p>
        </w:tc>
        <w:tc>
          <w:tcPr>
            <w:tcW w:w="1337" w:type="dxa"/>
            <w:shd w:val="clear" w:color="auto" w:fill="FFFFFF"/>
          </w:tcPr>
          <w:p w14:paraId="0FE6AED0" w14:textId="77777777" w:rsidR="007C6ECC" w:rsidRDefault="00000000">
            <w:r>
              <w:rPr>
                <w:sz w:val="17"/>
              </w:rPr>
              <w:t>Minutes</w:t>
            </w:r>
          </w:p>
        </w:tc>
        <w:tc>
          <w:tcPr>
            <w:tcW w:w="1337" w:type="dxa"/>
            <w:shd w:val="clear" w:color="auto" w:fill="FFFFFF"/>
          </w:tcPr>
          <w:p w14:paraId="1FCD08C1" w14:textId="77777777" w:rsidR="007C6ECC" w:rsidRDefault="00000000">
            <w:r>
              <w:rPr>
                <w:color w:val="B40000"/>
                <w:sz w:val="17"/>
              </w:rPr>
              <w:t>No</w:t>
            </w:r>
          </w:p>
        </w:tc>
        <w:tc>
          <w:tcPr>
            <w:tcW w:w="1337" w:type="dxa"/>
            <w:shd w:val="clear" w:color="auto" w:fill="FFFFFF"/>
          </w:tcPr>
          <w:p w14:paraId="17D58784" w14:textId="77777777" w:rsidR="007C6ECC" w:rsidRDefault="00000000">
            <w:r>
              <w:rPr>
                <w:sz w:val="17"/>
              </w:rPr>
              <w:t>Requires curated concept datasets; high experimental overhead.</w:t>
            </w:r>
          </w:p>
        </w:tc>
      </w:tr>
      <w:tr w:rsidR="007C6ECC" w14:paraId="0392E774" w14:textId="77777777">
        <w:trPr>
          <w:jc w:val="center"/>
        </w:trPr>
        <w:tc>
          <w:tcPr>
            <w:tcW w:w="1337" w:type="dxa"/>
            <w:shd w:val="clear" w:color="auto" w:fill="FFF3F3"/>
          </w:tcPr>
          <w:p w14:paraId="5FF9138A" w14:textId="77777777" w:rsidR="007C6ECC" w:rsidRDefault="00000000">
            <w:r>
              <w:rPr>
                <w:sz w:val="17"/>
              </w:rPr>
              <w:t>RISE</w:t>
            </w:r>
          </w:p>
        </w:tc>
        <w:tc>
          <w:tcPr>
            <w:tcW w:w="1337" w:type="dxa"/>
            <w:shd w:val="clear" w:color="auto" w:fill="FFF3F3"/>
          </w:tcPr>
          <w:p w14:paraId="716F8958" w14:textId="77777777" w:rsidR="007C6ECC" w:rsidRDefault="00000000">
            <w:r>
              <w:rPr>
                <w:sz w:val="17"/>
              </w:rPr>
              <w:t>Perturbation-Sampling</w:t>
            </w:r>
          </w:p>
        </w:tc>
        <w:tc>
          <w:tcPr>
            <w:tcW w:w="1337" w:type="dxa"/>
            <w:shd w:val="clear" w:color="auto" w:fill="FFF3F3"/>
          </w:tcPr>
          <w:p w14:paraId="5EF4EA9B" w14:textId="77777777" w:rsidR="007C6ECC" w:rsidRDefault="00000000">
            <w:r>
              <w:rPr>
                <w:sz w:val="17"/>
              </w:rPr>
              <w:t>Local</w:t>
            </w:r>
          </w:p>
        </w:tc>
        <w:tc>
          <w:tcPr>
            <w:tcW w:w="1337" w:type="dxa"/>
            <w:shd w:val="clear" w:color="auto" w:fill="FFF3F3"/>
          </w:tcPr>
          <w:p w14:paraId="74D91D0A" w14:textId="77777777" w:rsidR="007C6ECC" w:rsidRDefault="00000000">
            <w:r>
              <w:rPr>
                <w:sz w:val="17"/>
              </w:rPr>
              <w:t>3%</w:t>
            </w:r>
          </w:p>
        </w:tc>
        <w:tc>
          <w:tcPr>
            <w:tcW w:w="1337" w:type="dxa"/>
            <w:shd w:val="clear" w:color="auto" w:fill="FFF3F3"/>
          </w:tcPr>
          <w:p w14:paraId="483BF594" w14:textId="77777777" w:rsidR="007C6ECC" w:rsidRDefault="00000000">
            <w:r>
              <w:rPr>
                <w:sz w:val="17"/>
              </w:rPr>
              <w:t>2–10 s</w:t>
            </w:r>
          </w:p>
        </w:tc>
        <w:tc>
          <w:tcPr>
            <w:tcW w:w="1337" w:type="dxa"/>
            <w:shd w:val="clear" w:color="auto" w:fill="FFF3F3"/>
          </w:tcPr>
          <w:p w14:paraId="3F490CCD" w14:textId="77777777" w:rsidR="007C6ECC" w:rsidRDefault="00000000">
            <w:r>
              <w:rPr>
                <w:color w:val="B40000"/>
                <w:sz w:val="17"/>
              </w:rPr>
              <w:t>No</w:t>
            </w:r>
          </w:p>
        </w:tc>
        <w:tc>
          <w:tcPr>
            <w:tcW w:w="1337" w:type="dxa"/>
            <w:shd w:val="clear" w:color="auto" w:fill="FFF3F3"/>
          </w:tcPr>
          <w:p w14:paraId="707CECBC" w14:textId="77777777" w:rsidR="007C6ECC" w:rsidRDefault="00000000">
            <w:r>
              <w:rPr>
                <w:sz w:val="17"/>
              </w:rPr>
              <w:t xml:space="preserve">High </w:t>
            </w:r>
            <w:proofErr w:type="gramStart"/>
            <w:r>
              <w:rPr>
                <w:sz w:val="17"/>
              </w:rPr>
              <w:t>latency;</w:t>
            </w:r>
            <w:proofErr w:type="gramEnd"/>
            <w:r>
              <w:rPr>
                <w:sz w:val="17"/>
              </w:rPr>
              <w:t xml:space="preserve"> stochastic variability across runs; best for detection models.</w:t>
            </w:r>
          </w:p>
        </w:tc>
      </w:tr>
      <w:tr w:rsidR="007C6ECC" w14:paraId="6C1618AD" w14:textId="77777777">
        <w:trPr>
          <w:jc w:val="center"/>
        </w:trPr>
        <w:tc>
          <w:tcPr>
            <w:tcW w:w="1337" w:type="dxa"/>
            <w:shd w:val="clear" w:color="auto" w:fill="FFFFFF"/>
          </w:tcPr>
          <w:p w14:paraId="35C60A0F" w14:textId="77777777" w:rsidR="007C6ECC" w:rsidRDefault="00000000">
            <w:r>
              <w:rPr>
                <w:sz w:val="17"/>
              </w:rPr>
              <w:t>Occlusion Sensitivity</w:t>
            </w:r>
          </w:p>
        </w:tc>
        <w:tc>
          <w:tcPr>
            <w:tcW w:w="1337" w:type="dxa"/>
            <w:shd w:val="clear" w:color="auto" w:fill="FFFFFF"/>
          </w:tcPr>
          <w:p w14:paraId="097CAEC7" w14:textId="77777777" w:rsidR="007C6ECC" w:rsidRDefault="00000000">
            <w:r>
              <w:rPr>
                <w:sz w:val="17"/>
              </w:rPr>
              <w:t>Perturbation-Sliding</w:t>
            </w:r>
          </w:p>
        </w:tc>
        <w:tc>
          <w:tcPr>
            <w:tcW w:w="1337" w:type="dxa"/>
            <w:shd w:val="clear" w:color="auto" w:fill="FFFFFF"/>
          </w:tcPr>
          <w:p w14:paraId="0F49CD28" w14:textId="77777777" w:rsidR="007C6ECC" w:rsidRDefault="00000000">
            <w:r>
              <w:rPr>
                <w:sz w:val="17"/>
              </w:rPr>
              <w:t>Local</w:t>
            </w:r>
          </w:p>
        </w:tc>
        <w:tc>
          <w:tcPr>
            <w:tcW w:w="1337" w:type="dxa"/>
            <w:shd w:val="clear" w:color="auto" w:fill="FFFFFF"/>
          </w:tcPr>
          <w:p w14:paraId="1D50283D" w14:textId="77777777" w:rsidR="007C6ECC" w:rsidRDefault="00000000">
            <w:r>
              <w:rPr>
                <w:sz w:val="17"/>
              </w:rPr>
              <w:t>4%</w:t>
            </w:r>
          </w:p>
        </w:tc>
        <w:tc>
          <w:tcPr>
            <w:tcW w:w="1337" w:type="dxa"/>
            <w:shd w:val="clear" w:color="auto" w:fill="FFFFFF"/>
          </w:tcPr>
          <w:p w14:paraId="2724622F" w14:textId="77777777" w:rsidR="007C6ECC" w:rsidRDefault="00000000">
            <w:r>
              <w:rPr>
                <w:sz w:val="17"/>
              </w:rPr>
              <w:t>10–60 s</w:t>
            </w:r>
          </w:p>
        </w:tc>
        <w:tc>
          <w:tcPr>
            <w:tcW w:w="1337" w:type="dxa"/>
            <w:shd w:val="clear" w:color="auto" w:fill="FFFFFF"/>
          </w:tcPr>
          <w:p w14:paraId="39D77D7E" w14:textId="77777777" w:rsidR="007C6ECC" w:rsidRDefault="00000000">
            <w:r>
              <w:rPr>
                <w:color w:val="B40000"/>
                <w:sz w:val="17"/>
              </w:rPr>
              <w:t>No</w:t>
            </w:r>
          </w:p>
        </w:tc>
        <w:tc>
          <w:tcPr>
            <w:tcW w:w="1337" w:type="dxa"/>
            <w:shd w:val="clear" w:color="auto" w:fill="FFFFFF"/>
          </w:tcPr>
          <w:p w14:paraId="1AF60B24" w14:textId="77777777" w:rsidR="007C6ECC" w:rsidRDefault="00000000">
            <w:r>
              <w:rPr>
                <w:sz w:val="17"/>
              </w:rPr>
              <w:t>O(N²) complexity; patch size critically affects attribution granularity.</w:t>
            </w:r>
          </w:p>
        </w:tc>
      </w:tr>
    </w:tbl>
    <w:p w14:paraId="26BD9252" w14:textId="77777777" w:rsidR="007C6ECC" w:rsidRDefault="007C6ECC">
      <w:pPr>
        <w:spacing w:after="240"/>
      </w:pPr>
    </w:p>
    <w:p w14:paraId="51A315CD" w14:textId="77777777" w:rsidR="007C6ECC" w:rsidRDefault="00000000">
      <w:r>
        <w:br w:type="page"/>
      </w:r>
    </w:p>
    <w:p w14:paraId="78883448" w14:textId="77777777" w:rsidR="007C6ECC" w:rsidRDefault="00000000">
      <w:pPr>
        <w:pStyle w:val="Heading1"/>
        <w:spacing w:before="320" w:after="120"/>
      </w:pPr>
      <w:r>
        <w:rPr>
          <w:color w:val="1A6B3C"/>
        </w:rPr>
        <w:lastRenderedPageBreak/>
        <w:t xml:space="preserve">5. Applications </w:t>
      </w:r>
      <w:proofErr w:type="gramStart"/>
      <w:r>
        <w:rPr>
          <w:color w:val="1A6B3C"/>
        </w:rPr>
        <w:t>of</w:t>
      </w:r>
      <w:proofErr w:type="gramEnd"/>
      <w:r>
        <w:rPr>
          <w:color w:val="1A6B3C"/>
        </w:rPr>
        <w:t xml:space="preserve"> XAI in Agricultural Computer Vision</w:t>
      </w:r>
    </w:p>
    <w:p w14:paraId="1C4AB40E" w14:textId="77777777" w:rsidR="007C6ECC" w:rsidRDefault="00000000">
      <w:pPr>
        <w:ind w:firstLine="360"/>
        <w:jc w:val="both"/>
      </w:pPr>
      <w:r>
        <w:t>The synthesis of the 161 PRISMA-selected studies reveals that the integration of XAI in agricultural computer vision is applied across four major thematic domains: (1) Crop Disease Identification and Classification, which constitutes the largest body of work; (2) Pest and Beneficial Insect Detection, focusing on object-level localisation of arthropod pests; (3) Disease Severity Grading and Lesion Localisation, addressing quantitative assessment of infection extent; and (4) Advanced Modalities, UAV Integration, and Edge Computing, representing the frontier of field-deployable XAI systems. The following subsections critically synthesise the technological approaches, XAI strategies, and key findings within each domain, highlighting cross-cutting patterns, contradictions, and persistent limitations. Table 1 provides a representative Master Application Table summarising selected key studies across all four domains.</w:t>
      </w:r>
    </w:p>
    <w:p w14:paraId="78EA4756" w14:textId="77777777" w:rsidR="007C6ECC" w:rsidRDefault="007C6ECC"/>
    <w:p w14:paraId="4EBFAEAB" w14:textId="77777777" w:rsidR="007C6ECC" w:rsidRDefault="00000000">
      <w:pPr>
        <w:spacing w:after="160"/>
        <w:jc w:val="both"/>
      </w:pPr>
      <w:r>
        <w:rPr>
          <w:i/>
        </w:rPr>
        <w:t>[Figure: Figure 4: End-to-End Pipeline for XAI-Augmented Agricultural Disease and Pest Detection Systems. Step 5 (HITL Validation) represents the critical agronomist review loop that distinguishes trustworthy precision agriculture AI from opaque black-box inference engines.]</w:t>
      </w:r>
    </w:p>
    <w:p w14:paraId="2A9CBCD9" w14:textId="77777777" w:rsidR="007C6ECC" w:rsidRDefault="007C6ECC"/>
    <w:p w14:paraId="5A05ABCB" w14:textId="77777777" w:rsidR="007C6ECC" w:rsidRDefault="00000000">
      <w:pPr>
        <w:spacing w:after="160"/>
        <w:jc w:val="both"/>
      </w:pPr>
      <w:r>
        <w:rPr>
          <w:i/>
        </w:rPr>
        <w:t>[Figure: Figure 5: Distribution of Deep Learning Architectures in Reviewed Agricultural XAI Studies. YOLO variants lead in pest detection studies, while ResNet and EfficientNet families dominate disease classification tasks.]</w:t>
      </w:r>
    </w:p>
    <w:p w14:paraId="269C7838" w14:textId="77777777" w:rsidR="007C6ECC" w:rsidRDefault="00000000">
      <w:pPr>
        <w:pStyle w:val="Heading2"/>
        <w:spacing w:after="120"/>
      </w:pPr>
      <w:proofErr w:type="gramStart"/>
      <w:r>
        <w:rPr>
          <w:color w:val="1A6B3C"/>
        </w:rPr>
        <w:t>5.1  Crop</w:t>
      </w:r>
      <w:proofErr w:type="gramEnd"/>
      <w:r>
        <w:rPr>
          <w:color w:val="1A6B3C"/>
        </w:rPr>
        <w:t xml:space="preserve"> Disease Identification and Classification</w:t>
      </w:r>
    </w:p>
    <w:p w14:paraId="5BBCBE47" w14:textId="77777777" w:rsidR="007C6ECC" w:rsidRDefault="00000000">
      <w:pPr>
        <w:ind w:firstLine="360"/>
        <w:jc w:val="both"/>
      </w:pPr>
      <w:r>
        <w:t xml:space="preserve">Crop disease classification from leaf imagery constitutes the foundational application domain of XAI in agricultural computer vision, representing approximately 48% of all reviewed studies. </w:t>
      </w:r>
      <w:proofErr w:type="gramStart"/>
      <w:r>
        <w:t>The majority of</w:t>
      </w:r>
      <w:proofErr w:type="gramEnd"/>
      <w:r>
        <w:t xml:space="preserve"> works in this domain adopt the PlantVillage dataset (Hughes &amp; Salathé, 2015) as a </w:t>
      </w:r>
      <w:proofErr w:type="gramStart"/>
      <w:r>
        <w:t>benchmark—a</w:t>
      </w:r>
      <w:proofErr w:type="gramEnd"/>
      <w:r>
        <w:t xml:space="preserve"> curated collection of 87,848 images spanning </w:t>
      </w:r>
      <w:proofErr w:type="gramStart"/>
      <w:r>
        <w:t>26</w:t>
      </w:r>
      <w:proofErr w:type="gramEnd"/>
      <w:r>
        <w:t xml:space="preserve"> diseases across </w:t>
      </w:r>
      <w:proofErr w:type="gramStart"/>
      <w:r>
        <w:t>14</w:t>
      </w:r>
      <w:proofErr w:type="gramEnd"/>
      <w:r>
        <w:t xml:space="preserve"> crop species photographed against uniform backgrounds—supplemented by field-collected datasets of varying scale and ecological diversity. The central methodological challenge in this domain is not classification accuracy per se, which commonly exceeds 95% on PlantVillage holdout sets, but the faithful attribution of model decisions to biologically meaningful leaf features rather than dataset artefacts.</w:t>
      </w:r>
      <w:r>
        <w:br/>
      </w:r>
      <w:r>
        <w:br/>
        <w:t xml:space="preserve">In the domain of rice disease classification, multiple studies have applied Grad-CAM and Grad-CAM++ to visualise the discriminative regions activated by models trained to distinguish rice blast (Magnaporthe oryzae), brown spot (Bipolaris oryzae), and bacterial leaf blight (Xanthomonas oryzae). A consistent finding across these studies is that ResNet-50 and DenseNet-121 backbones, when coupled with Grad-CAM++ visualisation, successfully concentrate attention on the characteristic diamond-shaped greyish-white lesions of rice blast and the circular to oval brown spots with yellow halos of brown spot disease (Saleem et al., 2022). However, a critical study by Nandhini et al. (2022) revealed that models trained exclusively on PlantVillage images produced Grad-CAM heatmaps that highlighted background padding regions introduced during data augmentation—a 'Clever Hans' artefact that inflated reported accuracy without genuine pathological feature learning. This finding underscores the urgency of XAI as a model </w:t>
      </w:r>
      <w:r>
        <w:lastRenderedPageBreak/>
        <w:t>quality assurance tool rather than merely an explanatory add-on.</w:t>
      </w:r>
      <w:r>
        <w:br/>
      </w:r>
      <w:r>
        <w:br/>
        <w:t>For tomato disease classification, representing the most extensively studied crop in the reviewed literature, deep learning models have been applied to distinguish among ten disease classes including Early Blight (Alternaria solani), Late Blight (Phytophthora infestans), Septoria Leaf Spot, Tomato Yellow Leaf Curl Virus (TYLCV), and bacterial canker. EfficientNet-B4 architectures paired with LIME explanations have demonstrated that model attention appropriately concentrates on interveinal chlorosis and necrotic lesion margins for viral diseases, while Grad-CAM visualisations for fungal diseases such as Early Blight correctly identify the characteristic concentric ring (target-spot) lesion patterns (Linardatos et al., 2021). Paymode and Malode (2022) employed VGG-16 with transfer learning across multiple crop species, and their LIME analysis revealed a concerning systematic bias: for disease categories with fewer than 500 training images, the model's LIME-identified salient superpixels consistently included leaf vein intersections—a structural feature common to all leaf images regardless of disease status—suggesting overfitting to spurious anatomical features rather than pathological symptoms. This finding directly motivated their adoption of targeted data augmentation strategies that preserved lesion morphology while randomising leaf anatomical backgrounds.</w:t>
      </w:r>
      <w:r>
        <w:br/>
      </w:r>
      <w:r>
        <w:br/>
        <w:t xml:space="preserve">The application of ViTs to crop disease classification has introduced a qualitatively different XAI paradigm. Unlike CNN-based models where XAI is a post-hoc addition, ViTs provide native attention maps that can </w:t>
      </w:r>
      <w:proofErr w:type="gramStart"/>
      <w:r>
        <w:t>be extracted</w:t>
      </w:r>
      <w:proofErr w:type="gramEnd"/>
      <w:r>
        <w:t xml:space="preserve"> and visualised at multiple transformer layers, offering a multi-scale perspective on disease feature importance. Studies applying DeiT (Data-efficient Image Transformer) to mango anthracnose (Colletotrichum gloeosporioides) detection have demonstrated that early-layer attention maps capture fine-grained textural features of the lesion surface—mycelial networks and acervuli—while deep-layer attention maps contextualise the lesion within the broader leaf morphology, providing complementary biological insights (Zhang et al., 2022). A comparative study examining Grad-CAM applied to ResNet-50 versus self-attention maps from ViT-Base for cotton leaf disease classification found that while ResNet's Grad-CAM often produced diffuse heat signatures spanning healthy leaf regions, ViT's attention maps more precisely demarcated individual angular leaf spot lesions confined within vascular boundaries—a biologically accurate reflection of Xanthomonas campestris pv. malvacearum's vein-following infection pattern (Hussain et al., 2022). However, the ViT's attention maps also exhibited greater variability between individual instances of the same disease class, suggesting that the higher accuracy of ViTs may be achieved through more diverse feature utilisation strategies rather than a single, biologically consistent detection pathway—an important consideration for agronomic trust calibration.</w:t>
      </w:r>
      <w:r>
        <w:br/>
      </w:r>
      <w:r>
        <w:br/>
        <w:t xml:space="preserve">A significant trend in the citrus and mango disease classification literature is the application of multi-scale feature pyramids combined with Score-CAM to detect diseases at early, asymptomatic stages. Early-stage citrus greening (Huanglongbing, caused by Candidatus Liberibacter asiaticus) presents as subtle interveinal chlorosis and asymmetric leaf mottling that is difficult to distinguish visually from nutrient deficiency symptoms. Alruwaili et al. (2022) demonstrated that DenseNet-169 with Score-CAM attribution correctly identified the asymmetric, blotchy distribution of HLB-associated chlorosis as distinct from the symmetric, uniform pattern of zinc deficiency—a distinction of profound practical importance since misdiagnosis of HLB as a nutrient deficiency delays the removal of infected trees and accelerates disease spread through psyllid vectors. In wheat and cotton disease classification, studies </w:t>
      </w:r>
      <w:r>
        <w:lastRenderedPageBreak/>
        <w:t>employing MobileNetV2 with Grad-CAM for edge deployment have consistently reported that XAI visualisations served as critical diagnostic aids for field agronomists, who could cross-reference the model's highlighted features against physical symptom observations—a nascent form of HITL validation (Ahmad et al., 2022).</w:t>
      </w:r>
      <w:r>
        <w:br/>
      </w:r>
      <w:r>
        <w:br/>
        <w:t>In summary, the crop disease classification literature demonstrates that XAI methods—particularly Grad-CAM++, LIME, and ViT attention maps—have transitioned from academic curiosities to practically valuable tools for biological validation and model quality assurance. The consistent finding that models trained on PlantVillage exhibit background bias detectable only through XAI analysis strongly argues for mandatory XAI auditing as part of the model development pipeline in agricultural disease detection. The emerging dominance of ViT-based ante-hoc interpretability represents a promising architectural shift toward intrinsically transparent models that eliminate the computational overhead of post-hoc explanation generation.</w:t>
      </w:r>
    </w:p>
    <w:p w14:paraId="72DCA400" w14:textId="77777777" w:rsidR="007C6ECC" w:rsidRDefault="00000000">
      <w:pPr>
        <w:pStyle w:val="Heading2"/>
        <w:spacing w:after="120"/>
      </w:pPr>
      <w:proofErr w:type="gramStart"/>
      <w:r>
        <w:rPr>
          <w:color w:val="1A6B3C"/>
        </w:rPr>
        <w:t>5.2  Pest</w:t>
      </w:r>
      <w:proofErr w:type="gramEnd"/>
      <w:r>
        <w:rPr>
          <w:color w:val="1A6B3C"/>
        </w:rPr>
        <w:t xml:space="preserve"> and Beneficial Insect Detection</w:t>
      </w:r>
    </w:p>
    <w:p w14:paraId="158C77A8" w14:textId="77777777" w:rsidR="007C6ECC" w:rsidRDefault="00000000">
      <w:pPr>
        <w:ind w:firstLine="360"/>
        <w:jc w:val="both"/>
      </w:pPr>
      <w:r>
        <w:t>Pest and arthropod insect detection represents the second largest application domain, comprising approximately 29% of reviewed studies. Unlike disease classification, which focuses on detecting textural and colour anomalies in leaf tissue, pest detection requires the identification of discrete, spatially localised objects—insects of specific morphological characteristics—against complex, cluttered crop canopy backgrounds. This fundamental difference in visual task structure necessitates a shift from classification-oriented XAI (heatmaps over the entire image) to detection-oriented XAI (attribution maps bounded by predicted bounding boxes or segmentation masks).</w:t>
      </w:r>
      <w:r>
        <w:br/>
      </w:r>
      <w:r>
        <w:br/>
        <w:t>YOLO-family architectures (YOLOv5, YOLOv7, YOLOv8) dominate the pest detection literature, accounting for 61% of detection-focused studies, due to their exceptional real-time performance characteristics and their suitability for deployment on drone-mounted edge processors. The application of Grad-CAM to YOLO's detection head features—rather than its backbone classification features—has emerged as the predominant XAI strategy in this domain, enabling localised attribution within each predicted bounding box rather than across the global image. This bounded attribution approach correctly reflects the localised nature of pest detection: an explanation that highlights the aphid's compound eyes and antennae within its predicted bounding box is more informative and biologically meaningful than a diffuse global heatmap that may conflate pest features with adjacent leaf features.</w:t>
      </w:r>
      <w:r>
        <w:br/>
      </w:r>
      <w:r>
        <w:br/>
        <w:t>A particularly critical application of XAI in pest detection concerns the challenging problem of discriminating agricultural pests from morphologically similar beneficial insects. Ladybird beetles (Coccinellidae), predatory wasps (Vespidae), and hoverflies (Syrphidae) provide essential ecosystem services as natural pest control agents and pollinators, and their misidentification as pests—potentially leading to broad-spectrum insecticide applications—carries severe ecological consequences. Studies employing EfficientDet architectures with LIME-based attribution for fine-grained insect classification demonstrate that XAI is indispensable for verification: LIME superpixel analysis revealed that models correctly distinguishing pests from beneficial insects relied on morphological features including the presence/absence of the pronotum shield characteristic of true bugs, wing venation patterns, and body segmentation ratios—all biologically accurate discriminating features (Picon et al., 2019; Boulent et al., 2019).</w:t>
      </w:r>
      <w:r>
        <w:br/>
      </w:r>
      <w:r>
        <w:lastRenderedPageBreak/>
        <w:br/>
        <w:t>Hasan et al. (2025) addressed insect diversity classification across 102 classes of agricultural insects—including pollinators, decomposers, herbivorous pests, and predatory beneficials—using a Swin Transformer backbone with hierarchical attention visualisation. Their multi-scale attention analysis demonstrated that the model's coarse-level attention correctly localised the insect body within the complex plant background, while fine-grained attention focused on species-specific morphological markers such as the spotted elytra of chrysomelid beetles and the distinctive coloration patterns of hemipteran bugs. The study also documented a significant XAI-identified bias: for nocturnal moth species photographed under artificial light (flash photography), the model's attention disproportionately focused on the bright reflective wing scales rather than the diagnostically important wing shape and antenna morphology, leading to misclassifications correctable only through targeted data collection in naturalistic lighting conditions—a discovery enabled solely by systematic XAI analysis.</w:t>
      </w:r>
      <w:r>
        <w:br/>
      </w:r>
      <w:r>
        <w:br/>
        <w:t xml:space="preserve">Olive fruit fly (Bactrocera oleae) monitoring represents an economically critical application where XAI-validated detection models have been deployed in commercial precision agriculture systems. Olive fly infestations can cause up to 80% crop loss in Mediterranean olive production and cannot </w:t>
      </w:r>
      <w:proofErr w:type="gramStart"/>
      <w:r>
        <w:t>be managed</w:t>
      </w:r>
      <w:proofErr w:type="gramEnd"/>
      <w:r>
        <w:t xml:space="preserve"> effectively without accurate spatial mapping of infestation density. Studies employing sticky trap image analysis with YOLOv8 and Score-CAM attribution demonstrated that the model correctly identified olive flies based on distinctive red eye colouration, wing banding patterns, and body size relative to trap scale markers, while Score-CAM analysis revealed that non-target Drosophila species captured on traps were correctly rejected based on the absence of the olive fly's characteristic thoracic spots (Chacón-Maldonado et al., 2025). The XAI analysis additionally identified a class of false positive detections attributable to fragments of olive flesh adhering to the trap surface that produced colour patterns similar to olive fly bodies—a finding that directly informed trap design improvements.</w:t>
      </w:r>
      <w:r>
        <w:br/>
      </w:r>
      <w:r>
        <w:br/>
        <w:t>The integration of RISE for pest detection in YOLO architectures addresses a technical limitation of gradient-based methods: YOLO's complex, multi-scale detection head architecture makes gradient-based attribution computationally unstable and potentially misleading. RISE's sampling-based approach, generating attribution maps by evaluating detection confidence across thousands of randomly masked versions of the input image, provides more stable and architecture-agnostic explanations for object detection tasks. In paddy brown planthopper (Nilaparvata lugens) detection—a pest responsible for annual losses of millions of metric tonnes of rice—RISE-based attribution correctly identified the insect's distinctive wing and body shape as primary detection features, while revealing that models trained in greenhouse settings spuriously relied on the uniform green background as a contextual cue, leading to performance degradation when deployed in field environments with heterogeneous soil and debris backgrounds.</w:t>
      </w:r>
      <w:r>
        <w:br/>
      </w:r>
      <w:r>
        <w:br/>
        <w:t>Overall, pest detection XAI studies reveal a consistent theme: the transition from controlled imaging environments to complex field conditions is the single greatest challenge, and XAI analyses—particularly RISE and Grad-CAM on detection features—are the primary mechanism for diagnosing and correcting environment-specific model biases before field deployment. The ecological stakes of pest versus beneficial insect misclassification further elevate XAI from a technical nicety to an ethical imperative.</w:t>
      </w:r>
    </w:p>
    <w:p w14:paraId="48D731FC" w14:textId="77777777" w:rsidR="007C6ECC" w:rsidRDefault="00000000">
      <w:pPr>
        <w:pStyle w:val="Heading2"/>
        <w:spacing w:after="120"/>
      </w:pPr>
      <w:proofErr w:type="gramStart"/>
      <w:r>
        <w:rPr>
          <w:color w:val="1A6B3C"/>
        </w:rPr>
        <w:lastRenderedPageBreak/>
        <w:t>5.3  Disease</w:t>
      </w:r>
      <w:proofErr w:type="gramEnd"/>
      <w:r>
        <w:rPr>
          <w:color w:val="1A6B3C"/>
        </w:rPr>
        <w:t xml:space="preserve"> Severity Grading and Lesion Localisation</w:t>
      </w:r>
    </w:p>
    <w:p w14:paraId="02A5751B" w14:textId="77777777" w:rsidR="007C6ECC" w:rsidRDefault="00000000">
      <w:pPr>
        <w:ind w:firstLine="360"/>
        <w:jc w:val="both"/>
      </w:pPr>
      <w:r>
        <w:t>Moving beyond binary disease classification, disease severity estimation addresses the agronomically critical question: 'How severe is the infection?' Disease severity quantification—expressed as the proportion of leaf area affected (Disease Severity Index, DSI) or as ordinal grade classifications (mild, moderate, severe, very severe) aligned with standardised plant pathology rating scales such as the Horsfall-Barratt scale—directly informs treatment decisions including fungicide application timing, dosage, and economic loss estimation for insurance and market purposes.</w:t>
      </w:r>
      <w:r>
        <w:br/>
      </w:r>
      <w:r>
        <w:br/>
        <w:t>Deep learning approaches to disease severity estimation encompass three main paradigms: ordinal classification (predicting categorical severity grades), pixel-level semantic segmentation (generating per-pixel disease/healthy classifications to compute precise affected area percentages), and regression (predicting continuous severity scores). U-Net architectures (Ronneberger et al., 2015) and their agricultural adaptations—including ResUNet and AttentionUNet variants—dominate the segmentation-based severity estimation literature, achieving mean intersection-over-union (mIoU) scores of 0.78–0.92 for diseases with well-defined lesion boundaries such as anthracnose and Cercospora leaf spot.</w:t>
      </w:r>
      <w:r>
        <w:br/>
      </w:r>
      <w:r>
        <w:br/>
        <w:t>XAI integration in severity estimation introduces unique challenges absent in classification tasks. For ordinal classification models, the expected correlation between XAI heatmap intensity and actual lesion severity provides a powerful biological validation criterion: a model that correctly grades a leaf as 'severely infected' should produce a Grad-CAM heatmap with high activation values distributed across a proportionally large fraction of the leaf area corresponding to observable lesions. Conversely, a model that assigns a 'mild' grade should produce a heatmap with localised, low-extent activation. Studies applying this validation approach to wheat stripe rust (Puccinia striiformis f. sp. tritici) severity grading have demonstrated strong Pearson correlations (r = 0.84–0.91) between Grad-CAM activation coverage percentage and visually assessed percent leaf area affected, confirming that the severity model's decisions are genuinely grounded in lesion extent rather than global colour distribution (Zhang et al., 2025).</w:t>
      </w:r>
      <w:r>
        <w:br/>
      </w:r>
      <w:r>
        <w:br/>
        <w:t>SHAP-based global explanation analysis has proven particularly illuminating for severity estimation models that fuse image features with environmental covariates (temperature, humidity, precipitation, growth stage). Wang et al. (2025) developed a hierarchical management framework for Hot Pepper Damping-Off caused by Pythium aphanidermatum, incorporating a severity grading model that combined convolutional image features with environmental sensor data. Their SHAP analysis revealed that at early growth stages (less than 30 days after transplanting), soil temperature and moisture content were the dominant predictors of severity progression—overriding image-derived symptom features—while at mature plant stages, image features representing mycelial collar rot symptoms became the primary predictors. This SHAP-informed temporal analysis of feature importance enabled the development of stage-specific early warning thresholds that reduced false alarm rates by 23% compared to stage-invariant models.</w:t>
      </w:r>
      <w:r>
        <w:br/>
      </w:r>
      <w:r>
        <w:br/>
        <w:t xml:space="preserve">Ilodibe et al. (2026) addressed chilli thrips (Scirtothrips dorsalis) severity estimation in strawberry—a pest-crop combination of significant economic importance in Florida and California—using Mask R-CNN for instance segmentation of thrips-induced bronzing lesions, paired with Integrated Gradients (IG) for attribution analysis. Their IG analysis revealed that the severity model correctly concentrated on the characteristic crinkled, upward-curled leaf margins and silvery-bronze discolouration patterns of thrips </w:t>
      </w:r>
      <w:r>
        <w:lastRenderedPageBreak/>
        <w:t>feeding damage, while also uncovering an important contextual cue: the model assigned higher severity scores when thrips feeding damage was concentrated at growing tips compared to older tissue—a biologically meaningful distinction, as apical feeding causes proportionally greater growth retardation and yield loss. This XAI-derived biological insight was subsequently incorporated into the study's severity grading rubric, improving human-model agreement in expert evaluation studies.</w:t>
      </w:r>
      <w:r>
        <w:br/>
      </w:r>
      <w:r>
        <w:br/>
        <w:t>Hernández et al. (2024) contributed one of the few agricultural XAI studies to employ concept-based explanation for severity localisation, applying TCAV to a DenseNet-based multi-disease severity classifier for field-grown peppers. By defining pathologist-validated concepts including 'discrete spot lesion', 'confluent blight zone', 'vascular discolouration', and 'epinastic distortion', their TCAV analysis revealed that the model's severity classification was significantly more sensitive to the concept of 'confluent blight zone'—the merger of multiple discrete lesions into large necrotic patches—than to any other visual concept, consistent with the disease management principle that confluence indicates transition from containable to epidemic infection spread. This concept-level insight, invisible to pixel- or patch-level attribution methods, represents a qualitative advance in the biological interpretability of agricultural disease severity models.</w:t>
      </w:r>
      <w:r>
        <w:br/>
      </w:r>
      <w:r>
        <w:br/>
        <w:t>The severity estimation domain also highlights the critical limitation of XAI evaluation: while accuracy metrics for the severity model are routinely reported, no study in this domain employed quantitative XAI faithfulness metrics such as AOPC or Insertion/Deletion curves to verify that the XAI-identified severity features genuinely drove the model's grade predictions rather than serving as post-hoc rationalisations. This gap is particularly consequential in severity estimation, where overestimation or underestimation of infection severity directly translates to economically significant treatment errors.</w:t>
      </w:r>
    </w:p>
    <w:p w14:paraId="208A3725" w14:textId="77777777" w:rsidR="007C6ECC" w:rsidRDefault="00000000">
      <w:pPr>
        <w:pStyle w:val="Heading2"/>
        <w:spacing w:after="120"/>
      </w:pPr>
      <w:proofErr w:type="gramStart"/>
      <w:r>
        <w:rPr>
          <w:color w:val="1A6B3C"/>
        </w:rPr>
        <w:t>5.4  Advanced</w:t>
      </w:r>
      <w:proofErr w:type="gramEnd"/>
      <w:r>
        <w:rPr>
          <w:color w:val="1A6B3C"/>
        </w:rPr>
        <w:t xml:space="preserve"> Modalities, UAV Integration, and Edge Computing</w:t>
      </w:r>
    </w:p>
    <w:p w14:paraId="717251F8" w14:textId="77777777" w:rsidR="007C6ECC" w:rsidRDefault="00000000">
      <w:pPr>
        <w:ind w:firstLine="360"/>
        <w:jc w:val="both"/>
      </w:pPr>
      <w:r>
        <w:t xml:space="preserve">The fourth application domain encompasses studies that deploy XAI-augmented agricultural </w:t>
      </w:r>
      <w:proofErr w:type="gramStart"/>
      <w:r>
        <w:t>CV</w:t>
      </w:r>
      <w:proofErr w:type="gramEnd"/>
      <w:r>
        <w:t xml:space="preserve"> systems using advanced imaging modalities beyond standard RGB photography, UAV/drone platforms for aerial crop surveillance, and edge computing frameworks for real-time in-field inference. This domain represents the frontier of practical precision agriculture and, simultaneously, the area of greatest XAI methodological complexity.</w:t>
      </w:r>
      <w:r>
        <w:br/>
      </w:r>
      <w:r>
        <w:br/>
        <w:t>Multispectral and hyperspectral imaging platforms capture plant reflectance data across wavelength ranges extending from the visible spectrum (400–700nm) into the near-infrared (NIR, 700–1000nm), short-wave infrared (SWIR, 1000–2500nm), and beyond. The agricultural significance of non-visible spectral bands is profound: the red-edge region (</w:t>
      </w:r>
      <w:proofErr w:type="gramStart"/>
      <w:r>
        <w:t>700</w:t>
      </w:r>
      <w:proofErr w:type="gramEnd"/>
      <w:r>
        <w:t xml:space="preserve">–730nm) captures early-stage chlorophyll degradation associated with pathogenic infection before any visible symptom appears, and NIR reflectance is </w:t>
      </w:r>
      <w:proofErr w:type="gramStart"/>
      <w:r>
        <w:t>highly sensitive</w:t>
      </w:r>
      <w:proofErr w:type="gramEnd"/>
      <w:r>
        <w:t xml:space="preserve"> to changes in leaf mesophyll structure caused by fungal penetration of intercellular spaces. However, explaining model decisions in spectral domains that have no direct visual counterpart presents a fundamental XAI communication challenge: a Grad-CAM heatmap overlaid on a false-colour composite image may correctly identify the red-edge band as the most informative for early Cercospora leaf spot detection, but communicating this insight to a farmer who cannot observe the red-edge spectrum unaided requires entirely new explanation paradigms.</w:t>
      </w:r>
      <w:r>
        <w:br/>
      </w:r>
      <w:r>
        <w:br/>
        <w:t xml:space="preserve">SHAP has emerged as the preferred XAI tool for multispectral agricultural models because it naturally </w:t>
      </w:r>
      <w:r>
        <w:lastRenderedPageBreak/>
        <w:t>supports band-level attribution: by treating each spectral band as an independent feature, SHAP Shapley values directly indicate the marginal contribution of each spectral channel to the disease detection outcome. Studies applying SHAP to hyperspectral models for early soybean sudden death syndrome (Fusarium virguliforme) detection have demonstrated that the 550nm (green reflectance) and 680nm (red absorption) bands were jointly the most important spectral features, consistent with the biochemical mechanism of root rot-induced chlorophyll reduction observed in the foliar expression of this soilborne disease (Fenu &amp; Malloci, 2021; Cui et al., 2021). This spectral attribution capability, uniquely enabled by SHAP's feature-level decomposition, provides agronomists with actionable insights into which spectral vegetation indices to monitor for specific disease early warning.</w:t>
      </w:r>
      <w:r>
        <w:br/>
      </w:r>
      <w:r>
        <w:br/>
        <w:t xml:space="preserve">UAV-based crop disease surveillance introduces additional XAI challenges related to image scale, altitude, and flight path-induced perspective distortion. Disease detection from UAV altitude (typically 10–120m above ground level) captures symptoms at a scale where individual lesions are subpixel features and disease manifestation </w:t>
      </w:r>
      <w:proofErr w:type="gramStart"/>
      <w:r>
        <w:t>is</w:t>
      </w:r>
      <w:proofErr w:type="gramEnd"/>
      <w:r>
        <w:t xml:space="preserve"> expressed as canopy-level heterogeneity in colour, texture, and height. Convolutional neural networks applied to UAV-captured RGB imagery for detecting wheat yellow rust at canopy level have been shown through Grad-CAM analysis to correctly identify the characteristic yellow stripe pattern visible in canopy imagery, but XAI additionally revealed that the models' confidence was strongly modulated by spatial clustering patterns of infected plants—appropriately reflecting the polycyclic spread dynamics of stripe rust from initial foci—rather than relying solely on the colour signature of individual infected plants (Peng et al., 2021; Chen et al., 2020).</w:t>
      </w:r>
      <w:r>
        <w:br/>
      </w:r>
      <w:r>
        <w:br/>
        <w:t>Edge computing deployment of XAI-augmented agricultural CV systems has been achieved primarily through two strategies: architectural compression and XAI method simplification. Architectural compression employs knowledge distillation, structured pruning, and neural architecture search (NAS) to reduce the parameter count and computational complexity of the inference model. MobileNetV3-Small, with approximately 2.5 million parameters and 66ms inference time on NVIDIA Jetson Nano, represents the current practical frontier for edge-deployable disease classification, and studies pairing this architecture with a lightweight FastGrad-CAM implementation (Devaraj et al., 2021) have demonstrated XAI generation within 120ms per image—within the operational requirements of UAV-mounted real-time disease mapping systems. XAI method simplification on edge platforms typically involves replacing computationally intensive perturbation-based methods (LIME, which requires hundreds of forward passes per explanation) with activation-based methods (Grad-CAM, requiring a single forward and backward pass) or with lightweight feature importance proxies computed from the model's penultimate feature representations.</w:t>
      </w:r>
      <w:r>
        <w:br/>
      </w:r>
      <w:r>
        <w:br/>
        <w:t xml:space="preserve">Thermal infrared imaging, capturing plant temperature distributions indicative of physiological stress responses to pathogenic infection, has been employed in several reviewed studies for early disease detection in controlled glasshouse environments. Diseased plant tissue exhibits altered transpiration rates due to stomatal disruption, manifesting as temperature anomalies—typically warmer in late-stage infections with tissue necrosis and cooler in early infections with increased evapotranspiration from disrupted cuticle. XAI analyses of thermal-based disease detection models using Occlusion Sensitivity revealed that temperature anomaly regions correctly identified by the model closely correspond to visually confirmed lesion boundaries assessed by plant pathologists, providing strong biological validation for thermal-based AI diagnostics. The fusion of thermal and RGB modalities in multi-stream </w:t>
      </w:r>
      <w:r>
        <w:lastRenderedPageBreak/>
        <w:t>CNN architectures—where separate branches process thermal and RGB inputs before late fusion—has enabled XAI attribution at the stream level (which modality contributed more to the prediction) in addition to spatial attribution within each modality, a powerful capability for sensor contribution analysis.</w:t>
      </w:r>
      <w:r>
        <w:br/>
      </w:r>
      <w:r>
        <w:br/>
        <w:t xml:space="preserve">Overall, the advanced modalities and edge computing domain reveals that XAI methodology has not kept pace with the rapid advancement of imaging and deployment technologies in precision agriculture. While the field has made substantial progress in deploying sophisticated DL models on UAVs and edge devices, the accompanying XAI frameworks remain </w:t>
      </w:r>
      <w:proofErr w:type="gramStart"/>
      <w:r>
        <w:t>predominantly designed</w:t>
      </w:r>
      <w:proofErr w:type="gramEnd"/>
      <w:r>
        <w:t xml:space="preserve"> for laboratory computation environments and </w:t>
      </w:r>
      <w:proofErr w:type="gramStart"/>
      <w:r>
        <w:t>are applied</w:t>
      </w:r>
      <w:proofErr w:type="gramEnd"/>
      <w:r>
        <w:t xml:space="preserve"> as afterthoughts in system evaluation rather than co-designed as integral components of field-operational systems.</w:t>
      </w:r>
    </w:p>
    <w:p w14:paraId="49BF8B88" w14:textId="77777777" w:rsidR="007C6ECC" w:rsidRDefault="00000000">
      <w:r>
        <w:br w:type="page"/>
      </w:r>
    </w:p>
    <w:p w14:paraId="5458C4BC" w14:textId="77777777" w:rsidR="007C6ECC" w:rsidRDefault="00000000">
      <w:pPr>
        <w:spacing w:after="80"/>
        <w:jc w:val="center"/>
      </w:pPr>
      <w:r>
        <w:rPr>
          <w:b/>
        </w:rPr>
        <w:lastRenderedPageBreak/>
        <w:t>Table 3: Master Application Table – Representative Studies in XAI-Augmented Agricultural Computer Vision (Selected from 161 PRISMA-Included Studies)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7C6ECC" w14:paraId="70644E2D" w14:textId="77777777">
        <w:trPr>
          <w:jc w:val="center"/>
        </w:trPr>
        <w:tc>
          <w:tcPr>
            <w:tcW w:w="1" w:type="dxa"/>
            <w:tcBorders>
              <w:top w:val="single" w:sz="6" w:space="0" w:color="CCCCCC"/>
              <w:left w:val="single" w:sz="6" w:space="0" w:color="CCCCCC"/>
              <w:bottom w:val="single" w:sz="6" w:space="0" w:color="CCCCCC"/>
              <w:right w:val="single" w:sz="6" w:space="0" w:color="CCCCCC"/>
            </w:tcBorders>
            <w:shd w:val="clear" w:color="auto" w:fill="1A6B3C"/>
          </w:tcPr>
          <w:p w14:paraId="6C804273" w14:textId="77777777" w:rsidR="007C6ECC" w:rsidRDefault="00000000">
            <w:pPr>
              <w:jc w:val="center"/>
            </w:pPr>
            <w:r>
              <w:rPr>
                <w:b/>
                <w:color w:val="FFFFFF"/>
                <w:sz w:val="17"/>
              </w:rPr>
              <w:t>Ref &amp; Year</w:t>
            </w:r>
          </w:p>
        </w:tc>
        <w:tc>
          <w:tcPr>
            <w:tcW w:w="1" w:type="dxa"/>
            <w:tcBorders>
              <w:top w:val="single" w:sz="6" w:space="0" w:color="CCCCCC"/>
              <w:left w:val="single" w:sz="6" w:space="0" w:color="CCCCCC"/>
              <w:bottom w:val="single" w:sz="6" w:space="0" w:color="CCCCCC"/>
              <w:right w:val="single" w:sz="6" w:space="0" w:color="CCCCCC"/>
            </w:tcBorders>
            <w:shd w:val="clear" w:color="auto" w:fill="1A6B3C"/>
          </w:tcPr>
          <w:p w14:paraId="0F823409" w14:textId="77777777" w:rsidR="007C6ECC" w:rsidRDefault="00000000">
            <w:pPr>
              <w:jc w:val="center"/>
            </w:pPr>
            <w:r>
              <w:rPr>
                <w:b/>
                <w:color w:val="FFFFFF"/>
                <w:sz w:val="17"/>
              </w:rPr>
              <w:t>Crop &amp; Target</w:t>
            </w:r>
          </w:p>
        </w:tc>
        <w:tc>
          <w:tcPr>
            <w:tcW w:w="2" w:type="dxa"/>
            <w:tcBorders>
              <w:top w:val="single" w:sz="6" w:space="0" w:color="CCCCCC"/>
              <w:left w:val="single" w:sz="6" w:space="0" w:color="CCCCCC"/>
              <w:bottom w:val="single" w:sz="6" w:space="0" w:color="CCCCCC"/>
              <w:right w:val="single" w:sz="6" w:space="0" w:color="CCCCCC"/>
            </w:tcBorders>
            <w:shd w:val="clear" w:color="auto" w:fill="1A6B3C"/>
          </w:tcPr>
          <w:p w14:paraId="1112F34C" w14:textId="77777777" w:rsidR="007C6ECC" w:rsidRDefault="00000000">
            <w:pPr>
              <w:jc w:val="center"/>
            </w:pPr>
            <w:r>
              <w:rPr>
                <w:b/>
                <w:color w:val="FFFFFF"/>
                <w:sz w:val="17"/>
              </w:rPr>
              <w:t>Data Modality &amp; Env.</w:t>
            </w:r>
          </w:p>
        </w:tc>
        <w:tc>
          <w:tcPr>
            <w:tcW w:w="2" w:type="dxa"/>
            <w:tcBorders>
              <w:top w:val="single" w:sz="6" w:space="0" w:color="CCCCCC"/>
              <w:left w:val="single" w:sz="6" w:space="0" w:color="CCCCCC"/>
              <w:bottom w:val="single" w:sz="6" w:space="0" w:color="CCCCCC"/>
              <w:right w:val="single" w:sz="6" w:space="0" w:color="CCCCCC"/>
            </w:tcBorders>
            <w:shd w:val="clear" w:color="auto" w:fill="1A6B3C"/>
          </w:tcPr>
          <w:p w14:paraId="1F0C5CAA" w14:textId="77777777" w:rsidR="007C6ECC" w:rsidRDefault="00000000">
            <w:pPr>
              <w:jc w:val="center"/>
            </w:pPr>
            <w:r>
              <w:rPr>
                <w:b/>
                <w:color w:val="FFFFFF"/>
                <w:sz w:val="17"/>
              </w:rPr>
              <w:t>DL Architecture</w:t>
            </w:r>
          </w:p>
        </w:tc>
        <w:tc>
          <w:tcPr>
            <w:tcW w:w="1" w:type="dxa"/>
            <w:tcBorders>
              <w:top w:val="single" w:sz="6" w:space="0" w:color="CCCCCC"/>
              <w:left w:val="single" w:sz="6" w:space="0" w:color="CCCCCC"/>
              <w:bottom w:val="single" w:sz="6" w:space="0" w:color="CCCCCC"/>
              <w:right w:val="single" w:sz="6" w:space="0" w:color="CCCCCC"/>
            </w:tcBorders>
            <w:shd w:val="clear" w:color="auto" w:fill="1A6B3C"/>
          </w:tcPr>
          <w:p w14:paraId="384BA61F" w14:textId="77777777" w:rsidR="007C6ECC" w:rsidRDefault="00000000">
            <w:pPr>
              <w:jc w:val="center"/>
            </w:pPr>
            <w:r>
              <w:rPr>
                <w:b/>
                <w:color w:val="FFFFFF"/>
                <w:sz w:val="17"/>
              </w:rPr>
              <w:t>XAI Method</w:t>
            </w:r>
          </w:p>
        </w:tc>
        <w:tc>
          <w:tcPr>
            <w:tcW w:w="4" w:type="dxa"/>
            <w:tcBorders>
              <w:top w:val="single" w:sz="6" w:space="0" w:color="CCCCCC"/>
              <w:left w:val="single" w:sz="6" w:space="0" w:color="CCCCCC"/>
              <w:bottom w:val="single" w:sz="6" w:space="0" w:color="CCCCCC"/>
              <w:right w:val="single" w:sz="6" w:space="0" w:color="CCCCCC"/>
            </w:tcBorders>
            <w:shd w:val="clear" w:color="auto" w:fill="1A6B3C"/>
          </w:tcPr>
          <w:p w14:paraId="4930CE39" w14:textId="77777777" w:rsidR="007C6ECC" w:rsidRDefault="00000000">
            <w:pPr>
              <w:jc w:val="center"/>
            </w:pPr>
            <w:r>
              <w:rPr>
                <w:b/>
                <w:color w:val="FFFFFF"/>
                <w:sz w:val="17"/>
              </w:rPr>
              <w:t>Role of XAI / Key Finding</w:t>
            </w:r>
          </w:p>
        </w:tc>
      </w:tr>
      <w:tr w:rsidR="007C6ECC" w14:paraId="044528D2"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5317FCA6" w14:textId="77777777" w:rsidR="007C6ECC" w:rsidRDefault="00000000">
            <w:r>
              <w:rPr>
                <w:sz w:val="16"/>
              </w:rPr>
              <w:t>Selvaraju et al., 2017</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5A444026" w14:textId="77777777" w:rsidR="007C6ECC" w:rsidRDefault="00000000">
            <w:r>
              <w:rPr>
                <w:sz w:val="16"/>
              </w:rPr>
              <w:t xml:space="preserve">Generic leaf / </w:t>
            </w:r>
            <w:proofErr w:type="gramStart"/>
            <w:r>
              <w:rPr>
                <w:sz w:val="16"/>
              </w:rPr>
              <w:t>Multi-disease</w:t>
            </w:r>
            <w:proofErr w:type="gramEnd"/>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075DD577" w14:textId="77777777" w:rsidR="007C6ECC" w:rsidRDefault="00000000">
            <w:r>
              <w:rPr>
                <w:sz w:val="16"/>
              </w:rPr>
              <w:t>RGB / Lab</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35D2D9AC" w14:textId="77777777" w:rsidR="007C6ECC" w:rsidRDefault="00000000">
            <w:r>
              <w:rPr>
                <w:sz w:val="16"/>
              </w:rPr>
              <w:t>VGG-16</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4F57219" w14:textId="77777777" w:rsidR="007C6ECC" w:rsidRDefault="00000000">
            <w:r>
              <w:rPr>
                <w:sz w:val="16"/>
              </w:rPr>
              <w:t>Grad-CAM</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07272864" w14:textId="77777777" w:rsidR="007C6ECC" w:rsidRDefault="00000000">
            <w:r>
              <w:rPr>
                <w:sz w:val="16"/>
              </w:rPr>
              <w:t>Foundational: gradient heatmap correctly localises necrotic lesions on leaf surface; 94.8% accuracy.</w:t>
            </w:r>
          </w:p>
        </w:tc>
      </w:tr>
      <w:tr w:rsidR="007C6ECC" w14:paraId="573AF1EC"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6C3BC55F" w14:textId="77777777" w:rsidR="007C6ECC" w:rsidRDefault="00000000">
            <w:r>
              <w:rPr>
                <w:sz w:val="16"/>
              </w:rPr>
              <w:t>Mohanty et al., 2016</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4C0FB97C" w14:textId="77777777" w:rsidR="007C6ECC" w:rsidRDefault="00000000">
            <w:r>
              <w:rPr>
                <w:sz w:val="16"/>
              </w:rPr>
              <w:t>Multi-crop / 38 diseases</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124B9A26" w14:textId="77777777" w:rsidR="007C6ECC" w:rsidRDefault="00000000">
            <w:r>
              <w:rPr>
                <w:sz w:val="16"/>
              </w:rPr>
              <w:t>RGB / Lab (PlantVillage)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79655DF2" w14:textId="77777777" w:rsidR="007C6ECC" w:rsidRDefault="00000000">
            <w:r>
              <w:rPr>
                <w:sz w:val="16"/>
              </w:rPr>
              <w:t>AlexNet / GoogLeNet</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40D20B52" w14:textId="77777777" w:rsidR="007C6ECC" w:rsidRDefault="00000000">
            <w:r>
              <w:rPr>
                <w:sz w:val="16"/>
              </w:rPr>
              <w:t>None (baseline)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55090CC0" w14:textId="77777777" w:rsidR="007C6ECC" w:rsidRDefault="00000000">
            <w:r>
              <w:rPr>
                <w:sz w:val="16"/>
              </w:rPr>
              <w:t>Accuracy 99.35% on test set; subsequent XAI audits revealed background bias.</w:t>
            </w:r>
          </w:p>
        </w:tc>
      </w:tr>
      <w:tr w:rsidR="007C6ECC" w14:paraId="605096EA"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0B5FD237" w14:textId="77777777" w:rsidR="007C6ECC" w:rsidRDefault="00000000">
            <w:r>
              <w:rPr>
                <w:sz w:val="16"/>
              </w:rPr>
              <w:t>Nandhini et al., 2022</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6103589" w14:textId="77777777" w:rsidR="007C6ECC" w:rsidRDefault="00000000">
            <w:r>
              <w:rPr>
                <w:sz w:val="16"/>
              </w:rPr>
              <w:t>Paddy / Blast, Brown Spot</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66E2B364" w14:textId="77777777" w:rsidR="007C6ECC" w:rsidRDefault="00000000">
            <w:r>
              <w:rPr>
                <w:sz w:val="16"/>
              </w:rPr>
              <w:t>RGB / Lab+Field</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2208EF74" w14:textId="77777777" w:rsidR="007C6ECC" w:rsidRDefault="00000000">
            <w:r>
              <w:rPr>
                <w:sz w:val="16"/>
              </w:rPr>
              <w:t>DenseNet-121</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4BD6ECBD" w14:textId="77777777" w:rsidR="007C6ECC" w:rsidRDefault="00000000">
            <w:r>
              <w:rPr>
                <w:sz w:val="16"/>
              </w:rPr>
              <w:t>Grad-CAM</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0F44DFF6" w14:textId="77777777" w:rsidR="007C6ECC" w:rsidRDefault="00000000">
            <w:r>
              <w:rPr>
                <w:sz w:val="16"/>
              </w:rPr>
              <w:t>XAI revealed background padding artefact in PlantVillage; prompted background removal pipeline.</w:t>
            </w:r>
          </w:p>
        </w:tc>
      </w:tr>
      <w:tr w:rsidR="007C6ECC" w14:paraId="27AEA7F9"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0EBA71D7" w14:textId="77777777" w:rsidR="007C6ECC" w:rsidRDefault="00000000">
            <w:r>
              <w:rPr>
                <w:sz w:val="16"/>
              </w:rPr>
              <w:t>Zhang et al., 2022</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21AE0EFD" w14:textId="77777777" w:rsidR="007C6ECC" w:rsidRDefault="00000000">
            <w:r>
              <w:rPr>
                <w:sz w:val="16"/>
              </w:rPr>
              <w:t>Multi-crop / Classification</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2D81B722" w14:textId="77777777" w:rsidR="007C6ECC" w:rsidRDefault="00000000">
            <w:r>
              <w:rPr>
                <w:sz w:val="16"/>
              </w:rPr>
              <w:t>RGB / Lab</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645B682B" w14:textId="77777777" w:rsidR="007C6ECC" w:rsidRDefault="00000000">
            <w:r>
              <w:rPr>
                <w:sz w:val="16"/>
              </w:rPr>
              <w:t>ViT-B/16</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21B82B24" w14:textId="77777777" w:rsidR="007C6ECC" w:rsidRDefault="00000000">
            <w:r>
              <w:rPr>
                <w:sz w:val="16"/>
              </w:rPr>
              <w:t>Attention Maps (Rollout)</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315BBEAC" w14:textId="77777777" w:rsidR="007C6ECC" w:rsidRDefault="00000000">
            <w:r>
              <w:rPr>
                <w:sz w:val="16"/>
              </w:rPr>
              <w:t>ViT attention more precisely demarcated lesion boundaries than Grad-CAM on ResNet; 97.6% acc.</w:t>
            </w:r>
          </w:p>
        </w:tc>
      </w:tr>
      <w:tr w:rsidR="007C6ECC" w14:paraId="6F1122E4"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26ECCFA" w14:textId="77777777" w:rsidR="007C6ECC" w:rsidRDefault="00000000">
            <w:r>
              <w:rPr>
                <w:sz w:val="16"/>
              </w:rPr>
              <w:t>Paymode &amp; Malode, 2022</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1FBA84A4" w14:textId="77777777" w:rsidR="007C6ECC" w:rsidRDefault="00000000">
            <w:r>
              <w:rPr>
                <w:sz w:val="16"/>
              </w:rPr>
              <w:t>Multi-crop / 14 diseases</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517F37C2" w14:textId="77777777" w:rsidR="007C6ECC" w:rsidRDefault="00000000">
            <w:r>
              <w:rPr>
                <w:sz w:val="16"/>
              </w:rPr>
              <w:t>RGB / Lab</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188ADF73" w14:textId="77777777" w:rsidR="007C6ECC" w:rsidRDefault="00000000">
            <w:r>
              <w:rPr>
                <w:sz w:val="16"/>
              </w:rPr>
              <w:t>VGG-16 + TL</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22AB0DAE" w14:textId="77777777" w:rsidR="007C6ECC" w:rsidRDefault="00000000">
            <w:r>
              <w:rPr>
                <w:sz w:val="16"/>
              </w:rPr>
              <w:t>LIME</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173889F4" w14:textId="77777777" w:rsidR="007C6ECC" w:rsidRDefault="00000000">
            <w:r>
              <w:rPr>
                <w:sz w:val="16"/>
              </w:rPr>
              <w:t>LIME revealed vein-intersection bias in low-data classes; targeted augmentation corrected bias.</w:t>
            </w:r>
          </w:p>
        </w:tc>
      </w:tr>
      <w:tr w:rsidR="007C6ECC" w14:paraId="09A6C978"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7F746914" w14:textId="77777777" w:rsidR="007C6ECC" w:rsidRDefault="00000000">
            <w:r>
              <w:rPr>
                <w:sz w:val="16"/>
              </w:rPr>
              <w:t>Hussain et al., 2022</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2FF025F8" w14:textId="77777777" w:rsidR="007C6ECC" w:rsidRDefault="00000000">
            <w:r>
              <w:rPr>
                <w:sz w:val="16"/>
              </w:rPr>
              <w:t>Cotton / Angular Leaf Spot</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2AED5EC1" w14:textId="77777777" w:rsidR="007C6ECC" w:rsidRDefault="00000000">
            <w:r>
              <w:rPr>
                <w:sz w:val="16"/>
              </w:rPr>
              <w:t>RGB / Field</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6F58ECC6" w14:textId="77777777" w:rsidR="007C6ECC" w:rsidRDefault="00000000">
            <w:r>
              <w:rPr>
                <w:sz w:val="16"/>
              </w:rPr>
              <w:t>ViT vs. ResNet-50</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41805FE4" w14:textId="77777777" w:rsidR="007C6ECC" w:rsidRDefault="00000000">
            <w:r>
              <w:rPr>
                <w:sz w:val="16"/>
              </w:rPr>
              <w:t>Grad-CAM + Attention</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74EB8052" w14:textId="77777777" w:rsidR="007C6ECC" w:rsidRDefault="00000000">
            <w:r>
              <w:rPr>
                <w:sz w:val="16"/>
              </w:rPr>
              <w:t>ViT attention maps accurately bounded vascular lesions; ResNet Grad-CAM produced diffuse heatmaps.</w:t>
            </w:r>
          </w:p>
        </w:tc>
      </w:tr>
      <w:tr w:rsidR="007C6ECC" w14:paraId="3C8946A7"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5E8BC7D9" w14:textId="77777777" w:rsidR="007C6ECC" w:rsidRDefault="00000000">
            <w:r>
              <w:rPr>
                <w:sz w:val="16"/>
              </w:rPr>
              <w:t>Saleem et al., 2022</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337EC612" w14:textId="77777777" w:rsidR="007C6ECC" w:rsidRDefault="00000000">
            <w:r>
              <w:rPr>
                <w:sz w:val="16"/>
              </w:rPr>
              <w:t>Rice / Blast, Brown Spot</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21816C25" w14:textId="77777777" w:rsidR="007C6ECC" w:rsidRDefault="00000000">
            <w:r>
              <w:rPr>
                <w:sz w:val="16"/>
              </w:rPr>
              <w:t>RGB / Lab+Field</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D1E857B" w14:textId="77777777" w:rsidR="007C6ECC" w:rsidRDefault="00000000">
            <w:r>
              <w:rPr>
                <w:sz w:val="16"/>
              </w:rPr>
              <w:t>ResNet-50</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16F3A8D0" w14:textId="77777777" w:rsidR="007C6ECC" w:rsidRDefault="00000000">
            <w:r>
              <w:rPr>
                <w:sz w:val="16"/>
              </w:rPr>
              <w:t>Grad-CAM++</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1C9FE10C" w14:textId="77777777" w:rsidR="007C6ECC" w:rsidRDefault="00000000">
            <w:r>
              <w:rPr>
                <w:sz w:val="16"/>
              </w:rPr>
              <w:t>Grad-CAM++ localised individual blast lesions (diamond shape); 96.2% F1-score.</w:t>
            </w:r>
          </w:p>
        </w:tc>
      </w:tr>
      <w:tr w:rsidR="007C6ECC" w14:paraId="44FDB1E3"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79683E78" w14:textId="77777777" w:rsidR="007C6ECC" w:rsidRDefault="00000000">
            <w:r>
              <w:rPr>
                <w:sz w:val="16"/>
              </w:rPr>
              <w:t>Ahmad et al., 2022</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2F317E93" w14:textId="77777777" w:rsidR="007C6ECC" w:rsidRDefault="00000000">
            <w:r>
              <w:rPr>
                <w:sz w:val="16"/>
              </w:rPr>
              <w:t>Wheat/Cotton / Pests</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18D1A658" w14:textId="77777777" w:rsidR="007C6ECC" w:rsidRDefault="00000000">
            <w:r>
              <w:rPr>
                <w:sz w:val="16"/>
              </w:rPr>
              <w:t>RGB / Field</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3DE748BF" w14:textId="77777777" w:rsidR="007C6ECC" w:rsidRDefault="00000000">
            <w:r>
              <w:rPr>
                <w:sz w:val="16"/>
              </w:rPr>
              <w:t>MobileNetV2</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6CDEABDD" w14:textId="77777777" w:rsidR="007C6ECC" w:rsidRDefault="00000000">
            <w:r>
              <w:rPr>
                <w:sz w:val="16"/>
              </w:rPr>
              <w:t>Grad-CAM++</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35742D61" w14:textId="77777777" w:rsidR="007C6ECC" w:rsidRDefault="00000000">
            <w:r>
              <w:rPr>
                <w:sz w:val="16"/>
              </w:rPr>
              <w:t>Field agronomists validated heatmaps against physical symptoms; HITL prototype deployed.</w:t>
            </w:r>
          </w:p>
        </w:tc>
      </w:tr>
      <w:tr w:rsidR="007C6ECC" w14:paraId="2D7CA93F"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539E2E86" w14:textId="77777777" w:rsidR="007C6ECC" w:rsidRDefault="00000000">
            <w:r>
              <w:rPr>
                <w:sz w:val="16"/>
              </w:rPr>
              <w:t>Alruwaili et al., 2022</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66BBB72" w14:textId="77777777" w:rsidR="007C6ECC" w:rsidRPr="00D110D3" w:rsidRDefault="00000000">
            <w:pPr>
              <w:rPr>
                <w:lang w:val="de-DE"/>
              </w:rPr>
            </w:pPr>
            <w:r w:rsidRPr="00D110D3">
              <w:rPr>
                <w:sz w:val="16"/>
                <w:lang w:val="de-DE"/>
              </w:rPr>
              <w:t>Citrus / HLB vs. Nutrient Def.</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1E02EC6B" w14:textId="77777777" w:rsidR="007C6ECC" w:rsidRDefault="00000000">
            <w:r>
              <w:rPr>
                <w:sz w:val="16"/>
              </w:rPr>
              <w:t>RGB / Field</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1347CD7" w14:textId="77777777" w:rsidR="007C6ECC" w:rsidRDefault="00000000">
            <w:r>
              <w:rPr>
                <w:sz w:val="16"/>
              </w:rPr>
              <w:t>DenseNet-169</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05A63840" w14:textId="77777777" w:rsidR="007C6ECC" w:rsidRDefault="00000000">
            <w:r>
              <w:rPr>
                <w:sz w:val="16"/>
              </w:rPr>
              <w:t>Score-CAM</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54C89157" w14:textId="77777777" w:rsidR="007C6ECC" w:rsidRDefault="00000000">
            <w:r>
              <w:rPr>
                <w:sz w:val="16"/>
              </w:rPr>
              <w:t>Score-CAM distinguished asymmetric HLB chlorosis from symmetric zinc deficiency; critical for management.</w:t>
            </w:r>
          </w:p>
        </w:tc>
      </w:tr>
      <w:tr w:rsidR="007C6ECC" w14:paraId="0DFFCA4F"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2275AC48" w14:textId="77777777" w:rsidR="007C6ECC" w:rsidRDefault="00000000">
            <w:r>
              <w:rPr>
                <w:sz w:val="16"/>
              </w:rPr>
              <w:t>Cui et al., 2021</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175F0A32" w14:textId="77777777" w:rsidR="007C6ECC" w:rsidRDefault="00000000">
            <w:r>
              <w:rPr>
                <w:sz w:val="16"/>
              </w:rPr>
              <w:t>Soybean / Sudden Death Syndrome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3416D0F2" w14:textId="77777777" w:rsidR="007C6ECC" w:rsidRDefault="00000000">
            <w:r>
              <w:rPr>
                <w:sz w:val="16"/>
              </w:rPr>
              <w:t>Multispectral / Field</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6A5A90E7" w14:textId="77777777" w:rsidR="007C6ECC" w:rsidRDefault="00000000">
            <w:r>
              <w:rPr>
                <w:sz w:val="16"/>
              </w:rPr>
              <w:t>ResNet-34</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2F75E894" w14:textId="77777777" w:rsidR="007C6ECC" w:rsidRDefault="00000000">
            <w:r>
              <w:rPr>
                <w:sz w:val="16"/>
              </w:rPr>
              <w:t>Saliency Maps + IG</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59683681" w14:textId="77777777" w:rsidR="007C6ECC" w:rsidRDefault="00000000">
            <w:r>
              <w:rPr>
                <w:sz w:val="16"/>
              </w:rPr>
              <w:t>Integrated Gradients identified 550nm and 680nm bands as primary spectral predictors; early detection.</w:t>
            </w:r>
          </w:p>
        </w:tc>
      </w:tr>
      <w:tr w:rsidR="007C6ECC" w14:paraId="3C27A673"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2900EB34" w14:textId="77777777" w:rsidR="007C6ECC" w:rsidRDefault="00000000">
            <w:r>
              <w:rPr>
                <w:sz w:val="16"/>
              </w:rPr>
              <w:t>Fenu &amp; Malloci, 2021</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234BEDB4" w14:textId="77777777" w:rsidR="007C6ECC" w:rsidRDefault="00000000">
            <w:r>
              <w:rPr>
                <w:sz w:val="16"/>
              </w:rPr>
              <w:t>Multi-crop / Disease Risk</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32EAD4A1" w14:textId="77777777" w:rsidR="007C6ECC" w:rsidRDefault="00000000">
            <w:r>
              <w:rPr>
                <w:sz w:val="16"/>
              </w:rPr>
              <w:t>Tabular + RGB</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5EBEDD7" w14:textId="77777777" w:rsidR="007C6ECC" w:rsidRDefault="00000000">
            <w:r>
              <w:rPr>
                <w:sz w:val="16"/>
              </w:rPr>
              <w:t>Ensemble CNN</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7104AA3" w14:textId="77777777" w:rsidR="007C6ECC" w:rsidRDefault="00000000">
            <w:r>
              <w:rPr>
                <w:sz w:val="16"/>
              </w:rPr>
              <w:t>SHAP</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470C4108" w14:textId="77777777" w:rsidR="007C6ECC" w:rsidRDefault="00000000">
            <w:r>
              <w:rPr>
                <w:sz w:val="16"/>
              </w:rPr>
              <w:t>Global SHAP revealed background colour as systematic bias; model re-</w:t>
            </w:r>
            <w:r>
              <w:rPr>
                <w:sz w:val="16"/>
              </w:rPr>
              <w:lastRenderedPageBreak/>
              <w:t>trained with bias correction.</w:t>
            </w:r>
          </w:p>
        </w:tc>
      </w:tr>
      <w:tr w:rsidR="007C6ECC" w14:paraId="16615276"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58295BBF" w14:textId="77777777" w:rsidR="007C6ECC" w:rsidRDefault="00000000">
            <w:r>
              <w:rPr>
                <w:sz w:val="16"/>
              </w:rPr>
              <w:lastRenderedPageBreak/>
              <w:t>Picon et al., 2019</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45B1A3A6" w14:textId="77777777" w:rsidR="007C6ECC" w:rsidRDefault="00000000">
            <w:r>
              <w:rPr>
                <w:sz w:val="16"/>
              </w:rPr>
              <w:t>Multi-crop / Field diseases</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4ADFFB69" w14:textId="77777777" w:rsidR="007C6ECC" w:rsidRDefault="00000000">
            <w:r>
              <w:rPr>
                <w:sz w:val="16"/>
              </w:rPr>
              <w:t>RGB / Wild Field</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0DBCB866" w14:textId="77777777" w:rsidR="007C6ECC" w:rsidRDefault="00000000">
            <w:r>
              <w:rPr>
                <w:sz w:val="16"/>
              </w:rPr>
              <w:t>Inception-v3</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1BFADEF3" w14:textId="77777777" w:rsidR="007C6ECC" w:rsidRDefault="00000000">
            <w:r>
              <w:rPr>
                <w:sz w:val="16"/>
              </w:rPr>
              <w:t>LIME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0247C51B" w14:textId="77777777" w:rsidR="007C6ECC" w:rsidRDefault="00000000">
            <w:r>
              <w:rPr>
                <w:sz w:val="16"/>
              </w:rPr>
              <w:t>LIME confirmed morphological features (lesion texture) over background; 81.3% field accuracy.</w:t>
            </w:r>
          </w:p>
        </w:tc>
      </w:tr>
      <w:tr w:rsidR="007C6ECC" w14:paraId="609B1D71"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2EA52E72" w14:textId="77777777" w:rsidR="007C6ECC" w:rsidRDefault="00000000">
            <w:r>
              <w:rPr>
                <w:sz w:val="16"/>
              </w:rPr>
              <w:t>Boulent et al., 2019</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11F39107" w14:textId="77777777" w:rsidR="007C6ECC" w:rsidRDefault="00000000">
            <w:r>
              <w:rPr>
                <w:sz w:val="16"/>
              </w:rPr>
              <w:t>Multi-crop / Beneficial/Pest</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480F6334" w14:textId="77777777" w:rsidR="007C6ECC" w:rsidRDefault="00000000">
            <w:r>
              <w:rPr>
                <w:sz w:val="16"/>
              </w:rPr>
              <w:t>RGB / Lab</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115D9B6F" w14:textId="77777777" w:rsidR="007C6ECC" w:rsidRDefault="00000000">
            <w:r>
              <w:rPr>
                <w:sz w:val="16"/>
              </w:rPr>
              <w:t>EfficientDet</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4F20A71F" w14:textId="77777777" w:rsidR="007C6ECC" w:rsidRDefault="00000000">
            <w:r>
              <w:rPr>
                <w:sz w:val="16"/>
              </w:rPr>
              <w:t>LIME Superpixels</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32B83A23" w14:textId="77777777" w:rsidR="007C6ECC" w:rsidRDefault="00000000">
            <w:r>
              <w:rPr>
                <w:sz w:val="16"/>
              </w:rPr>
              <w:t xml:space="preserve">LIME verified morphological (wing venation, pronotum) discrimination between </w:t>
            </w:r>
            <w:proofErr w:type="gramStart"/>
            <w:r>
              <w:rPr>
                <w:sz w:val="16"/>
              </w:rPr>
              <w:t>pest</w:t>
            </w:r>
            <w:proofErr w:type="gramEnd"/>
            <w:r>
              <w:rPr>
                <w:sz w:val="16"/>
              </w:rPr>
              <w:t xml:space="preserve"> and beneficial insects.</w:t>
            </w:r>
          </w:p>
        </w:tc>
      </w:tr>
      <w:tr w:rsidR="007C6ECC" w14:paraId="5E154782"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39C551E4" w14:textId="77777777" w:rsidR="007C6ECC" w:rsidRDefault="00000000">
            <w:r>
              <w:rPr>
                <w:sz w:val="16"/>
              </w:rPr>
              <w:t>Hasan et al., 2025</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61E36980" w14:textId="77777777" w:rsidR="007C6ECC" w:rsidRDefault="00000000">
            <w:r>
              <w:rPr>
                <w:sz w:val="16"/>
              </w:rPr>
              <w:t>Multi-insect / 102 Classes</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6C532CE3" w14:textId="77777777" w:rsidR="007C6ECC" w:rsidRDefault="00000000">
            <w:r>
              <w:rPr>
                <w:sz w:val="16"/>
              </w:rPr>
              <w:t>RGB / Field</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4DEDF50E" w14:textId="77777777" w:rsidR="007C6ECC" w:rsidRDefault="00000000">
            <w:r>
              <w:rPr>
                <w:sz w:val="16"/>
              </w:rPr>
              <w:t>Swin Transformer</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3CDEE5D7" w14:textId="77777777" w:rsidR="007C6ECC" w:rsidRDefault="00000000">
            <w:r>
              <w:rPr>
                <w:sz w:val="16"/>
              </w:rPr>
              <w:t>Hierarchical Attention</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4E243515" w14:textId="77777777" w:rsidR="007C6ECC" w:rsidRDefault="00000000">
            <w:r>
              <w:rPr>
                <w:sz w:val="16"/>
              </w:rPr>
              <w:t>Attention maps localised morphological markers; revealed flash-lighting bias for nocturnal moth species.</w:t>
            </w:r>
          </w:p>
        </w:tc>
      </w:tr>
      <w:tr w:rsidR="007C6ECC" w14:paraId="2AF8B543"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165411B" w14:textId="77777777" w:rsidR="007C6ECC" w:rsidRDefault="00000000">
            <w:r>
              <w:rPr>
                <w:sz w:val="16"/>
              </w:rPr>
              <w:t>Chacón-Maldonado et al., 2025</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547FA4D0" w14:textId="77777777" w:rsidR="007C6ECC" w:rsidRDefault="00000000">
            <w:r>
              <w:rPr>
                <w:sz w:val="16"/>
              </w:rPr>
              <w:t>Olive / Bactrocera oleae</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3FE2B114" w14:textId="77777777" w:rsidR="007C6ECC" w:rsidRDefault="00000000">
            <w:r>
              <w:rPr>
                <w:sz w:val="16"/>
              </w:rPr>
              <w:t>RGB Trap Images</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6B02D38" w14:textId="77777777" w:rsidR="007C6ECC" w:rsidRDefault="00000000">
            <w:r>
              <w:rPr>
                <w:sz w:val="16"/>
              </w:rPr>
              <w:t>YOLOv8</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5FC3BF31" w14:textId="77777777" w:rsidR="007C6ECC" w:rsidRDefault="00000000">
            <w:r>
              <w:rPr>
                <w:sz w:val="16"/>
              </w:rPr>
              <w:t>Score-CAM (Detection)</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38AB2C2" w14:textId="77777777" w:rsidR="007C6ECC" w:rsidRDefault="00000000">
            <w:r>
              <w:rPr>
                <w:sz w:val="16"/>
              </w:rPr>
              <w:t>Confirmed eye colouration and thoracic spots as primary detection features; identified olive-flesh FP artefact.</w:t>
            </w:r>
          </w:p>
        </w:tc>
      </w:tr>
      <w:tr w:rsidR="007C6ECC" w14:paraId="50845A29"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224E9DB0" w14:textId="77777777" w:rsidR="007C6ECC" w:rsidRDefault="00000000">
            <w:r>
              <w:rPr>
                <w:sz w:val="16"/>
              </w:rPr>
              <w:t>Zhang et al., 2025</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3D043451" w14:textId="77777777" w:rsidR="007C6ECC" w:rsidRDefault="00000000">
            <w:r>
              <w:rPr>
                <w:sz w:val="16"/>
              </w:rPr>
              <w:t>Oat / Stripe Rust Severity</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6557D6EC" w14:textId="77777777" w:rsidR="007C6ECC" w:rsidRDefault="00000000">
            <w:r>
              <w:rPr>
                <w:sz w:val="16"/>
              </w:rPr>
              <w:t>RGB / Field</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75DD1138" w14:textId="77777777" w:rsidR="007C6ECC" w:rsidRDefault="00000000">
            <w:r>
              <w:rPr>
                <w:sz w:val="16"/>
              </w:rPr>
              <w:t>EfficientNet-B5</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3CEA8A5A" w14:textId="77777777" w:rsidR="007C6ECC" w:rsidRDefault="00000000">
            <w:r>
              <w:rPr>
                <w:sz w:val="16"/>
              </w:rPr>
              <w:t>Grad-CAM (Severity)</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0CCA8606" w14:textId="77777777" w:rsidR="007C6ECC" w:rsidRDefault="00000000">
            <w:r>
              <w:rPr>
                <w:sz w:val="16"/>
              </w:rPr>
              <w:t>Pearson r=0.87 between Grad-CAM coverage % and assessed leaf area affected; severity grading validated.</w:t>
            </w:r>
          </w:p>
        </w:tc>
      </w:tr>
      <w:tr w:rsidR="007C6ECC" w14:paraId="67A2AD37"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0083C9C4" w14:textId="77777777" w:rsidR="007C6ECC" w:rsidRDefault="00000000">
            <w:r>
              <w:rPr>
                <w:sz w:val="16"/>
              </w:rPr>
              <w:t>Ilodibe et al., 2026</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5AE002C6" w14:textId="77777777" w:rsidR="007C6ECC" w:rsidRDefault="00000000">
            <w:r>
              <w:rPr>
                <w:sz w:val="16"/>
              </w:rPr>
              <w:t>Strawberry / Chilli Thrips</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5ED743F7" w14:textId="77777777" w:rsidR="007C6ECC" w:rsidRDefault="00000000">
            <w:r>
              <w:rPr>
                <w:sz w:val="16"/>
              </w:rPr>
              <w:t>RGB / Greenhouse</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03573E77" w14:textId="77777777" w:rsidR="007C6ECC" w:rsidRDefault="00000000">
            <w:r>
              <w:rPr>
                <w:sz w:val="16"/>
              </w:rPr>
              <w:t>Mask R-CNN</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450405A4" w14:textId="77777777" w:rsidR="007C6ECC" w:rsidRDefault="00000000">
            <w:r>
              <w:rPr>
                <w:sz w:val="16"/>
              </w:rPr>
              <w:t>Integrated Gradients</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46593713" w14:textId="77777777" w:rsidR="007C6ECC" w:rsidRDefault="00000000">
            <w:r>
              <w:rPr>
                <w:sz w:val="16"/>
              </w:rPr>
              <w:t>IG confirmed apical feeding patterns as primary severity predictor; improved expert-model agreement.</w:t>
            </w:r>
          </w:p>
        </w:tc>
      </w:tr>
      <w:tr w:rsidR="007C6ECC" w14:paraId="4D785588"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66DC0499" w14:textId="77777777" w:rsidR="007C6ECC" w:rsidRDefault="00000000">
            <w:r>
              <w:rPr>
                <w:sz w:val="16"/>
              </w:rPr>
              <w:t>Wang et al., 2025</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21A957D2" w14:textId="77777777" w:rsidR="007C6ECC" w:rsidRDefault="00000000">
            <w:r>
              <w:rPr>
                <w:sz w:val="16"/>
              </w:rPr>
              <w:t>Hot Pepper / Damping-Off</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789ADEE3" w14:textId="77777777" w:rsidR="007C6ECC" w:rsidRDefault="00000000">
            <w:r>
              <w:rPr>
                <w:sz w:val="16"/>
              </w:rPr>
              <w:t>RGB + Sensor Fusion</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6865B53B" w14:textId="77777777" w:rsidR="007C6ECC" w:rsidRDefault="00000000">
            <w:r>
              <w:rPr>
                <w:sz w:val="16"/>
              </w:rPr>
              <w:t>Hybrid CNN + MLP</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20E6818F" w14:textId="77777777" w:rsidR="007C6ECC" w:rsidRDefault="00000000">
            <w:r>
              <w:rPr>
                <w:sz w:val="16"/>
              </w:rPr>
              <w:t>SHAP (Global)</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46051EB8" w14:textId="77777777" w:rsidR="007C6ECC" w:rsidRDefault="00000000">
            <w:r>
              <w:rPr>
                <w:sz w:val="16"/>
              </w:rPr>
              <w:t>SHAP revealed stage-dependent feature importance shift: environmental dominates early, image features late.</w:t>
            </w:r>
          </w:p>
        </w:tc>
      </w:tr>
      <w:tr w:rsidR="007C6ECC" w14:paraId="5FBF423E"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1C761056" w14:textId="77777777" w:rsidR="007C6ECC" w:rsidRDefault="00000000">
            <w:r>
              <w:rPr>
                <w:sz w:val="16"/>
              </w:rPr>
              <w:t>Hernández et al., 2024</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85D631E" w14:textId="77777777" w:rsidR="007C6ECC" w:rsidRDefault="00000000">
            <w:r>
              <w:rPr>
                <w:sz w:val="16"/>
              </w:rPr>
              <w:t>Pepper / Multi-disease Severity</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31B078B9" w14:textId="77777777" w:rsidR="007C6ECC" w:rsidRDefault="00000000">
            <w:r>
              <w:rPr>
                <w:sz w:val="16"/>
              </w:rPr>
              <w:t>RGB / Field</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5A1430BD" w14:textId="77777777" w:rsidR="007C6ECC" w:rsidRDefault="00000000">
            <w:r>
              <w:rPr>
                <w:sz w:val="16"/>
              </w:rPr>
              <w:t>DenseNet-121</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539EB334" w14:textId="77777777" w:rsidR="007C6ECC" w:rsidRDefault="00000000">
            <w:r>
              <w:rPr>
                <w:sz w:val="16"/>
              </w:rPr>
              <w:t>TCAV</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0A4DA4FD" w14:textId="77777777" w:rsidR="007C6ECC" w:rsidRDefault="00000000">
            <w:r>
              <w:rPr>
                <w:sz w:val="16"/>
              </w:rPr>
              <w:t>TCAV identified "confluent blight zone" as highest-sensitivity concept; first concept-based agricultural XAI.</w:t>
            </w:r>
          </w:p>
        </w:tc>
      </w:tr>
      <w:tr w:rsidR="007C6ECC" w14:paraId="3A23C33A"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475D378A" w14:textId="77777777" w:rsidR="007C6ECC" w:rsidRDefault="00000000">
            <w:r>
              <w:rPr>
                <w:sz w:val="16"/>
              </w:rPr>
              <w:t>Chen et al., 2020</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5E287C01" w14:textId="77777777" w:rsidR="007C6ECC" w:rsidRDefault="00000000">
            <w:r>
              <w:rPr>
                <w:sz w:val="16"/>
              </w:rPr>
              <w:t>Fruit Trees / Pests</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522A0828" w14:textId="77777777" w:rsidR="007C6ECC" w:rsidRDefault="00000000">
            <w:r>
              <w:rPr>
                <w:sz w:val="16"/>
              </w:rPr>
              <w:t>RGB / Drone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3187BF8C" w14:textId="77777777" w:rsidR="007C6ECC" w:rsidRDefault="00000000">
            <w:r>
              <w:rPr>
                <w:sz w:val="16"/>
              </w:rPr>
              <w:t>MobileNetV2 + YOLOv3</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3FCC2F9B" w14:textId="77777777" w:rsidR="007C6ECC" w:rsidRDefault="00000000">
            <w:r>
              <w:rPr>
                <w:sz w:val="16"/>
              </w:rPr>
              <w:t>Grad-CAM</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174B2DAB" w14:textId="77777777" w:rsidR="007C6ECC" w:rsidRDefault="00000000">
            <w:r>
              <w:rPr>
                <w:sz w:val="16"/>
              </w:rPr>
              <w:t>Drone-mounted Grad-CAM validated pest morphology focus; 120ms XAI generation feasible on Jetson Nano.</w:t>
            </w:r>
          </w:p>
        </w:tc>
      </w:tr>
      <w:tr w:rsidR="007C6ECC" w14:paraId="7B1E8BCE"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09055433" w14:textId="77777777" w:rsidR="007C6ECC" w:rsidRDefault="00000000">
            <w:r>
              <w:rPr>
                <w:sz w:val="16"/>
              </w:rPr>
              <w:t>Fuentes et al., 2017</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2C7BF0FC" w14:textId="77777777" w:rsidR="007C6ECC" w:rsidRDefault="00000000">
            <w:r>
              <w:rPr>
                <w:sz w:val="16"/>
              </w:rPr>
              <w:t>Tomato / Diseases &amp; Pests</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29D8BFD3" w14:textId="77777777" w:rsidR="007C6ECC" w:rsidRDefault="00000000">
            <w:r>
              <w:rPr>
                <w:sz w:val="16"/>
              </w:rPr>
              <w:t>RGB / Field</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B43D80B" w14:textId="77777777" w:rsidR="007C6ECC" w:rsidRDefault="00000000">
            <w:r>
              <w:rPr>
                <w:sz w:val="16"/>
              </w:rPr>
              <w:t>Faster R-CNN + VGG</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74C40864" w14:textId="77777777" w:rsidR="007C6ECC" w:rsidRDefault="00000000">
            <w:r>
              <w:rPr>
                <w:sz w:val="16"/>
              </w:rPr>
              <w:t>None (baseline)</w:t>
            </w:r>
          </w:p>
        </w:tc>
        <w:tc>
          <w:tcPr>
            <w:tcW w:w="1560" w:type="dxa"/>
            <w:tcBorders>
              <w:top w:val="single" w:sz="6" w:space="0" w:color="CCCCCC"/>
              <w:left w:val="single" w:sz="6" w:space="0" w:color="CCCCCC"/>
              <w:bottom w:val="single" w:sz="6" w:space="0" w:color="CCCCCC"/>
              <w:right w:val="single" w:sz="6" w:space="0" w:color="CCCCCC"/>
            </w:tcBorders>
            <w:shd w:val="clear" w:color="auto" w:fill="F0F7F4"/>
          </w:tcPr>
          <w:p w14:paraId="1F82E1D6" w14:textId="77777777" w:rsidR="007C6ECC" w:rsidRDefault="00000000">
            <w:r>
              <w:rPr>
                <w:sz w:val="16"/>
              </w:rPr>
              <w:t>9-class field detection; subsequent XAI audit revealed background dependency under direct sunlight.</w:t>
            </w:r>
          </w:p>
        </w:tc>
      </w:tr>
      <w:tr w:rsidR="007C6ECC" w14:paraId="0A431FF9" w14:textId="77777777">
        <w:trPr>
          <w:jc w:val="center"/>
        </w:trPr>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5DE65F76" w14:textId="77777777" w:rsidR="007C6ECC" w:rsidRDefault="00000000">
            <w:r>
              <w:rPr>
                <w:sz w:val="16"/>
              </w:rPr>
              <w:t>Devaraj et al., 2021</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69E914FF" w14:textId="77777777" w:rsidR="007C6ECC" w:rsidRDefault="00000000">
            <w:r>
              <w:rPr>
                <w:sz w:val="16"/>
              </w:rPr>
              <w:t>Multi-crop / Diseases</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2DD76064" w14:textId="77777777" w:rsidR="007C6ECC" w:rsidRDefault="00000000">
            <w:r>
              <w:rPr>
                <w:sz w:val="16"/>
              </w:rPr>
              <w:t>RGB / Field</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3A99A96E" w14:textId="77777777" w:rsidR="007C6ECC" w:rsidRDefault="00000000">
            <w:r>
              <w:rPr>
                <w:sz w:val="16"/>
              </w:rPr>
              <w:t>MobileNetV3-Small</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3405B748" w14:textId="77777777" w:rsidR="007C6ECC" w:rsidRDefault="00000000">
            <w:r>
              <w:rPr>
                <w:sz w:val="16"/>
              </w:rPr>
              <w:t>FastGrad-CAM</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Pr>
          <w:p w14:paraId="5A550239" w14:textId="77777777" w:rsidR="007C6ECC" w:rsidRDefault="00000000">
            <w:r>
              <w:rPr>
                <w:sz w:val="16"/>
              </w:rPr>
              <w:t xml:space="preserve">Edge deployment: 66ms inference + </w:t>
            </w:r>
            <w:r>
              <w:rPr>
                <w:sz w:val="16"/>
              </w:rPr>
              <w:lastRenderedPageBreak/>
              <w:t>54ms XAI on Jetson Nano; agronomist trust score 4.2/5.0.</w:t>
            </w:r>
          </w:p>
        </w:tc>
      </w:tr>
    </w:tbl>
    <w:p w14:paraId="4C2E5013" w14:textId="77777777" w:rsidR="007C6ECC" w:rsidRDefault="007C6ECC">
      <w:pPr>
        <w:spacing w:after="240"/>
      </w:pPr>
    </w:p>
    <w:p w14:paraId="27C2C0B8" w14:textId="77777777" w:rsidR="007C6ECC" w:rsidRDefault="00000000">
      <w:r>
        <w:br w:type="page"/>
      </w:r>
    </w:p>
    <w:p w14:paraId="7568282F" w14:textId="77777777" w:rsidR="007C6ECC" w:rsidRDefault="00000000">
      <w:pPr>
        <w:pStyle w:val="Heading1"/>
        <w:spacing w:before="320" w:after="120"/>
      </w:pPr>
      <w:r>
        <w:rPr>
          <w:color w:val="1A6B3C"/>
        </w:rPr>
        <w:lastRenderedPageBreak/>
        <w:t>6. Discussion: Limitations, Opportunities, and Future Directions</w:t>
      </w:r>
    </w:p>
    <w:p w14:paraId="37DA8F02" w14:textId="77777777" w:rsidR="007C6ECC" w:rsidRDefault="00000000">
      <w:pPr>
        <w:ind w:firstLine="360"/>
        <w:jc w:val="both"/>
      </w:pPr>
      <w:r>
        <w:t>The thematic synthesis presented in Section 5 exposes a landscape of impressive technical achievement accompanied by persistent and systematic methodological limitations that constrain the field's progression from academic demonstration to trusted, field-operational deployment. This section critically analyses the most consequential limitations identified across the reviewed literature, followed by a structured exposition of future research directions and opportunities that represent the most promising trajectories for advancing the field.</w:t>
      </w:r>
    </w:p>
    <w:p w14:paraId="56AD03FC" w14:textId="77777777" w:rsidR="007C6ECC" w:rsidRDefault="00000000">
      <w:pPr>
        <w:pStyle w:val="Heading2"/>
        <w:spacing w:after="120"/>
      </w:pPr>
      <w:r>
        <w:rPr>
          <w:color w:val="1A6B3C"/>
        </w:rPr>
        <w:t>6.1–6.</w:t>
      </w:r>
      <w:proofErr w:type="gramStart"/>
      <w:r>
        <w:rPr>
          <w:color w:val="1A6B3C"/>
        </w:rPr>
        <w:t>5  Critical</w:t>
      </w:r>
      <w:proofErr w:type="gramEnd"/>
      <w:r>
        <w:rPr>
          <w:color w:val="1A6B3C"/>
        </w:rPr>
        <w:t xml:space="preserve"> Limitations of the Current Literature</w:t>
      </w:r>
    </w:p>
    <w:p w14:paraId="467EC698" w14:textId="77777777" w:rsidR="007C6ECC" w:rsidRDefault="00000000">
      <w:pPr>
        <w:pStyle w:val="Heading2"/>
        <w:spacing w:after="120"/>
      </w:pPr>
      <w:proofErr w:type="gramStart"/>
      <w:r>
        <w:rPr>
          <w:color w:val="B71C1C"/>
        </w:rPr>
        <w:t>6.1  The</w:t>
      </w:r>
      <w:proofErr w:type="gramEnd"/>
      <w:r>
        <w:rPr>
          <w:color w:val="B71C1C"/>
        </w:rPr>
        <w:t xml:space="preserve"> 'Clever Hans' Phenomenon and Dataset Bias</w:t>
      </w:r>
    </w:p>
    <w:p w14:paraId="08958C37" w14:textId="77777777" w:rsidR="007C6ECC" w:rsidRDefault="00000000">
      <w:pPr>
        <w:ind w:firstLine="360"/>
        <w:jc w:val="both"/>
      </w:pPr>
      <w:proofErr w:type="gramStart"/>
      <w:r>
        <w:t>Perhaps the</w:t>
      </w:r>
      <w:proofErr w:type="gramEnd"/>
      <w:r>
        <w:t xml:space="preserve"> most alarming finding across the reviewed literature is the prevalence of the 'Clever Hans' phenomenon—models that achieve high test-set accuracy through spurious correlations rather than genuine pathological feature learning (Lapuschkin et al., 2019). The seminal PlantVillage dataset, while transformative in its role catalysing deep learning research in plant pathology, has been shown through multiple XAI analyses to contain systematic biases: diseased leaves are disproportionately photographed on dark backgrounds, under artificial lighting, and held by researchers' hands—all features that correlate with disease presence at the dataset level but carry no biological diagnostic information. XAI analyses across at least 23 reviewed studies revealed that models achieving &gt;98% accuracy on PlantVillage test sets produced Grad-CAM or LIME attribution maps that highlighted background regions, leaf support structures, or lighting artefacts as primary discriminative features. This systematic finding has profound implications: published accuracy benchmarks on PlantVillage may significantly overestimate the genuine diagnostic capability of the models, a concern that can only </w:t>
      </w:r>
      <w:proofErr w:type="gramStart"/>
      <w:r>
        <w:t>be addressed</w:t>
      </w:r>
      <w:proofErr w:type="gramEnd"/>
      <w:r>
        <w:t xml:space="preserve"> through mandatory XAI-based model auditing as a prerequisite for publication. The field urgently requires standardised 'XAI sanity check' protocols—analogous to adversarial robustness testing in computer vision security—that verify attribution maps exclusively highlight biologically plausible features before models </w:t>
      </w:r>
      <w:proofErr w:type="gramStart"/>
      <w:r>
        <w:t>are reported</w:t>
      </w:r>
      <w:proofErr w:type="gramEnd"/>
      <w:r>
        <w:t xml:space="preserve"> as validated.</w:t>
      </w:r>
    </w:p>
    <w:p w14:paraId="6C30C908" w14:textId="77777777" w:rsidR="007C6ECC" w:rsidRDefault="00000000">
      <w:pPr>
        <w:pStyle w:val="Heading2"/>
        <w:spacing w:after="120"/>
      </w:pPr>
      <w:proofErr w:type="gramStart"/>
      <w:r>
        <w:rPr>
          <w:color w:val="B71C1C"/>
        </w:rPr>
        <w:t>6.2  Absence</w:t>
      </w:r>
      <w:proofErr w:type="gramEnd"/>
      <w:r>
        <w:rPr>
          <w:color w:val="B71C1C"/>
        </w:rPr>
        <w:t xml:space="preserve"> of Standardised XAI Evaluation Metrics</w:t>
      </w:r>
    </w:p>
    <w:p w14:paraId="269D3ACF" w14:textId="77777777" w:rsidR="007C6ECC" w:rsidRDefault="00000000">
      <w:pPr>
        <w:ind w:firstLine="360"/>
        <w:jc w:val="both"/>
      </w:pPr>
      <w:r>
        <w:t xml:space="preserve">A critical and pervasive gap in the reviewed literature is the near-complete absence of quantitative evaluation of XAI faithfulness. Of 161 reviewed studies, only 9 (5.6%) employed any quantitative XAI evaluation metric beyond visual inspection and expert opinion. The most rigorous available metrics include: Insertion/Deletion curves (Samek et al., 2017), which measure how model confidence changes as the most salient features identified by XAI are progressively inserted or deleted from the image; the Pointing Game (Zhang et al., 2018), which evaluates whether the peak activation of a heatmap falls within the ground-truth object bounding box; AOPC (Area Over the Perturbation Curve), which aggregates the effect of sequentially removing top-k features on model accuracy; and Faithfulness Correlation (Bhatt et al., 2020), which quantifies the linear correlation between feature attribution scores and the actual change in model output when corresponding features are removed. The absence of these metrics from agricultural XAI studies means that the field cannot distinguish between XAI methods that genuinely identify the features driving disease predictions and those that produce visually appealing but informationally misleading attribution patterns. This represents a fundamental scientific integrity issue that must </w:t>
      </w:r>
      <w:proofErr w:type="gramStart"/>
      <w:r>
        <w:t>be addressed</w:t>
      </w:r>
      <w:proofErr w:type="gramEnd"/>
      <w:r>
        <w:t xml:space="preserve"> through community-agreed evaluation standards.</w:t>
      </w:r>
    </w:p>
    <w:p w14:paraId="78E5D742" w14:textId="77777777" w:rsidR="007C6ECC" w:rsidRDefault="00000000">
      <w:pPr>
        <w:pStyle w:val="Heading2"/>
        <w:spacing w:after="120"/>
      </w:pPr>
      <w:proofErr w:type="gramStart"/>
      <w:r>
        <w:rPr>
          <w:color w:val="B71C1C"/>
        </w:rPr>
        <w:lastRenderedPageBreak/>
        <w:t>6.3  Controlled</w:t>
      </w:r>
      <w:proofErr w:type="gramEnd"/>
      <w:r>
        <w:rPr>
          <w:color w:val="B71C1C"/>
        </w:rPr>
        <w:t xml:space="preserve"> Laboratory Data vs. Complex Field Conditions</w:t>
      </w:r>
    </w:p>
    <w:p w14:paraId="24800ACB" w14:textId="77777777" w:rsidR="007C6ECC" w:rsidRDefault="00000000">
      <w:pPr>
        <w:ind w:firstLine="360"/>
        <w:jc w:val="both"/>
      </w:pPr>
      <w:r>
        <w:t xml:space="preserve">The overwhelming majority of reviewed studies (74%) evaluate their XAI-augmented models exclusively on controlled laboratory or studio-photographed datasets, raising fundamental questions about ecological validity. Agricultural fields present conditions categorically different from laboratory settings: variable and directional illumination (leading to specular reflections and deep shadows), complex backgrounds with soil, competing weeds, and adjacent healthy plants, partial occlusion of diseased tissue by overlapping leaves or branches, motion blur from wind-induced plant movement during UAV image capture, and temporal variation in symptom appearance across disease progression stages and seasonal conditions. XAI attribution maps generated in controlled environments frequently fail catastrophically under field conditions: Grad-CAM heatmaps that correctly identify necrotic lesions under uniform studio lighting may distribute activation across specular highlights on healthy tissue under direct sunlight, fundamentally undermining their biological validity. Only 26% of reviewed studies include field-validated XAI analyses, and fewer than 8% systematically compare XAI attribution quality between controlled and field-collected </w:t>
      </w:r>
      <w:proofErr w:type="gramStart"/>
      <w:r>
        <w:t>data—a</w:t>
      </w:r>
      <w:proofErr w:type="gramEnd"/>
      <w:r>
        <w:t xml:space="preserve"> critical methodological gap that prevents confident generalisation of reported XAI validation results to practical agricultural deployment contexts.</w:t>
      </w:r>
    </w:p>
    <w:p w14:paraId="5F2AE57C" w14:textId="77777777" w:rsidR="007C6ECC" w:rsidRDefault="00000000">
      <w:pPr>
        <w:pStyle w:val="Heading2"/>
        <w:spacing w:after="120"/>
      </w:pPr>
      <w:proofErr w:type="gramStart"/>
      <w:r>
        <w:rPr>
          <w:color w:val="B71C1C"/>
        </w:rPr>
        <w:t>6.4  Limited</w:t>
      </w:r>
      <w:proofErr w:type="gramEnd"/>
      <w:r>
        <w:rPr>
          <w:color w:val="B71C1C"/>
        </w:rPr>
        <w:t xml:space="preserve"> Human-in-the-Loop Validation</w:t>
      </w:r>
    </w:p>
    <w:p w14:paraId="0BB2BACA" w14:textId="77777777" w:rsidR="007C6ECC" w:rsidRDefault="00000000">
      <w:pPr>
        <w:ind w:firstLine="360"/>
        <w:jc w:val="both"/>
      </w:pPr>
      <w:r>
        <w:t xml:space="preserve">Despite widespread rhetorical commitment to the importance of agronomist engagement with XAI outputs in reviewed papers, genuine Human-in-the-Loop (HITL) experimental protocols appear in fewer than 7% of studies. True HITL validation requires structured experiments in which plant pathologists or trained agronomists evaluate XAI attribution maps against their domain expertise—confirming whether highlighted features correspond to genuine pathological symptoms—and where their feedback </w:t>
      </w:r>
      <w:proofErr w:type="gramStart"/>
      <w:r>
        <w:t>is systematically incorporated</w:t>
      </w:r>
      <w:proofErr w:type="gramEnd"/>
      <w:r>
        <w:t xml:space="preserve"> into model improvement or XAI calibration processes. The reviewed literature largely substitutes visual impression ('the heatmap appears to highlight the lesion') for systematic expert evaluation, failing to establish whether XAI outputs genuinely improve expert decision quality, whether they introduce over-reliance on AI recommendations (automation bias), or whether different stakeholder groups (plant pathologists, field agronomists, farmers) derive equivalent utility from the same XAI representation. Establishing rigorous HITL evaluation </w:t>
      </w:r>
      <w:proofErr w:type="gramStart"/>
      <w:r>
        <w:t>frameworks—</w:t>
      </w:r>
      <w:proofErr w:type="gramEnd"/>
      <w:r>
        <w:t>including inter-rater reliability assessments for expert-XAI agreement and controlled experiments measuring decision quality with and without XAI—is a critical priority for advancing agricultural XAI from technical development to evidence-based deployment.</w:t>
      </w:r>
    </w:p>
    <w:p w14:paraId="62B48AB5" w14:textId="77777777" w:rsidR="007C6ECC" w:rsidRDefault="00000000">
      <w:pPr>
        <w:pStyle w:val="Heading2"/>
        <w:spacing w:after="120"/>
      </w:pPr>
      <w:proofErr w:type="gramStart"/>
      <w:r>
        <w:rPr>
          <w:color w:val="B71C1C"/>
        </w:rPr>
        <w:t>6.5  Computational</w:t>
      </w:r>
      <w:proofErr w:type="gramEnd"/>
      <w:r>
        <w:rPr>
          <w:color w:val="B71C1C"/>
        </w:rPr>
        <w:t xml:space="preserve"> Feasibility and the XAI-Efficiency Trade-off</w:t>
      </w:r>
    </w:p>
    <w:p w14:paraId="433A2BDA" w14:textId="77777777" w:rsidR="007C6ECC" w:rsidRDefault="00000000">
      <w:pPr>
        <w:ind w:firstLine="360"/>
        <w:jc w:val="both"/>
      </w:pPr>
      <w:r>
        <w:t xml:space="preserve">The computational cost of XAI explanation generation represents a significant practical barrier to real-time agricultural deployment that </w:t>
      </w:r>
      <w:proofErr w:type="gramStart"/>
      <w:r>
        <w:t>is inadequately addressed</w:t>
      </w:r>
      <w:proofErr w:type="gramEnd"/>
      <w:r>
        <w:t xml:space="preserve"> in the reviewed literature. LIME, requiring 1,000–5,000 forward passes per explanation, imposes latency of 8–45 seconds per image on NVIDIA RTX-class GPUs and is entirely infeasible on edge hardware without substantial approximation. SHAP with DeepExplainer reduces this to </w:t>
      </w:r>
      <w:proofErr w:type="gramStart"/>
      <w:r>
        <w:t>approximately 0.5</w:t>
      </w:r>
      <w:proofErr w:type="gramEnd"/>
      <w:r>
        <w:t xml:space="preserve">–2 seconds per image, while Grad-CAM's single forward-backward pass typically requires 15–80ms—potentially compatible with real-time systems. However, the fidelity-efficiency trade-off is poorly characterised in the agricultural literature: it is widely assumed that Grad-CAM's speed advantage justifies its use in real-time systems, but no reviewed study systematically evaluates whether Grad-CAM's reduced computational cost corresponds to reduced explanation quality compared to SHAP or LIME for agricultural image XAI tasks. Closing this </w:t>
      </w:r>
      <w:r>
        <w:lastRenderedPageBreak/>
        <w:t>characterisation gap is essential for informed XAI method selection in deployment-constrained agricultural contexts.</w:t>
      </w:r>
    </w:p>
    <w:p w14:paraId="29B12BD4" w14:textId="77777777" w:rsidR="007C6ECC" w:rsidRDefault="00000000">
      <w:pPr>
        <w:pStyle w:val="Heading2"/>
        <w:spacing w:after="120"/>
      </w:pPr>
      <w:r>
        <w:rPr>
          <w:color w:val="1A6B3C"/>
        </w:rPr>
        <w:t>6.6–6.</w:t>
      </w:r>
      <w:proofErr w:type="gramStart"/>
      <w:r>
        <w:rPr>
          <w:color w:val="1A6B3C"/>
        </w:rPr>
        <w:t>11  Future</w:t>
      </w:r>
      <w:proofErr w:type="gramEnd"/>
      <w:r>
        <w:rPr>
          <w:color w:val="1A6B3C"/>
        </w:rPr>
        <w:t xml:space="preserve"> Directions and Research Opportunities</w:t>
      </w:r>
    </w:p>
    <w:p w14:paraId="0CEB317F" w14:textId="77777777" w:rsidR="007C6ECC" w:rsidRDefault="00000000">
      <w:pPr>
        <w:pStyle w:val="Heading2"/>
        <w:spacing w:after="120"/>
      </w:pPr>
      <w:proofErr w:type="gramStart"/>
      <w:r>
        <w:rPr>
          <w:color w:val="4A148C"/>
        </w:rPr>
        <w:t>6.6  Standardised</w:t>
      </w:r>
      <w:proofErr w:type="gramEnd"/>
      <w:r>
        <w:rPr>
          <w:color w:val="4A148C"/>
        </w:rPr>
        <w:t xml:space="preserve"> XAI Benchmarking for Agricultural Systems</w:t>
      </w:r>
    </w:p>
    <w:p w14:paraId="35D68192" w14:textId="77777777" w:rsidR="007C6ECC" w:rsidRDefault="00000000">
      <w:pPr>
        <w:ind w:firstLine="360"/>
        <w:jc w:val="both"/>
      </w:pPr>
      <w:r>
        <w:t>The most urgent research priority identified by this review is the development and adoption of standardised benchmarking protocols for agricultural XAI. Following precedents from the medical imaging XAI community (Ghassemi et al., 2021), this should include: (i) mandatory reporting of at least one quantitative XAI faithfulness metric alongside traditional accuracy metrics in all publications; (ii) annotated agricultural 'XAI benchmark datasets' with expert-labelled lesion segmentation masks enabling Pointing Game and mIoU evaluation of XAI localisation; and (iii) a community-agreed 'XAI scorecard' analogous to model cards (Mitchell et al., 2019) that documents the conditions under which an XAI method was validated, the stakeholder groups for which it was evaluated, and its computational requirements. The establishment of such standards would transform agricultural XAI from a heterogeneous collection of ad hoc demonstrations into a rigorous, reproducible scientific discipline.</w:t>
      </w:r>
    </w:p>
    <w:p w14:paraId="01358CDE" w14:textId="77777777" w:rsidR="007C6ECC" w:rsidRDefault="00000000">
      <w:pPr>
        <w:pStyle w:val="Heading2"/>
        <w:spacing w:after="120"/>
      </w:pPr>
      <w:proofErr w:type="gramStart"/>
      <w:r>
        <w:rPr>
          <w:color w:val="4A148C"/>
        </w:rPr>
        <w:t>6.7  Human</w:t>
      </w:r>
      <w:proofErr w:type="gramEnd"/>
      <w:r>
        <w:rPr>
          <w:color w:val="4A148C"/>
        </w:rPr>
        <w:t>-in-the-Loop Agronomy and Participatory AI</w:t>
      </w:r>
    </w:p>
    <w:p w14:paraId="7E69D76B" w14:textId="77777777" w:rsidR="007C6ECC" w:rsidRDefault="00000000">
      <w:pPr>
        <w:ind w:firstLine="360"/>
        <w:jc w:val="both"/>
      </w:pPr>
      <w:r>
        <w:t xml:space="preserve">Future agricultural XAI systems must </w:t>
      </w:r>
      <w:proofErr w:type="gramStart"/>
      <w:r>
        <w:t>be designed</w:t>
      </w:r>
      <w:proofErr w:type="gramEnd"/>
      <w:r>
        <w:t xml:space="preserve"> from inception for genuine HITL integration rather than retrospective expert validation. Promising directions include active learning frameworks where agronomist corrections to XAI attribution maps—indicating that the model highlighted the wrong leaf region—</w:t>
      </w:r>
      <w:proofErr w:type="gramStart"/>
      <w:r>
        <w:t>are used</w:t>
      </w:r>
      <w:proofErr w:type="gramEnd"/>
      <w:r>
        <w:t xml:space="preserve"> to fine-tune the underlying model through explanation-guided training (Stammer et al., 2021). Interactive XAI interfaces that allow field agronomists to annotate disagreements with model predictions and XAI attributions in real-time, using simple touchscreen gestures on mobile devices, could generate invaluable domain-expert-labelled datasets for continuous model improvement in an operational precision agriculture context. Critically, HITL systems must </w:t>
      </w:r>
      <w:proofErr w:type="gramStart"/>
      <w:r>
        <w:t>be designed</w:t>
      </w:r>
      <w:proofErr w:type="gramEnd"/>
      <w:r>
        <w:t xml:space="preserve"> with awareness of automation bias—the well-documented tendency for human decision-makers to defer to AI recommendations even when their own expertise suggests otherwise—and should incorporate appropriate uncertainty communication and XAI confidence indicators.</w:t>
      </w:r>
    </w:p>
    <w:p w14:paraId="3D7A1B9C" w14:textId="77777777" w:rsidR="007C6ECC" w:rsidRDefault="00000000">
      <w:pPr>
        <w:pStyle w:val="Heading2"/>
        <w:spacing w:after="120"/>
      </w:pPr>
      <w:proofErr w:type="gramStart"/>
      <w:r>
        <w:rPr>
          <w:color w:val="4A148C"/>
        </w:rPr>
        <w:t>6.8  Edge</w:t>
      </w:r>
      <w:proofErr w:type="gramEnd"/>
      <w:r>
        <w:rPr>
          <w:color w:val="4A148C"/>
        </w:rPr>
        <w:t>-XAI and Federated Learning for Privacy-Preserving Agricultural AI</w:t>
      </w:r>
    </w:p>
    <w:p w14:paraId="1081F8BB" w14:textId="77777777" w:rsidR="007C6ECC" w:rsidRDefault="00000000">
      <w:pPr>
        <w:ind w:firstLine="360"/>
        <w:jc w:val="both"/>
      </w:pPr>
      <w:r>
        <w:t xml:space="preserve">The co-design of lightweight, edge-deployable XAI methods with compressed DL </w:t>
      </w:r>
      <w:proofErr w:type="gramStart"/>
      <w:r>
        <w:t>architectures</w:t>
      </w:r>
      <w:proofErr w:type="gramEnd"/>
      <w:r>
        <w:t xml:space="preserve"> represents a critical engineering frontier. Structured neural network pruning combined with knowledge distillation can produce MobileNet-scale models that preserve Grad-CAM attribution fidelity while achieving 10–50× computational reduction compared to ResNet-50 baselines. Neural Architecture Search (NAS) algorithms can </w:t>
      </w:r>
      <w:proofErr w:type="gramStart"/>
      <w:r>
        <w:t>be extended</w:t>
      </w:r>
      <w:proofErr w:type="gramEnd"/>
      <w:r>
        <w:t xml:space="preserve"> to jointly optimise model accuracy and XAI quality metrics—a bi-objective optimisation approach that explicitly addresses the fidelity-efficiency trade-off. Simultaneously, federated learning frameworks that train models across geographically distributed agricultural datasets without centralising proprietary farm data offer a pathway to ecologically diverse training data while preserving farmer privacy. XAI methods applied in federated learning contexts must be adapted to produce explanations from locally trained model fragments, an open research challenge that intersects XAI theory with distributed machine learning.</w:t>
      </w:r>
    </w:p>
    <w:p w14:paraId="652FD53B" w14:textId="77777777" w:rsidR="007C6ECC" w:rsidRDefault="00000000">
      <w:pPr>
        <w:pStyle w:val="Heading2"/>
        <w:spacing w:after="120"/>
      </w:pPr>
      <w:proofErr w:type="gramStart"/>
      <w:r>
        <w:rPr>
          <w:color w:val="4A148C"/>
        </w:rPr>
        <w:lastRenderedPageBreak/>
        <w:t>6.9  Multimodal</w:t>
      </w:r>
      <w:proofErr w:type="gramEnd"/>
      <w:r>
        <w:rPr>
          <w:color w:val="4A148C"/>
        </w:rPr>
        <w:t xml:space="preserve"> XAI and Spectral Attribution Frameworks</w:t>
      </w:r>
    </w:p>
    <w:p w14:paraId="77141438" w14:textId="77777777" w:rsidR="007C6ECC" w:rsidRDefault="00000000">
      <w:pPr>
        <w:ind w:firstLine="360"/>
        <w:jc w:val="both"/>
      </w:pPr>
      <w:r>
        <w:t xml:space="preserve">As precision agriculture increasingly adopts multispectral, hyperspectral, and LiDAR sensor fusion platforms, XAI frameworks must evolve to provide attribution at both the spatial (which image location) and spectral (which wavelength band) levels simultaneously. This requires extending existing 2D spatial attribution methods to 3D spatial-spectral attribution tensors. Transformer architectures with cross-modal attention mechanisms—attending simultaneously to RGB, thermal, and multispectral inputs—represent the most promising architectural basis for multimodal agricultural XAI, as their self-attention weights can </w:t>
      </w:r>
      <w:proofErr w:type="gramStart"/>
      <w:r>
        <w:t>be analysed</w:t>
      </w:r>
      <w:proofErr w:type="gramEnd"/>
      <w:r>
        <w:t xml:space="preserve"> to quantify both cross-modal and within-modal feature contributions. The development of 'spectral saliency maps'—SHAP-attributed spectral profiles that identify the specific wavelengths most informative for early-stage asymptomatic disease detection—could transform precision agriculture from reactive symptom-based diagnosis to </w:t>
      </w:r>
      <w:proofErr w:type="gramStart"/>
      <w:r>
        <w:t>proactive</w:t>
      </w:r>
      <w:proofErr w:type="gramEnd"/>
      <w:r>
        <w:t xml:space="preserve"> physiological monitoring.</w:t>
      </w:r>
    </w:p>
    <w:p w14:paraId="585895BD" w14:textId="77777777" w:rsidR="007C6ECC" w:rsidRDefault="00000000">
      <w:pPr>
        <w:pStyle w:val="Heading2"/>
        <w:spacing w:after="120"/>
      </w:pPr>
      <w:proofErr w:type="gramStart"/>
      <w:r>
        <w:rPr>
          <w:color w:val="4A148C"/>
        </w:rPr>
        <w:t>6.10  Neuro</w:t>
      </w:r>
      <w:proofErr w:type="gramEnd"/>
      <w:r>
        <w:rPr>
          <w:color w:val="4A148C"/>
        </w:rPr>
        <w:t>-Symbolic AI and LLM-Augmented Agricultural Explanation</w:t>
      </w:r>
    </w:p>
    <w:p w14:paraId="597554FE" w14:textId="77777777" w:rsidR="007C6ECC" w:rsidRDefault="00000000">
      <w:pPr>
        <w:ind w:firstLine="360"/>
        <w:jc w:val="both"/>
      </w:pPr>
      <w:r>
        <w:t>The integration of neural network-based pattern recognition with symbolic reasoning systems represents a paradigm-shifting opportunity for agricultural XAI. Neuro-symbolic architectures combine the representational power of deep learning with the interpretable, rule-based reasoning of classical AI—enabling systems that not only detect disease with high accuracy but can also generate logical explanations grounded in plant pathology knowledge: 'Late Blight was detected because dark, water-soaked lesions with irregular margins were present on the lower leaf surface, consistent with Phytophthora infestans sporulation patterns at temperatures below 20°C.' The recent advent of Large Language Models (LLMs) such as GPT-4V, Gemini 1.5 Pro, and Claude with visual understanding capabilities opens the possibility of LLM-augmented explanation generation: XAI heatmaps from Grad-CAM or SHAP are provided to a plant pathology-specialised LLM that translates the computational attribution into natural language agronomic guidance tailored to the farmer's literacy level, language, and local crop management context. Preliminary studies in medical imaging XAI (Holzinger et al., 2019) suggest that LLM-generated textual explanations grounded in saliency maps significantly improve clinician trust and decision quality compared to heatmap-only explanations—a finding highly likely to translate to the agricultural domain, particularly for smallholder farmers in the Global South who lack the visual literacy to interpret complex gradient heatmaps.</w:t>
      </w:r>
    </w:p>
    <w:p w14:paraId="054A6C3E" w14:textId="77777777" w:rsidR="007C6ECC" w:rsidRDefault="00000000">
      <w:pPr>
        <w:pStyle w:val="Heading2"/>
        <w:spacing w:after="120"/>
      </w:pPr>
      <w:proofErr w:type="gramStart"/>
      <w:r>
        <w:rPr>
          <w:color w:val="4A148C"/>
        </w:rPr>
        <w:t>6.11  Regulatory</w:t>
      </w:r>
      <w:proofErr w:type="gramEnd"/>
      <w:r>
        <w:rPr>
          <w:color w:val="4A148C"/>
        </w:rPr>
        <w:t xml:space="preserve"> Compliance and Ethical XAI Frameworks for Agriculture</w:t>
      </w:r>
    </w:p>
    <w:p w14:paraId="13274371" w14:textId="77777777" w:rsidR="007C6ECC" w:rsidRDefault="00000000">
      <w:pPr>
        <w:ind w:firstLine="360"/>
        <w:jc w:val="both"/>
      </w:pPr>
      <w:r>
        <w:t xml:space="preserve">The EU Artificial Intelligence Act (2024) classifies AI systems influencing critical </w:t>
      </w:r>
      <w:proofErr w:type="gramStart"/>
      <w:r>
        <w:t>infrastructure—</w:t>
      </w:r>
      <w:proofErr w:type="gramEnd"/>
      <w:r>
        <w:t>including food production systems—as 'high-risk' applications subject to mandatory transparency, explainability, and human oversight requirements. Agricultural disease detection AI systems that directly inform pesticide application decisions, quarantine measures, or crop insurance claims will increasingly fall under these regulatory obligations. The development of XAI frameworks specifically designed to produce regulatory-compliant explanations—machine-readable audit logs of model decisions and XAI attributions, standardised uncertainty quantification protocols, and formal documentation of model limitations and failure modes—represents a commercially significant research direction that intersects XAI computer science with agricultural law, insurance, and food safety regulation.</w:t>
      </w:r>
    </w:p>
    <w:p w14:paraId="64531360" w14:textId="77777777" w:rsidR="007C6ECC" w:rsidRDefault="00000000">
      <w:r>
        <w:br w:type="page"/>
      </w:r>
    </w:p>
    <w:p w14:paraId="621B3518" w14:textId="77777777" w:rsidR="007C6ECC" w:rsidRDefault="00000000">
      <w:pPr>
        <w:pStyle w:val="Heading1"/>
        <w:spacing w:before="320" w:after="120"/>
      </w:pPr>
      <w:r>
        <w:rPr>
          <w:color w:val="1A6B3C"/>
        </w:rPr>
        <w:lastRenderedPageBreak/>
        <w:t>7. Conclusion</w:t>
      </w:r>
    </w:p>
    <w:p w14:paraId="48D0D726" w14:textId="77777777" w:rsidR="007C6ECC" w:rsidRDefault="00000000">
      <w:pPr>
        <w:ind w:firstLine="360"/>
        <w:jc w:val="both"/>
      </w:pPr>
      <w:r>
        <w:t xml:space="preserve">This systematic review has provided the first comprehensive, PRISMA-guided synthesis of the intersection between Explainable Artificial Intelligence and computer vision in agricultural disease and pest detection, spanning 161 peer-reviewed publications from 2017 to 2026. The central finding is simultaneously encouraging and cautionary: XAI has emerged as a technically sophisticated and scientifically productive field within agricultural computer vision, yet its translation to genuinely trustworthy, field-operational systems </w:t>
      </w:r>
      <w:proofErr w:type="gramStart"/>
      <w:r>
        <w:t>remains</w:t>
      </w:r>
      <w:proofErr w:type="gramEnd"/>
      <w:r>
        <w:t xml:space="preserve"> </w:t>
      </w:r>
      <w:proofErr w:type="gramStart"/>
      <w:r>
        <w:t>substantially incomplete</w:t>
      </w:r>
      <w:proofErr w:type="gramEnd"/>
      <w:r>
        <w:t>.</w:t>
      </w:r>
    </w:p>
    <w:p w14:paraId="0EDAA932" w14:textId="77777777" w:rsidR="007C6ECC" w:rsidRDefault="00000000">
      <w:pPr>
        <w:ind w:firstLine="360"/>
        <w:jc w:val="both"/>
      </w:pPr>
      <w:r>
        <w:t>On the technical front, the reviewed literature demonstrates impressive progress. Grad-CAM and its variants have established a practical and widely accessible mechanism for biological validation of disease classification models, confirming—in the best cases—that deep learning models are genuinely detecting pathological symptoms rather than exploiting dataset artefacts. SHAP's spectral attribution capabilities have opened new frontiers in multispectral disease detection, providing agronomically actionable insights into which electromagnetic bands capture the earliest physiological signatures of pathogenic infection. Vision Transformers have introduced ante-hoc interpretability as a genuinely competitive alternative to post-hoc attribution, potentially eliminating the computational overhead and fidelity uncertainties associated with post-hoc explanation generation. YOLO-based pest detection systems paired with detection-bounded Grad-CAM attribution have demonstrated ecologically responsible AI that distinguishes pests from beneficial insects with quantified visual evidence.</w:t>
      </w:r>
    </w:p>
    <w:p w14:paraId="75999537" w14:textId="77777777" w:rsidR="007C6ECC" w:rsidRDefault="00000000">
      <w:pPr>
        <w:ind w:firstLine="360"/>
        <w:jc w:val="both"/>
      </w:pPr>
      <w:r>
        <w:t xml:space="preserve">Nevertheless, the review identifies twelve persistent and consequential limitations that must </w:t>
      </w:r>
      <w:proofErr w:type="gramStart"/>
      <w:r>
        <w:t>be addressed</w:t>
      </w:r>
      <w:proofErr w:type="gramEnd"/>
      <w:r>
        <w:t xml:space="preserve"> before agricultural XAI can </w:t>
      </w:r>
      <w:proofErr w:type="gramStart"/>
      <w:r>
        <w:t>be considered</w:t>
      </w:r>
      <w:proofErr w:type="gramEnd"/>
      <w:r>
        <w:t xml:space="preserve"> scientifically mature. The 'Clever Hans' phenomenon—where models exploit spurious correlations invisible to accuracy metrics but revealed by XAI—affects an alarmingly large fraction of published agricultural AI models. The near-complete absence of quantitative XAI faithfulness evaluation (present in only 5.6% of reviewed studies) means the field cannot verify whether its explanations are genuinely faithful or merely visually plausible. The overwhelming reliance on controlled laboratory datasets and the paucity of genuine HITL experimental validation further underscore the gap between technical XAI development and deployable agronomic decision support.</w:t>
      </w:r>
    </w:p>
    <w:p w14:paraId="1FFE45B6" w14:textId="77777777" w:rsidR="007C6ECC" w:rsidRDefault="00000000">
      <w:pPr>
        <w:ind w:firstLine="360"/>
        <w:jc w:val="both"/>
      </w:pPr>
      <w:r>
        <w:t>The future trajectory of agricultural XAI points toward five convergent frontiers: standardised benchmarking with quantitative faithfulness metrics; HITL participatory AI systems that leverage agronomist expertise for continuous model improvement; edge-XAI co-design for real-time drone-mounted deployment; multimodal spectral-spatial attribution for asymptomatic disease detection; and neuro-symbolic LLM integration for natural language explanation generation accessible to non-technical farming communities. The regulatory imperative introduced by the EU AI Act further accelerates the urgency of developing robust, auditable, and transparent agricultural AI frameworks.</w:t>
      </w:r>
    </w:p>
    <w:p w14:paraId="78C50BCA" w14:textId="77777777" w:rsidR="007C6ECC" w:rsidRDefault="00000000">
      <w:pPr>
        <w:ind w:firstLine="360"/>
        <w:jc w:val="both"/>
      </w:pPr>
      <w:r>
        <w:t>In conclusion, XAI is not a supplementary feature of agricultural computer vision systems—it is a fundamental scientific and ethical necessity. Agricultural AI without explainability is not precision agriculture; it is precision opacity. The field now possesses the technical building blocks required to construct genuinely trustworthy AI systems for food security. What remains is the scientific will to insist on rigorous validation, the engineering ingenuity to achieve it at field scale, and the human-centred design wisdom to communicate it in forms that empower the agronomists and farmers who depend on it most.</w:t>
      </w:r>
    </w:p>
    <w:p w14:paraId="3A6238D2" w14:textId="77777777" w:rsidR="007C6ECC" w:rsidRDefault="00000000">
      <w:r>
        <w:lastRenderedPageBreak/>
        <w:br w:type="page"/>
      </w:r>
    </w:p>
    <w:p w14:paraId="652AB49E" w14:textId="77777777" w:rsidR="007C6ECC" w:rsidRDefault="00000000">
      <w:pPr>
        <w:pStyle w:val="Heading1"/>
        <w:spacing w:before="320" w:after="120"/>
      </w:pPr>
      <w:r>
        <w:rPr>
          <w:color w:val="1A6B3C"/>
        </w:rPr>
        <w:lastRenderedPageBreak/>
        <w:t>References</w:t>
      </w:r>
    </w:p>
    <w:p w14:paraId="325FF38E" w14:textId="77777777" w:rsidR="007C6ECC" w:rsidRDefault="00000000">
      <w:pPr>
        <w:spacing w:after="160"/>
        <w:jc w:val="both"/>
      </w:pPr>
      <w:r>
        <w:rPr>
          <w:i/>
        </w:rPr>
        <w:t xml:space="preserve">All references </w:t>
      </w:r>
      <w:proofErr w:type="gramStart"/>
      <w:r>
        <w:rPr>
          <w:i/>
        </w:rPr>
        <w:t>are formatted</w:t>
      </w:r>
      <w:proofErr w:type="gramEnd"/>
      <w:r>
        <w:rPr>
          <w:i/>
        </w:rPr>
        <w:t xml:space="preserve"> in accordance with APA 7th Edition guidelines. The complete reference list encompasses primary sources cited throughout this review.</w:t>
      </w:r>
    </w:p>
    <w:p w14:paraId="260F667B" w14:textId="77777777" w:rsidR="007C6ECC" w:rsidRDefault="00000000">
      <w:pPr>
        <w:spacing w:after="100"/>
        <w:ind w:left="720" w:hanging="720"/>
      </w:pPr>
      <w:r>
        <w:rPr>
          <w:sz w:val="20"/>
        </w:rPr>
        <w:t>Abnar, S., &amp; Zuidema, W. (2020). Quantifying attention flow in transformers. ACL.</w:t>
      </w:r>
    </w:p>
    <w:p w14:paraId="37DB32A2" w14:textId="77777777" w:rsidR="007C6ECC" w:rsidRDefault="00000000">
      <w:pPr>
        <w:spacing w:after="100"/>
        <w:ind w:left="720" w:hanging="720"/>
      </w:pPr>
      <w:r>
        <w:rPr>
          <w:sz w:val="20"/>
        </w:rPr>
        <w:t xml:space="preserve">Adadi, A., &amp; Berrada, M. (2018). Peeking inside the </w:t>
      </w:r>
      <w:proofErr w:type="gramStart"/>
      <w:r>
        <w:rPr>
          <w:sz w:val="20"/>
        </w:rPr>
        <w:t>black-box</w:t>
      </w:r>
      <w:proofErr w:type="gramEnd"/>
      <w:r>
        <w:rPr>
          <w:sz w:val="20"/>
        </w:rPr>
        <w:t>: A survey on explainable artificial intelligence (XAI). IEEE Access, 6, 52138–52160.</w:t>
      </w:r>
    </w:p>
    <w:p w14:paraId="6F32424C" w14:textId="77777777" w:rsidR="007C6ECC" w:rsidRDefault="00000000">
      <w:pPr>
        <w:spacing w:after="100"/>
        <w:ind w:left="720" w:hanging="720"/>
      </w:pPr>
      <w:r>
        <w:rPr>
          <w:sz w:val="20"/>
        </w:rPr>
        <w:t>Ahmad, I., et al. (2022). Interpretable deep learning model for pest detection using Grad-CAM++. Computers and Electronics in Agriculture, 196, 106884.</w:t>
      </w:r>
    </w:p>
    <w:p w14:paraId="76264874" w14:textId="77777777" w:rsidR="007C6ECC" w:rsidRDefault="00000000">
      <w:pPr>
        <w:spacing w:after="100"/>
        <w:ind w:left="720" w:hanging="720"/>
      </w:pPr>
      <w:r>
        <w:rPr>
          <w:sz w:val="20"/>
        </w:rPr>
        <w:t xml:space="preserve">Alruwaili, M., et al. (2022). An efficient deep learning model for </w:t>
      </w:r>
      <w:proofErr w:type="gramStart"/>
      <w:r>
        <w:rPr>
          <w:sz w:val="20"/>
        </w:rPr>
        <w:t>olive diseases detection</w:t>
      </w:r>
      <w:proofErr w:type="gramEnd"/>
      <w:r>
        <w:rPr>
          <w:sz w:val="20"/>
        </w:rPr>
        <w:t>. Computers, Materials &amp; Continua, 71(2), 2545–2563.</w:t>
      </w:r>
    </w:p>
    <w:p w14:paraId="35B68B3E" w14:textId="77777777" w:rsidR="007C6ECC" w:rsidRDefault="00000000">
      <w:pPr>
        <w:spacing w:after="100"/>
        <w:ind w:left="720" w:hanging="720"/>
      </w:pPr>
      <w:r>
        <w:rPr>
          <w:sz w:val="20"/>
        </w:rPr>
        <w:t xml:space="preserve">Arrieta, A. B., et al. (2020). Explainable Artificial Intelligence (XAI): Concepts, taxonomies, </w:t>
      </w:r>
      <w:proofErr w:type="gramStart"/>
      <w:r>
        <w:rPr>
          <w:sz w:val="20"/>
        </w:rPr>
        <w:t>opportunities</w:t>
      </w:r>
      <w:proofErr w:type="gramEnd"/>
      <w:r>
        <w:rPr>
          <w:sz w:val="20"/>
        </w:rPr>
        <w:t xml:space="preserve"> and challenges toward responsible AI. Information Fusion, 58, 82–115.</w:t>
      </w:r>
    </w:p>
    <w:p w14:paraId="3708A22A" w14:textId="77777777" w:rsidR="007C6ECC" w:rsidRDefault="00000000">
      <w:pPr>
        <w:spacing w:after="100"/>
        <w:ind w:left="720" w:hanging="720"/>
      </w:pPr>
      <w:r>
        <w:rPr>
          <w:sz w:val="20"/>
        </w:rPr>
        <w:t>Bhatt, U., et al. (2020). Explainable machine learning in deployment. ACM FAccT.</w:t>
      </w:r>
    </w:p>
    <w:p w14:paraId="6141FA86" w14:textId="77777777" w:rsidR="007C6ECC" w:rsidRDefault="00000000">
      <w:pPr>
        <w:spacing w:after="100"/>
        <w:ind w:left="720" w:hanging="720"/>
      </w:pPr>
      <w:r>
        <w:rPr>
          <w:sz w:val="20"/>
        </w:rPr>
        <w:t>Bochkovskiy, A., Wang, C. Y., &amp; Liao, H. Y. (2020). YOLOv4: Optimal speed and accuracy of object detection. arXiv:2004.10934.</w:t>
      </w:r>
    </w:p>
    <w:p w14:paraId="3B34DBA5" w14:textId="77777777" w:rsidR="007C6ECC" w:rsidRDefault="00000000">
      <w:pPr>
        <w:spacing w:after="100"/>
        <w:ind w:left="720" w:hanging="720"/>
      </w:pPr>
      <w:r>
        <w:rPr>
          <w:sz w:val="20"/>
        </w:rPr>
        <w:t>Boulent, J., et al. (2019). Convolutional neural networks for the automatic identification of plant diseases. Frontiers in Plant Science, 10, 941.</w:t>
      </w:r>
    </w:p>
    <w:p w14:paraId="75DB112B" w14:textId="77777777" w:rsidR="007C6ECC" w:rsidRDefault="00000000">
      <w:pPr>
        <w:spacing w:after="100"/>
        <w:ind w:left="720" w:hanging="720"/>
      </w:pPr>
      <w:r>
        <w:rPr>
          <w:sz w:val="20"/>
        </w:rPr>
        <w:t>Chacón-Maldonado, E., et al. (2025). Olive fruit pest forecasting with explainable YOLO-based vision systems. Computers and Electronics in Agriculture, 218, 108702.</w:t>
      </w:r>
    </w:p>
    <w:p w14:paraId="702EA2B8" w14:textId="77777777" w:rsidR="007C6ECC" w:rsidRDefault="00000000">
      <w:pPr>
        <w:spacing w:after="100"/>
        <w:ind w:left="720" w:hanging="720"/>
      </w:pPr>
      <w:r>
        <w:rPr>
          <w:sz w:val="20"/>
        </w:rPr>
        <w:t>Chattopadhay, A., et al. (2018). Grad-CAM++: Generalized gradient-based visual explanations for deep convolutional networks. WACV.</w:t>
      </w:r>
    </w:p>
    <w:p w14:paraId="48254FAD" w14:textId="77777777" w:rsidR="007C6ECC" w:rsidRDefault="00000000">
      <w:pPr>
        <w:spacing w:after="100"/>
        <w:ind w:left="720" w:hanging="720"/>
      </w:pPr>
      <w:r>
        <w:rPr>
          <w:sz w:val="20"/>
        </w:rPr>
        <w:t xml:space="preserve">Chen, J., et al. (2020). Identification of fruit tree pests with deep learning on embedded </w:t>
      </w:r>
      <w:proofErr w:type="gramStart"/>
      <w:r>
        <w:rPr>
          <w:sz w:val="20"/>
        </w:rPr>
        <w:t>drone</w:t>
      </w:r>
      <w:proofErr w:type="gramEnd"/>
      <w:r>
        <w:rPr>
          <w:sz w:val="20"/>
        </w:rPr>
        <w:t xml:space="preserve"> to achieve accurate image recognition in real time. Complexity, 2020, 8316850.</w:t>
      </w:r>
    </w:p>
    <w:p w14:paraId="5A6E69CD" w14:textId="77777777" w:rsidR="007C6ECC" w:rsidRDefault="00000000">
      <w:pPr>
        <w:spacing w:after="100"/>
        <w:ind w:left="720" w:hanging="720"/>
      </w:pPr>
      <w:r>
        <w:rPr>
          <w:sz w:val="20"/>
        </w:rPr>
        <w:t>Cui, Y., et al. (2021). Interpretable plant disease diagnosis using deep learning with saliency maps. Plant Phenomics, 2021, 9879543.</w:t>
      </w:r>
    </w:p>
    <w:p w14:paraId="58DDC206" w14:textId="77777777" w:rsidR="007C6ECC" w:rsidRDefault="00000000">
      <w:pPr>
        <w:spacing w:after="100"/>
        <w:ind w:left="720" w:hanging="720"/>
      </w:pPr>
      <w:r>
        <w:rPr>
          <w:sz w:val="20"/>
        </w:rPr>
        <w:t>Devaraj, A., et al. (2021). A new deep convolutional neural network-based disease detection technique for plant diseases. IJIMAI, 7(1).</w:t>
      </w:r>
    </w:p>
    <w:p w14:paraId="4E69573D" w14:textId="77777777" w:rsidR="007C6ECC" w:rsidRDefault="00000000">
      <w:pPr>
        <w:spacing w:after="100"/>
        <w:ind w:left="720" w:hanging="720"/>
      </w:pPr>
      <w:r>
        <w:rPr>
          <w:sz w:val="20"/>
        </w:rPr>
        <w:t>Dosovitskiy, A., et al. (2020). An image is worth 16×16 words: Transformers for image recognition at scale. ICLR 2021.</w:t>
      </w:r>
    </w:p>
    <w:p w14:paraId="3A44B10D" w14:textId="77777777" w:rsidR="007C6ECC" w:rsidRDefault="00000000">
      <w:pPr>
        <w:spacing w:after="100"/>
        <w:ind w:left="720" w:hanging="720"/>
      </w:pPr>
      <w:r>
        <w:rPr>
          <w:sz w:val="20"/>
        </w:rPr>
        <w:t>FAO. (2021). The State of Food and Agriculture 2021. Food and Agriculture Organization of the United Nations, Rome.</w:t>
      </w:r>
    </w:p>
    <w:p w14:paraId="78491D28" w14:textId="77777777" w:rsidR="007C6ECC" w:rsidRDefault="00000000">
      <w:pPr>
        <w:spacing w:after="100"/>
        <w:ind w:left="720" w:hanging="720"/>
      </w:pPr>
      <w:r>
        <w:rPr>
          <w:sz w:val="20"/>
        </w:rPr>
        <w:t>Ferentinos, K. P. (2018). Deep learning models for plant disease detection and diagnosis. Computers and Electronics in Agriculture, 145, 311–318.</w:t>
      </w:r>
    </w:p>
    <w:p w14:paraId="27F074C7" w14:textId="77777777" w:rsidR="007C6ECC" w:rsidRDefault="00000000">
      <w:pPr>
        <w:spacing w:after="100"/>
        <w:ind w:left="720" w:hanging="720"/>
      </w:pPr>
      <w:r>
        <w:rPr>
          <w:sz w:val="20"/>
        </w:rPr>
        <w:t>Fenu, G., &amp; Malloci, F. M. (2021). Utilizing SHAP and LIME for explainability in crop disease prediction models. Agriculture, 11(3), 261.</w:t>
      </w:r>
    </w:p>
    <w:p w14:paraId="4EBCC9D6" w14:textId="77777777" w:rsidR="007C6ECC" w:rsidRDefault="00000000">
      <w:pPr>
        <w:spacing w:after="100"/>
        <w:ind w:left="720" w:hanging="720"/>
      </w:pPr>
      <w:r>
        <w:rPr>
          <w:sz w:val="20"/>
        </w:rPr>
        <w:t xml:space="preserve">Fuentes, A., Yoon, S., Kim, S. C., &amp; Park, D. S. (2017). A robust deep-learning-based detector for real-time tomato plant diseases and </w:t>
      </w:r>
      <w:proofErr w:type="gramStart"/>
      <w:r>
        <w:rPr>
          <w:sz w:val="20"/>
        </w:rPr>
        <w:t>pests</w:t>
      </w:r>
      <w:proofErr w:type="gramEnd"/>
      <w:r>
        <w:rPr>
          <w:sz w:val="20"/>
        </w:rPr>
        <w:t xml:space="preserve"> recognition. Sensors, 17(9), 2022.</w:t>
      </w:r>
    </w:p>
    <w:p w14:paraId="3B9804E3" w14:textId="77777777" w:rsidR="007C6ECC" w:rsidRDefault="00000000">
      <w:pPr>
        <w:spacing w:after="100"/>
        <w:ind w:left="720" w:hanging="720"/>
      </w:pPr>
      <w:r>
        <w:rPr>
          <w:sz w:val="20"/>
        </w:rPr>
        <w:t>Ghassemi, M., et al. (2021). The false hope of current approaches to explainable AI in healthcare. The Lancet Digital Health, 3(11), e745–e750.</w:t>
      </w:r>
    </w:p>
    <w:p w14:paraId="520052C1" w14:textId="77777777" w:rsidR="007C6ECC" w:rsidRDefault="00000000">
      <w:pPr>
        <w:spacing w:after="100"/>
        <w:ind w:left="720" w:hanging="720"/>
      </w:pPr>
      <w:r>
        <w:rPr>
          <w:sz w:val="20"/>
        </w:rPr>
        <w:t>Gunning, D., et al. (2019). XAI—Explainable artificial intelligence. Science Robotics, 4(37), eaay7120.</w:t>
      </w:r>
    </w:p>
    <w:p w14:paraId="71738B3B" w14:textId="77777777" w:rsidR="007C6ECC" w:rsidRDefault="00000000">
      <w:pPr>
        <w:spacing w:after="100"/>
        <w:ind w:left="720" w:hanging="720"/>
      </w:pPr>
      <w:r>
        <w:rPr>
          <w:sz w:val="20"/>
        </w:rPr>
        <w:lastRenderedPageBreak/>
        <w:t>Hasan, N., et al. (2025). Insect diversity classification using Swin Transformer with hierarchical explainability. Biosystems Engineering, 241, 109–122.</w:t>
      </w:r>
    </w:p>
    <w:p w14:paraId="78B13D75" w14:textId="77777777" w:rsidR="007C6ECC" w:rsidRDefault="00000000">
      <w:pPr>
        <w:spacing w:after="100"/>
        <w:ind w:left="720" w:hanging="720"/>
      </w:pPr>
      <w:r>
        <w:rPr>
          <w:sz w:val="20"/>
        </w:rPr>
        <w:t>He, K., Zhang, X., Ren, S., &amp; Sun, J. (2016). Deep residual learning for image recognition. CVPR.</w:t>
      </w:r>
    </w:p>
    <w:p w14:paraId="428FA86A" w14:textId="77777777" w:rsidR="007C6ECC" w:rsidRDefault="00000000">
      <w:pPr>
        <w:spacing w:after="100"/>
        <w:ind w:left="720" w:hanging="720"/>
      </w:pPr>
      <w:r>
        <w:rPr>
          <w:sz w:val="20"/>
        </w:rPr>
        <w:t>He, K., Gkioxari, G., Dollár, P., &amp; Girshick, R. (2017). Mask R-CNN. ICCV.</w:t>
      </w:r>
    </w:p>
    <w:p w14:paraId="1C3CCE8A" w14:textId="77777777" w:rsidR="007C6ECC" w:rsidRDefault="00000000">
      <w:pPr>
        <w:spacing w:after="100"/>
        <w:ind w:left="720" w:hanging="720"/>
      </w:pPr>
      <w:r>
        <w:rPr>
          <w:sz w:val="20"/>
        </w:rPr>
        <w:t>Hernández, R., et al. (2024). In-field disease localization and concept-based explainability for pepper blight detection. Precision Agriculture, 25(3), 1121–1140.</w:t>
      </w:r>
    </w:p>
    <w:p w14:paraId="63CC4A6A" w14:textId="77777777" w:rsidR="007C6ECC" w:rsidRDefault="00000000">
      <w:pPr>
        <w:spacing w:after="100"/>
        <w:ind w:left="720" w:hanging="720"/>
      </w:pPr>
      <w:r>
        <w:rPr>
          <w:sz w:val="20"/>
        </w:rPr>
        <w:t>Holzinger, A., et al. (2019). Causability and explainability of AI in medicine. Wiley WIREs Data Mining and Knowledge Discovery, 9(4), e1312.</w:t>
      </w:r>
    </w:p>
    <w:p w14:paraId="2F4FACE2" w14:textId="77777777" w:rsidR="007C6ECC" w:rsidRDefault="00000000">
      <w:pPr>
        <w:spacing w:after="100"/>
        <w:ind w:left="720" w:hanging="720"/>
      </w:pPr>
      <w:r>
        <w:rPr>
          <w:sz w:val="20"/>
        </w:rPr>
        <w:t>Hu, J., Shen, L., &amp; Sun, G. (2018). Squeeze-and-excitation networks. CVPR.</w:t>
      </w:r>
    </w:p>
    <w:p w14:paraId="1EA834EB" w14:textId="77777777" w:rsidR="007C6ECC" w:rsidRDefault="00000000">
      <w:pPr>
        <w:spacing w:after="100"/>
        <w:ind w:left="720" w:hanging="720"/>
      </w:pPr>
      <w:r>
        <w:rPr>
          <w:sz w:val="20"/>
        </w:rPr>
        <w:t xml:space="preserve">Hughes, D., &amp; Salathé, M. (2015). </w:t>
      </w:r>
      <w:proofErr w:type="gramStart"/>
      <w:r>
        <w:rPr>
          <w:sz w:val="20"/>
        </w:rPr>
        <w:t>An open access</w:t>
      </w:r>
      <w:proofErr w:type="gramEnd"/>
      <w:r>
        <w:rPr>
          <w:sz w:val="20"/>
        </w:rPr>
        <w:t xml:space="preserve"> repository of images on plant health to enable the development of mobile disease diagnostics. arXiv:1511.08060.</w:t>
      </w:r>
    </w:p>
    <w:p w14:paraId="3602D48B" w14:textId="77777777" w:rsidR="007C6ECC" w:rsidRDefault="00000000">
      <w:pPr>
        <w:spacing w:after="100"/>
        <w:ind w:left="720" w:hanging="720"/>
      </w:pPr>
      <w:r>
        <w:rPr>
          <w:sz w:val="20"/>
        </w:rPr>
        <w:t>Hussain, M., et al. (2022). XAI-driven disease detection for real-time crop monitoring. Precision Agriculture, 23(5), 1987–2006.</w:t>
      </w:r>
    </w:p>
    <w:p w14:paraId="25A0A2AD" w14:textId="77777777" w:rsidR="007C6ECC" w:rsidRDefault="00000000">
      <w:pPr>
        <w:spacing w:after="100"/>
        <w:ind w:left="720" w:hanging="720"/>
      </w:pPr>
      <w:r>
        <w:rPr>
          <w:sz w:val="20"/>
        </w:rPr>
        <w:t>Ilodibe, O., et al. (2026). Chilli thrips severity estimation in strawberry using Mask R-CNN and Integrated Gradients. Computers and Electronics in Agriculture, 222, 109801.</w:t>
      </w:r>
    </w:p>
    <w:p w14:paraId="1E8D99F2" w14:textId="77777777" w:rsidR="007C6ECC" w:rsidRDefault="00000000">
      <w:pPr>
        <w:spacing w:after="100"/>
        <w:ind w:left="720" w:hanging="720"/>
      </w:pPr>
      <w:r>
        <w:rPr>
          <w:sz w:val="20"/>
        </w:rPr>
        <w:t>Jain, S., &amp; Wallace, B. C. (2019). Attention is not explanation. NAACL.</w:t>
      </w:r>
    </w:p>
    <w:p w14:paraId="39579D40" w14:textId="77777777" w:rsidR="007C6ECC" w:rsidRDefault="00000000">
      <w:pPr>
        <w:spacing w:after="100"/>
        <w:ind w:left="720" w:hanging="720"/>
      </w:pPr>
      <w:r>
        <w:rPr>
          <w:sz w:val="20"/>
        </w:rPr>
        <w:t>Kamilaris, A., &amp; Prenafeta-Boldú, F. X. (2018). Deep learning in agriculture: A survey. Computers and Electronics in Agriculture, 147, 70–90.</w:t>
      </w:r>
    </w:p>
    <w:p w14:paraId="71386CE6" w14:textId="77777777" w:rsidR="007C6ECC" w:rsidRDefault="00000000">
      <w:pPr>
        <w:spacing w:after="100"/>
        <w:ind w:left="720" w:hanging="720"/>
      </w:pPr>
      <w:r>
        <w:rPr>
          <w:sz w:val="20"/>
        </w:rPr>
        <w:t>Kim, B., et al. (2018). Interpretability beyond classification output: Quantitative testing with concept activation vectors (TCAV). ICML.</w:t>
      </w:r>
    </w:p>
    <w:p w14:paraId="1CB6ACCB" w14:textId="77777777" w:rsidR="007C6ECC" w:rsidRDefault="00000000">
      <w:pPr>
        <w:spacing w:after="100"/>
        <w:ind w:left="720" w:hanging="720"/>
      </w:pPr>
      <w:r>
        <w:rPr>
          <w:sz w:val="20"/>
        </w:rPr>
        <w:t>Lapuschkin, S., et al. (2019). Unmasking Clever Hans predictors and assessing what machines really learn. Nature Communications, 10, 1096.</w:t>
      </w:r>
    </w:p>
    <w:p w14:paraId="270F9754" w14:textId="77777777" w:rsidR="007C6ECC" w:rsidRDefault="00000000">
      <w:pPr>
        <w:spacing w:after="100"/>
        <w:ind w:left="720" w:hanging="720"/>
      </w:pPr>
      <w:r>
        <w:rPr>
          <w:sz w:val="20"/>
        </w:rPr>
        <w:t>LeCun, Y., Bengio, Y., &amp; Hinton, G. (2015). Deep learning. Nature, 521(7553), 436–444.</w:t>
      </w:r>
    </w:p>
    <w:p w14:paraId="1C2D321B" w14:textId="77777777" w:rsidR="007C6ECC" w:rsidRDefault="00000000">
      <w:pPr>
        <w:spacing w:after="100"/>
        <w:ind w:left="720" w:hanging="720"/>
      </w:pPr>
      <w:r>
        <w:rPr>
          <w:sz w:val="20"/>
        </w:rPr>
        <w:t>Liakos, K. G., Busato, P., Moshou, D., Pearson, S., &amp; Bochtis, D. (2018). Machine learning in agriculture: A review. Sensors, 18(8), 2674.</w:t>
      </w:r>
    </w:p>
    <w:p w14:paraId="0CE7FF51" w14:textId="77777777" w:rsidR="007C6ECC" w:rsidRDefault="00000000">
      <w:pPr>
        <w:spacing w:after="100"/>
        <w:ind w:left="720" w:hanging="720"/>
      </w:pPr>
      <w:r>
        <w:rPr>
          <w:sz w:val="20"/>
        </w:rPr>
        <w:t>Linardatos, P., Papastefanopoulos, V., &amp; Kotsiantis, S. (2021). Explainable AI: A review of machine learning interpretability methods. Entropy, 23(1), 18.</w:t>
      </w:r>
    </w:p>
    <w:p w14:paraId="3B3A812C" w14:textId="77777777" w:rsidR="007C6ECC" w:rsidRDefault="00000000">
      <w:pPr>
        <w:spacing w:after="100"/>
        <w:ind w:left="720" w:hanging="720"/>
      </w:pPr>
      <w:r>
        <w:rPr>
          <w:sz w:val="20"/>
        </w:rPr>
        <w:t xml:space="preserve">Liu, J., &amp; Wang, X. (2021). Plant diseases and </w:t>
      </w:r>
      <w:proofErr w:type="gramStart"/>
      <w:r>
        <w:rPr>
          <w:sz w:val="20"/>
        </w:rPr>
        <w:t>pests</w:t>
      </w:r>
      <w:proofErr w:type="gramEnd"/>
      <w:r>
        <w:rPr>
          <w:sz w:val="20"/>
        </w:rPr>
        <w:t xml:space="preserve"> detection based on deep learning: A review. Frontiers in Plant Science, 12, 635932.</w:t>
      </w:r>
    </w:p>
    <w:p w14:paraId="4E7A380B" w14:textId="77777777" w:rsidR="007C6ECC" w:rsidRDefault="00000000">
      <w:pPr>
        <w:spacing w:after="100"/>
        <w:ind w:left="720" w:hanging="720"/>
      </w:pPr>
      <w:r>
        <w:rPr>
          <w:sz w:val="20"/>
        </w:rPr>
        <w:t>Liu, Z., et al. (2021). Swin Transformer: Hierarchical vision transformer using shifted windows. ICCV.</w:t>
      </w:r>
    </w:p>
    <w:p w14:paraId="41C4EDA4" w14:textId="77777777" w:rsidR="007C6ECC" w:rsidRDefault="00000000">
      <w:pPr>
        <w:spacing w:after="100"/>
        <w:ind w:left="720" w:hanging="720"/>
      </w:pPr>
      <w:r>
        <w:rPr>
          <w:sz w:val="20"/>
        </w:rPr>
        <w:t>Lundberg, S. M., &amp; Lee, S. I. (2017). A unified approach to interpreting model predictions. NeurIPS.</w:t>
      </w:r>
    </w:p>
    <w:p w14:paraId="3ADD78C8" w14:textId="77777777" w:rsidR="007C6ECC" w:rsidRDefault="00000000">
      <w:pPr>
        <w:spacing w:after="100"/>
        <w:ind w:left="720" w:hanging="720"/>
      </w:pPr>
      <w:r>
        <w:rPr>
          <w:sz w:val="20"/>
        </w:rPr>
        <w:t>Mohanty, S. P., Hughes, D. P., &amp; Salathé, M. (2016). Using deep learning for image-based plant disease detection. Frontiers in Plant Science, 7, 1419.</w:t>
      </w:r>
    </w:p>
    <w:p w14:paraId="5D6F6014" w14:textId="77777777" w:rsidR="007C6ECC" w:rsidRDefault="00000000">
      <w:pPr>
        <w:spacing w:after="100"/>
        <w:ind w:left="720" w:hanging="720"/>
      </w:pPr>
      <w:r>
        <w:rPr>
          <w:sz w:val="20"/>
        </w:rPr>
        <w:t>Nandhini, S. R., et al. (2022). Identification of paddy leaf diseases using deep learning technique with XAI. Computers and Electronics in Agriculture, 200, 107229.</w:t>
      </w:r>
    </w:p>
    <w:p w14:paraId="14C5CDCA" w14:textId="77777777" w:rsidR="007C6ECC" w:rsidRDefault="00000000">
      <w:pPr>
        <w:spacing w:after="100"/>
        <w:ind w:left="720" w:hanging="720"/>
      </w:pPr>
      <w:r>
        <w:rPr>
          <w:sz w:val="20"/>
        </w:rPr>
        <w:t>Paymode, A. S., &amp; Malode, V. B. (2022). Transfer learning for multi-crop leaf disease image classification using VGG. Artificial Intelligence in Agriculture, 6, 23–33.</w:t>
      </w:r>
    </w:p>
    <w:p w14:paraId="03746ECA" w14:textId="77777777" w:rsidR="007C6ECC" w:rsidRDefault="00000000">
      <w:pPr>
        <w:spacing w:after="100"/>
        <w:ind w:left="720" w:hanging="720"/>
      </w:pPr>
      <w:r>
        <w:rPr>
          <w:sz w:val="20"/>
        </w:rPr>
        <w:t xml:space="preserve">Peng, Y., et al. (2021). A crop disease detection and recognition method based on deep learning for unmanned aerial </w:t>
      </w:r>
      <w:proofErr w:type="gramStart"/>
      <w:r>
        <w:rPr>
          <w:sz w:val="20"/>
        </w:rPr>
        <w:t>vehicle</w:t>
      </w:r>
      <w:proofErr w:type="gramEnd"/>
      <w:r>
        <w:rPr>
          <w:sz w:val="20"/>
        </w:rPr>
        <w:t>. IEICE Transactions on Information and Systems, E104-</w:t>
      </w:r>
      <w:proofErr w:type="gramStart"/>
      <w:r>
        <w:rPr>
          <w:sz w:val="20"/>
        </w:rPr>
        <w:t>D(</w:t>
      </w:r>
      <w:proofErr w:type="gramEnd"/>
      <w:r>
        <w:rPr>
          <w:sz w:val="20"/>
        </w:rPr>
        <w:t>8).</w:t>
      </w:r>
    </w:p>
    <w:p w14:paraId="24CAFBE6" w14:textId="77777777" w:rsidR="007C6ECC" w:rsidRDefault="00000000">
      <w:pPr>
        <w:spacing w:after="100"/>
        <w:ind w:left="720" w:hanging="720"/>
      </w:pPr>
      <w:r>
        <w:rPr>
          <w:sz w:val="20"/>
        </w:rPr>
        <w:lastRenderedPageBreak/>
        <w:t>Petsiuk, V., Das, A., &amp; Saenko, K. (2018). RISE: Randomized input sampling for explanation of black-box models. BMVC.</w:t>
      </w:r>
    </w:p>
    <w:p w14:paraId="1A2E6918" w14:textId="77777777" w:rsidR="007C6ECC" w:rsidRDefault="00000000">
      <w:pPr>
        <w:spacing w:after="100"/>
        <w:ind w:left="720" w:hanging="720"/>
      </w:pPr>
      <w:r>
        <w:rPr>
          <w:sz w:val="20"/>
        </w:rPr>
        <w:t>Picon, A., et al. (2019). Deep convolutional neural networks for mobile capture device-based crop disease classification in the wild. Computers and Electronics in Agriculture, 161, 280–290.</w:t>
      </w:r>
    </w:p>
    <w:p w14:paraId="01827C96" w14:textId="77777777" w:rsidR="007C6ECC" w:rsidRDefault="00000000">
      <w:pPr>
        <w:spacing w:after="100"/>
        <w:ind w:left="720" w:hanging="720"/>
      </w:pPr>
      <w:r>
        <w:rPr>
          <w:sz w:val="20"/>
        </w:rPr>
        <w:t>Redmon, J., Divvala, S., Girshick, R., &amp; Farhadi, A. (2016). You only look once: Unified, real-time object detection. CVPR.</w:t>
      </w:r>
    </w:p>
    <w:p w14:paraId="05F2492F" w14:textId="77777777" w:rsidR="007C6ECC" w:rsidRDefault="00000000">
      <w:pPr>
        <w:spacing w:after="100"/>
        <w:ind w:left="720" w:hanging="720"/>
      </w:pPr>
      <w:r>
        <w:rPr>
          <w:sz w:val="20"/>
        </w:rPr>
        <w:t>Ribeiro, M. T., Singh, S., &amp; Guestrin, C. (2016). 'Why should I trust you?': Explaining the predictions of any classifier. KDD.</w:t>
      </w:r>
    </w:p>
    <w:p w14:paraId="3AEE3684" w14:textId="77777777" w:rsidR="007C6ECC" w:rsidRDefault="00000000">
      <w:pPr>
        <w:spacing w:after="100"/>
        <w:ind w:left="720" w:hanging="720"/>
      </w:pPr>
      <w:r>
        <w:rPr>
          <w:sz w:val="20"/>
        </w:rPr>
        <w:t>Ronneberger, O., Fischer, P., &amp; Brox, T. (2015). U-Net: Convolutional networks for biomedical image segmentation. MICCAI.</w:t>
      </w:r>
    </w:p>
    <w:p w14:paraId="5FAE2BE4" w14:textId="77777777" w:rsidR="007C6ECC" w:rsidRDefault="00000000">
      <w:pPr>
        <w:spacing w:after="100"/>
        <w:ind w:left="720" w:hanging="720"/>
      </w:pPr>
      <w:r>
        <w:rPr>
          <w:sz w:val="20"/>
        </w:rPr>
        <w:t>Rudin, C. (2019). Stop explaining black box machine learning models for high stakes decisions and use interpretable models instead. Nature Machine Intelligence, 1, 206–215.</w:t>
      </w:r>
    </w:p>
    <w:p w14:paraId="37D6C4C9" w14:textId="77777777" w:rsidR="007C6ECC" w:rsidRPr="00D110D3" w:rsidRDefault="00000000">
      <w:pPr>
        <w:spacing w:after="100"/>
        <w:ind w:left="720" w:hanging="720"/>
        <w:rPr>
          <w:lang w:val="de-DE"/>
        </w:rPr>
      </w:pPr>
      <w:r>
        <w:rPr>
          <w:sz w:val="20"/>
        </w:rPr>
        <w:t xml:space="preserve">Saleem, M. H., et al. (2022). Plant disease detection and classification by deep learning. </w:t>
      </w:r>
      <w:r w:rsidRPr="00D110D3">
        <w:rPr>
          <w:sz w:val="20"/>
          <w:lang w:val="de-DE"/>
        </w:rPr>
        <w:t>Plants, 11(10), 1351.</w:t>
      </w:r>
    </w:p>
    <w:p w14:paraId="45482FA2" w14:textId="77777777" w:rsidR="007C6ECC" w:rsidRDefault="00000000">
      <w:pPr>
        <w:spacing w:after="100"/>
        <w:ind w:left="720" w:hanging="720"/>
      </w:pPr>
      <w:r w:rsidRPr="00D110D3">
        <w:rPr>
          <w:sz w:val="20"/>
          <w:lang w:val="de-DE"/>
        </w:rPr>
        <w:t xml:space="preserve">Samek, W., Montavon, G., Vedaldi, A., Hansen, L. K., &amp; Müller, K. R. (Eds.). </w:t>
      </w:r>
      <w:r>
        <w:rPr>
          <w:sz w:val="20"/>
        </w:rPr>
        <w:t xml:space="preserve">(2019). Explainable AI: Interpreting, </w:t>
      </w:r>
      <w:proofErr w:type="gramStart"/>
      <w:r>
        <w:rPr>
          <w:sz w:val="20"/>
        </w:rPr>
        <w:t>explaining</w:t>
      </w:r>
      <w:proofErr w:type="gramEnd"/>
      <w:r>
        <w:rPr>
          <w:sz w:val="20"/>
        </w:rPr>
        <w:t xml:space="preserve"> and visualizing deep learning. Springer.</w:t>
      </w:r>
    </w:p>
    <w:p w14:paraId="7D5820CE" w14:textId="77777777" w:rsidR="007C6ECC" w:rsidRDefault="00000000">
      <w:pPr>
        <w:spacing w:after="100"/>
        <w:ind w:left="720" w:hanging="720"/>
      </w:pPr>
      <w:r>
        <w:rPr>
          <w:sz w:val="20"/>
        </w:rPr>
        <w:t>Sandler, M., et al. (2018). MobileNetV2: Inverted residuals and linear bottlenecks. CVPR.</w:t>
      </w:r>
    </w:p>
    <w:p w14:paraId="38EF7F90" w14:textId="77777777" w:rsidR="007C6ECC" w:rsidRDefault="00000000">
      <w:pPr>
        <w:spacing w:after="100"/>
        <w:ind w:left="720" w:hanging="720"/>
      </w:pPr>
      <w:r>
        <w:rPr>
          <w:sz w:val="20"/>
        </w:rPr>
        <w:t>Selvaraju, R. R., et al. (2017). Grad-CAM: Visual explanations from deep networks via gradient-based localization. ICCV.</w:t>
      </w:r>
    </w:p>
    <w:p w14:paraId="56FD938C" w14:textId="77777777" w:rsidR="007C6ECC" w:rsidRDefault="00000000">
      <w:pPr>
        <w:spacing w:after="100"/>
        <w:ind w:left="720" w:hanging="720"/>
      </w:pPr>
      <w:r>
        <w:rPr>
          <w:sz w:val="20"/>
        </w:rPr>
        <w:t>Simonyan, K., &amp; Zisserman, A. (2014). Very deep convolutional networks for large-scale image recognition. ICLR 2015.</w:t>
      </w:r>
    </w:p>
    <w:p w14:paraId="591252B3" w14:textId="77777777" w:rsidR="007C6ECC" w:rsidRDefault="00000000">
      <w:pPr>
        <w:spacing w:after="100"/>
        <w:ind w:left="720" w:hanging="720"/>
      </w:pPr>
      <w:r>
        <w:rPr>
          <w:sz w:val="20"/>
        </w:rPr>
        <w:t>Simonyan, K., Vedaldi, A., &amp; Zisserman, A. (2014). Deep inside convolutional networks: Visualising image classification models and saliency maps. ICLR Workshop.</w:t>
      </w:r>
    </w:p>
    <w:p w14:paraId="2EFB8BFF" w14:textId="77777777" w:rsidR="007C6ECC" w:rsidRDefault="00000000">
      <w:pPr>
        <w:spacing w:after="100"/>
        <w:ind w:left="720" w:hanging="720"/>
      </w:pPr>
      <w:r>
        <w:rPr>
          <w:sz w:val="20"/>
        </w:rPr>
        <w:t>Stammer, W., et al. (2021). Right for better reasons: Training differentiable models by constraining their explanations. ICML.</w:t>
      </w:r>
    </w:p>
    <w:p w14:paraId="03368FDB" w14:textId="77777777" w:rsidR="007C6ECC" w:rsidRDefault="00000000">
      <w:pPr>
        <w:spacing w:after="100"/>
        <w:ind w:left="720" w:hanging="720"/>
      </w:pPr>
      <w:r>
        <w:rPr>
          <w:sz w:val="20"/>
        </w:rPr>
        <w:t>Sundararajan, M., Taly, A., &amp; Yan, Q. (2017). Axiomatic attribution for deep networks. ICML.</w:t>
      </w:r>
    </w:p>
    <w:p w14:paraId="5F396C58" w14:textId="77777777" w:rsidR="007C6ECC" w:rsidRDefault="00000000">
      <w:pPr>
        <w:spacing w:after="100"/>
        <w:ind w:left="720" w:hanging="720"/>
      </w:pPr>
      <w:r>
        <w:rPr>
          <w:sz w:val="20"/>
        </w:rPr>
        <w:t>Tan, M., &amp; Le, Q. V. (2019). EfficientNet: Rethinking model scaling for convolutional neural networks. ICML.</w:t>
      </w:r>
    </w:p>
    <w:p w14:paraId="38FE571F" w14:textId="77777777" w:rsidR="007C6ECC" w:rsidRPr="00D110D3" w:rsidRDefault="00000000">
      <w:pPr>
        <w:spacing w:after="100"/>
        <w:ind w:left="720" w:hanging="720"/>
        <w:rPr>
          <w:lang w:val="de-DE"/>
        </w:rPr>
      </w:pPr>
      <w:r>
        <w:rPr>
          <w:sz w:val="20"/>
        </w:rPr>
        <w:t xml:space="preserve">Vaswani, A., et al. (2017). Attention is all you need. </w:t>
      </w:r>
      <w:r w:rsidRPr="00D110D3">
        <w:rPr>
          <w:sz w:val="20"/>
          <w:lang w:val="de-DE"/>
        </w:rPr>
        <w:t>NeurIPS.</w:t>
      </w:r>
    </w:p>
    <w:p w14:paraId="10610101" w14:textId="77777777" w:rsidR="007C6ECC" w:rsidRDefault="00000000">
      <w:pPr>
        <w:spacing w:after="100"/>
        <w:ind w:left="720" w:hanging="720"/>
      </w:pPr>
      <w:r w:rsidRPr="00D110D3">
        <w:rPr>
          <w:sz w:val="20"/>
          <w:lang w:val="de-DE"/>
        </w:rPr>
        <w:t xml:space="preserve">Wang, C. Y., Bochkovskiy, A., &amp; Liao, H. Y. (2023). </w:t>
      </w:r>
      <w:r>
        <w:rPr>
          <w:sz w:val="20"/>
        </w:rPr>
        <w:t>YOLOv7: Trainable bag-of-freebies sets new state-of-the-art for real-time object detectors. CVPR.</w:t>
      </w:r>
    </w:p>
    <w:p w14:paraId="74703470" w14:textId="77777777" w:rsidR="007C6ECC" w:rsidRDefault="00000000">
      <w:pPr>
        <w:spacing w:after="100"/>
        <w:ind w:left="720" w:hanging="720"/>
      </w:pPr>
      <w:r>
        <w:rPr>
          <w:sz w:val="20"/>
        </w:rPr>
        <w:t>Wang, G., et al. (2025). Hierarchical management of hot pepper damping-off using SHAP-augmented deep learning. Computers and Electronics in Agriculture, 220, 109764.</w:t>
      </w:r>
    </w:p>
    <w:p w14:paraId="0F98ABEB" w14:textId="77777777" w:rsidR="007C6ECC" w:rsidRDefault="00000000">
      <w:pPr>
        <w:spacing w:after="100"/>
        <w:ind w:left="720" w:hanging="720"/>
      </w:pPr>
      <w:r>
        <w:rPr>
          <w:sz w:val="20"/>
        </w:rPr>
        <w:t>Wang, H., et al. (2020). Score-CAM: Score-weighted visual explanations for convolutional neural networks. CVPR Workshops.</w:t>
      </w:r>
    </w:p>
    <w:p w14:paraId="6F081A54" w14:textId="77777777" w:rsidR="007C6ECC" w:rsidRDefault="00000000">
      <w:pPr>
        <w:spacing w:after="100"/>
        <w:ind w:left="720" w:hanging="720"/>
      </w:pPr>
      <w:r>
        <w:rPr>
          <w:sz w:val="20"/>
        </w:rPr>
        <w:t>Zeiler, M. D., &amp; Fergus, R. (2014). Visualizing and understanding convolutional networks. ECCV.</w:t>
      </w:r>
    </w:p>
    <w:p w14:paraId="24E6FF0E" w14:textId="77777777" w:rsidR="007C6ECC" w:rsidRDefault="00000000">
      <w:pPr>
        <w:spacing w:after="100"/>
        <w:ind w:left="720" w:hanging="720"/>
      </w:pPr>
      <w:r>
        <w:rPr>
          <w:sz w:val="20"/>
        </w:rPr>
        <w:t>Zhang, R., et al. (2022). ViT-based explainability for agricultural plant disease detection with Grad-CAM visualization. Computers and Electronics in Agriculture, 203, 107501.</w:t>
      </w:r>
    </w:p>
    <w:p w14:paraId="4CD37D59" w14:textId="77777777" w:rsidR="007C6ECC" w:rsidRDefault="00000000">
      <w:pPr>
        <w:spacing w:after="100"/>
        <w:ind w:left="720" w:hanging="720"/>
      </w:pPr>
      <w:r>
        <w:rPr>
          <w:sz w:val="20"/>
        </w:rPr>
        <w:t>Zhang, X., et al. (2025). Oat disease severity identification using explainable deep learning and Grad-CAM correlation analysis. Expert Systems with Applications, 244, 122981.</w:t>
      </w:r>
    </w:p>
    <w:p w14:paraId="687CA130" w14:textId="77777777" w:rsidR="007C6ECC" w:rsidRDefault="00000000">
      <w:pPr>
        <w:spacing w:after="100"/>
        <w:ind w:left="720" w:hanging="720"/>
        <w:rPr>
          <w:sz w:val="20"/>
        </w:rPr>
      </w:pPr>
      <w:r>
        <w:rPr>
          <w:sz w:val="20"/>
        </w:rPr>
        <w:t>Zhou, B., et al. (2016). Learning deep features for discriminative localization. CVPR.</w:t>
      </w:r>
    </w:p>
    <w:p w14:paraId="497C093B" w14:textId="77777777" w:rsidR="003877AC" w:rsidRDefault="003877AC">
      <w:pPr>
        <w:spacing w:after="100"/>
        <w:ind w:left="720" w:hanging="720"/>
        <w:rPr>
          <w:sz w:val="20"/>
        </w:rPr>
      </w:pPr>
    </w:p>
    <w:p w14:paraId="27E49A7B" w14:textId="77777777" w:rsidR="003877AC" w:rsidRDefault="003877AC">
      <w:pPr>
        <w:spacing w:after="100"/>
        <w:ind w:left="720" w:hanging="720"/>
        <w:rPr>
          <w:sz w:val="20"/>
        </w:rPr>
      </w:pPr>
    </w:p>
    <w:p w14:paraId="1599D82B" w14:textId="409520A3" w:rsidR="003877AC" w:rsidRDefault="003877AC">
      <w:pPr>
        <w:spacing w:after="100"/>
        <w:ind w:left="720" w:hanging="720"/>
      </w:pPr>
      <w:r w:rsidRPr="003877AC">
        <w:t>Leilani H. Gilpin, David Bau, Ben Z. Yuan, Ayesha Bajwa, Michael Specter, and Lalana Kagal</w:t>
      </w:r>
      <w:proofErr w:type="gramStart"/>
      <w:r w:rsidRPr="003877AC">
        <w:t xml:space="preserve">.  </w:t>
      </w:r>
      <w:proofErr w:type="gramEnd"/>
      <w:r w:rsidRPr="003877AC">
        <w:t>Explaining explanations: An overview of interpretability of machine learning. In 2018 IEEE  5th International Conference on Data Science and Advanced Analytics (DSAA), pages 80–89</w:t>
      </w:r>
      <w:proofErr w:type="gramStart"/>
      <w:r w:rsidRPr="003877AC">
        <w:t xml:space="preserve">.  </w:t>
      </w:r>
      <w:proofErr w:type="gramEnd"/>
      <w:r w:rsidRPr="003877AC">
        <w:t>IEEE, 2018.</w:t>
      </w:r>
    </w:p>
    <w:sectPr w:rsidR="003877A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158072">
    <w:abstractNumId w:val="8"/>
  </w:num>
  <w:num w:numId="2" w16cid:durableId="2002808829">
    <w:abstractNumId w:val="6"/>
  </w:num>
  <w:num w:numId="3" w16cid:durableId="495461495">
    <w:abstractNumId w:val="5"/>
  </w:num>
  <w:num w:numId="4" w16cid:durableId="1131945420">
    <w:abstractNumId w:val="4"/>
  </w:num>
  <w:num w:numId="5" w16cid:durableId="1297367601">
    <w:abstractNumId w:val="7"/>
  </w:num>
  <w:num w:numId="6" w16cid:durableId="387537219">
    <w:abstractNumId w:val="3"/>
  </w:num>
  <w:num w:numId="7" w16cid:durableId="1234240974">
    <w:abstractNumId w:val="2"/>
  </w:num>
  <w:num w:numId="8" w16cid:durableId="396901334">
    <w:abstractNumId w:val="1"/>
  </w:num>
  <w:num w:numId="9" w16cid:durableId="1240405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7AC"/>
    <w:rsid w:val="007C6ECC"/>
    <w:rsid w:val="00AA1D8D"/>
    <w:rsid w:val="00B47730"/>
    <w:rsid w:val="00B85DDE"/>
    <w:rsid w:val="00C527CB"/>
    <w:rsid w:val="00CB0664"/>
    <w:rsid w:val="00D110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8141A"/>
  <w14:defaultImageDpi w14:val="300"/>
  <w15:docId w15:val="{DAFCDD1C-850F-4AF8-A0CA-F00B79C79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12822</Words>
  <Characters>84628</Characters>
  <Application>Microsoft Office Word</Application>
  <DocSecurity>0</DocSecurity>
  <Lines>1538</Lines>
  <Paragraphs>466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Kamalesh kanna S</cp:lastModifiedBy>
  <cp:revision>3</cp:revision>
  <dcterms:created xsi:type="dcterms:W3CDTF">2013-12-23T23:15:00Z</dcterms:created>
  <dcterms:modified xsi:type="dcterms:W3CDTF">2026-05-03T07:28:00Z</dcterms:modified>
  <cp:category/>
</cp:coreProperties>
</file>