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AAEE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1 — Introduction</w:t>
      </w:r>
    </w:p>
    <w:p w14:paraId="47B941F4" w14:textId="77777777" w:rsidR="00A2430E" w:rsidRPr="00A2430E" w:rsidRDefault="00A2430E" w:rsidP="00A2430E">
      <w:r w:rsidRPr="00A2430E">
        <w:t>“Bonjour à tous,</w:t>
      </w:r>
      <w:r w:rsidRPr="00A2430E">
        <w:br/>
        <w:t xml:space="preserve">Aujourd’hui je vais vous présenter le projet d’automatisation de la chaîne de traitement des données chez </w:t>
      </w:r>
      <w:proofErr w:type="spellStart"/>
      <w:r w:rsidRPr="00A2430E">
        <w:t>BottleNeck</w:t>
      </w:r>
      <w:proofErr w:type="spellEnd"/>
      <w:r w:rsidRPr="00A2430E">
        <w:t>.</w:t>
      </w:r>
      <w:r w:rsidRPr="00A2430E">
        <w:br/>
        <w:t>L’objectif principal est de transformer un processus manuel en un pipeline automatisé, fiable et exploitable par les équipes métiers.”</w:t>
      </w:r>
    </w:p>
    <w:p w14:paraId="29241126" w14:textId="77777777" w:rsidR="00A2430E" w:rsidRPr="00A2430E" w:rsidRDefault="00A2430E" w:rsidP="00A2430E">
      <w:r w:rsidRPr="00A2430E">
        <w:pict w14:anchorId="07D8F3A5">
          <v:rect id="_x0000_i1109" style="width:0;height:1.5pt" o:hralign="center" o:hrstd="t" o:hr="t" fillcolor="#a0a0a0" stroked="f"/>
        </w:pict>
      </w:r>
    </w:p>
    <w:p w14:paraId="67B29AAC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2 — Contexte</w:t>
      </w:r>
    </w:p>
    <w:p w14:paraId="49E49758" w14:textId="77777777" w:rsidR="00A2430E" w:rsidRPr="00A2430E" w:rsidRDefault="00A2430E" w:rsidP="00A2430E">
      <w:r w:rsidRPr="00A2430E">
        <w:t>“L’entreprise dispose de données provenant de deux systèmes : un ERP pour les produits et un CMS pour les ventes en ligne.</w:t>
      </w:r>
      <w:r w:rsidRPr="00A2430E">
        <w:br/>
        <w:t>Les équipes métiers ont besoin de suivre le chiffre d’affaires par produit, le chiffre d’affaires global, ainsi que d’identifier les vins premium.”</w:t>
      </w:r>
    </w:p>
    <w:p w14:paraId="618EE328" w14:textId="77777777" w:rsidR="00A2430E" w:rsidRPr="00A2430E" w:rsidRDefault="00A2430E" w:rsidP="00A2430E">
      <w:r w:rsidRPr="00A2430E">
        <w:pict w14:anchorId="2907AAAE">
          <v:rect id="_x0000_i1110" style="width:0;height:1.5pt" o:hralign="center" o:hrstd="t" o:hr="t" fillcolor="#a0a0a0" stroked="f"/>
        </w:pict>
      </w:r>
    </w:p>
    <w:p w14:paraId="41AD6DB7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3 — Objectifs</w:t>
      </w:r>
    </w:p>
    <w:p w14:paraId="3556ECCF" w14:textId="77777777" w:rsidR="00A2430E" w:rsidRPr="00A2430E" w:rsidRDefault="00A2430E" w:rsidP="00A2430E">
      <w:r w:rsidRPr="00A2430E">
        <w:t>“Les objectifs du projet étaient d’automatiser les traitements, de fiabiliser les données grâce à des tests, de générer des fichiers exploitables, et enfin de planifier une exécution automatique mensuelle.”</w:t>
      </w:r>
    </w:p>
    <w:p w14:paraId="62C7872E" w14:textId="77777777" w:rsidR="00A2430E" w:rsidRPr="00A2430E" w:rsidRDefault="00A2430E" w:rsidP="00A2430E">
      <w:r w:rsidRPr="00A2430E">
        <w:pict w14:anchorId="262B8F5B">
          <v:rect id="_x0000_i1111" style="width:0;height:1.5pt" o:hralign="center" o:hrstd="t" o:hr="t" fillcolor="#a0a0a0" stroked="f"/>
        </w:pict>
      </w:r>
    </w:p>
    <w:p w14:paraId="1B99E294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4 — Architecture</w:t>
      </w:r>
    </w:p>
    <w:p w14:paraId="79960CB2" w14:textId="77777777" w:rsidR="00A2430E" w:rsidRPr="00A2430E" w:rsidRDefault="00A2430E" w:rsidP="00A2430E">
      <w:r w:rsidRPr="00A2430E">
        <w:t>“La solution repose sur une chaîne de traitement structurée : ingestion des données, nettoyage, jointure, calculs, puis extraction.</w:t>
      </w:r>
      <w:r w:rsidRPr="00A2430E">
        <w:br/>
        <w:t>Chaque étape est suivie d’un test pour garantir la qualité des données.”</w:t>
      </w:r>
    </w:p>
    <w:p w14:paraId="0C720D11" w14:textId="77777777" w:rsidR="00A2430E" w:rsidRPr="00A2430E" w:rsidRDefault="00A2430E" w:rsidP="00A2430E">
      <w:r w:rsidRPr="00A2430E">
        <w:pict w14:anchorId="70276E19">
          <v:rect id="_x0000_i1112" style="width:0;height:1.5pt" o:hralign="center" o:hrstd="t" o:hr="t" fillcolor="#a0a0a0" stroked="f"/>
        </w:pict>
      </w:r>
    </w:p>
    <w:p w14:paraId="0E6BF728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5 — Workflow Kestra</w:t>
      </w:r>
    </w:p>
    <w:p w14:paraId="5EF572ED" w14:textId="77777777" w:rsidR="00A2430E" w:rsidRPr="00A2430E" w:rsidRDefault="00A2430E" w:rsidP="00A2430E">
      <w:r w:rsidRPr="00A2430E">
        <w:t>“Nous avons utilisé Kestra comme outil d’orchestration.</w:t>
      </w:r>
      <w:r w:rsidRPr="00A2430E">
        <w:br/>
        <w:t>Il permet de gérer l’enchaînement des tâches, avec des exécutions séquentielles et parallèles.</w:t>
      </w:r>
      <w:r w:rsidRPr="00A2430E">
        <w:br/>
        <w:t>Les traitements sont exécutés dans des conteneurs Docker pour garantir leur stabilité.”</w:t>
      </w:r>
    </w:p>
    <w:p w14:paraId="0946CD2F" w14:textId="77777777" w:rsidR="00A2430E" w:rsidRPr="00A2430E" w:rsidRDefault="00A2430E" w:rsidP="00A2430E">
      <w:r w:rsidRPr="00A2430E">
        <w:pict w14:anchorId="33B79F55">
          <v:rect id="_x0000_i1113" style="width:0;height:1.5pt" o:hralign="center" o:hrstd="t" o:hr="t" fillcolor="#a0a0a0" stroked="f"/>
        </w:pict>
      </w:r>
    </w:p>
    <w:p w14:paraId="7C3A4ACE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6 — Pipeline</w:t>
      </w:r>
    </w:p>
    <w:p w14:paraId="6354ACA8" w14:textId="77777777" w:rsidR="00A2430E" w:rsidRPr="00A2430E" w:rsidRDefault="00A2430E" w:rsidP="00A2430E">
      <w:r w:rsidRPr="00A2430E">
        <w:t>“Le pipeline suit plusieurs étapes :</w:t>
      </w:r>
      <w:r w:rsidRPr="00A2430E">
        <w:br/>
        <w:t>on commence par importer les données, puis on les nettoie, on les fusionne, on effectue les calculs, et enfin on segmente les vins.”</w:t>
      </w:r>
    </w:p>
    <w:p w14:paraId="4270918E" w14:textId="77777777" w:rsidR="00A2430E" w:rsidRPr="00A2430E" w:rsidRDefault="00A2430E" w:rsidP="00A2430E">
      <w:r w:rsidRPr="00A2430E">
        <w:pict w14:anchorId="2668493C">
          <v:rect id="_x0000_i1114" style="width:0;height:1.5pt" o:hralign="center" o:hrstd="t" o:hr="t" fillcolor="#a0a0a0" stroked="f"/>
        </w:pict>
      </w:r>
    </w:p>
    <w:p w14:paraId="738CDD55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7 — Chiffre d’affaires</w:t>
      </w:r>
    </w:p>
    <w:p w14:paraId="7E140388" w14:textId="77777777" w:rsidR="00A2430E" w:rsidRPr="00A2430E" w:rsidRDefault="00A2430E" w:rsidP="00A2430E">
      <w:r w:rsidRPr="00A2430E">
        <w:t>“Le chiffre d’affaires est calculé simplement en multipliant le prix par la quantité.</w:t>
      </w:r>
      <w:r w:rsidRPr="00A2430E">
        <w:br/>
        <w:t>Ensuite, on agrège les données pour obtenir une vision globale.”</w:t>
      </w:r>
    </w:p>
    <w:p w14:paraId="60D869C5" w14:textId="77777777" w:rsidR="00A2430E" w:rsidRPr="00A2430E" w:rsidRDefault="00A2430E" w:rsidP="00A2430E">
      <w:r w:rsidRPr="00A2430E">
        <w:lastRenderedPageBreak/>
        <w:pict w14:anchorId="09CE55F9">
          <v:rect id="_x0000_i1115" style="width:0;height:1.5pt" o:hralign="center" o:hrstd="t" o:hr="t" fillcolor="#a0a0a0" stroked="f"/>
        </w:pict>
      </w:r>
    </w:p>
    <w:p w14:paraId="695EA406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8 — Vins premium</w:t>
      </w:r>
    </w:p>
    <w:p w14:paraId="6EC764E0" w14:textId="77777777" w:rsidR="00A2430E" w:rsidRPr="00A2430E" w:rsidRDefault="00A2430E" w:rsidP="00A2430E">
      <w:r w:rsidRPr="00A2430E">
        <w:t>“Pour identifier les vins premium, nous utilisons le Z-score.</w:t>
      </w:r>
      <w:r w:rsidRPr="00A2430E">
        <w:br/>
        <w:t>Un vin est considéré comme premium si son score est supérieur à 2, ce qui signifie qu’il est significativement plus cher que la moyenne.”</w:t>
      </w:r>
    </w:p>
    <w:p w14:paraId="7275D863" w14:textId="77777777" w:rsidR="00A2430E" w:rsidRPr="00A2430E" w:rsidRDefault="00A2430E" w:rsidP="00A2430E">
      <w:r w:rsidRPr="00A2430E">
        <w:pict w14:anchorId="4BC4D665">
          <v:rect id="_x0000_i1116" style="width:0;height:1.5pt" o:hralign="center" o:hrstd="t" o:hr="t" fillcolor="#a0a0a0" stroked="f"/>
        </w:pict>
      </w:r>
    </w:p>
    <w:p w14:paraId="2DFB4746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9 — Tests</w:t>
      </w:r>
    </w:p>
    <w:p w14:paraId="1BEA2545" w14:textId="77777777" w:rsidR="00A2430E" w:rsidRPr="00A2430E" w:rsidRDefault="00A2430E" w:rsidP="00A2430E">
      <w:r w:rsidRPr="00A2430E">
        <w:t>“Plusieurs tests sont intégrés :</w:t>
      </w:r>
      <w:r w:rsidRPr="00A2430E">
        <w:br/>
        <w:t>absence de doublons, absence de valeurs manquantes, cohérence des jointures, cohérence du chiffre d’affaires, et validation du Z-score.</w:t>
      </w:r>
      <w:r w:rsidRPr="00A2430E">
        <w:br/>
        <w:t>Cela garantit la fiabilité des résultats.”</w:t>
      </w:r>
    </w:p>
    <w:p w14:paraId="00A47D92" w14:textId="77777777" w:rsidR="00A2430E" w:rsidRPr="00A2430E" w:rsidRDefault="00A2430E" w:rsidP="00A2430E">
      <w:r w:rsidRPr="00A2430E">
        <w:pict w14:anchorId="5961CF96">
          <v:rect id="_x0000_i1117" style="width:0;height:1.5pt" o:hralign="center" o:hrstd="t" o:hr="t" fillcolor="#a0a0a0" stroked="f"/>
        </w:pict>
      </w:r>
    </w:p>
    <w:p w14:paraId="4171F1AD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10 — Workflow réel</w:t>
      </w:r>
    </w:p>
    <w:p w14:paraId="4B51570F" w14:textId="77777777" w:rsidR="00A2430E" w:rsidRPr="00A2430E" w:rsidRDefault="00A2430E" w:rsidP="00A2430E">
      <w:r w:rsidRPr="00A2430E">
        <w:t>“Concrètement, les scripts Python sont exécutés via Docker et orchestrés par Kestra.</w:t>
      </w:r>
      <w:r w:rsidRPr="00A2430E">
        <w:br/>
        <w:t>Certaines tâches sont parallélisées, notamment l’extraction des vins premium et standards.”</w:t>
      </w:r>
    </w:p>
    <w:p w14:paraId="0A85BE42" w14:textId="77777777" w:rsidR="00A2430E" w:rsidRPr="00A2430E" w:rsidRDefault="00A2430E" w:rsidP="00A2430E">
      <w:r w:rsidRPr="00A2430E">
        <w:pict w14:anchorId="186580BE">
          <v:rect id="_x0000_i1118" style="width:0;height:1.5pt" o:hralign="center" o:hrstd="t" o:hr="t" fillcolor="#a0a0a0" stroked="f"/>
        </w:pict>
      </w:r>
    </w:p>
    <w:p w14:paraId="47E09B5B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11 — Outputs</w:t>
      </w:r>
    </w:p>
    <w:p w14:paraId="0EB4C070" w14:textId="77777777" w:rsidR="00A2430E" w:rsidRPr="00A2430E" w:rsidRDefault="00A2430E" w:rsidP="00A2430E">
      <w:r w:rsidRPr="00A2430E">
        <w:t>“En sortie, nous générons un fichier Excel avec les chiffres d’affaires, ainsi que deux fichiers CSV contenant les vins premium et les vins standards.”</w:t>
      </w:r>
    </w:p>
    <w:p w14:paraId="47473C03" w14:textId="77777777" w:rsidR="00A2430E" w:rsidRPr="00A2430E" w:rsidRDefault="00A2430E" w:rsidP="00A2430E">
      <w:r w:rsidRPr="00A2430E">
        <w:pict w14:anchorId="0908A4EF">
          <v:rect id="_x0000_i1119" style="width:0;height:1.5pt" o:hralign="center" o:hrstd="t" o:hr="t" fillcolor="#a0a0a0" stroked="f"/>
        </w:pict>
      </w:r>
    </w:p>
    <w:p w14:paraId="12D62931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12 — Planification</w:t>
      </w:r>
    </w:p>
    <w:p w14:paraId="3CF6F812" w14:textId="77777777" w:rsidR="00A2430E" w:rsidRPr="00A2430E" w:rsidRDefault="00A2430E" w:rsidP="00A2430E">
      <w:r w:rsidRPr="00A2430E">
        <w:t>“Le workflow est planifié pour s’exécuter automatiquement tous les 15 du mois à 9h grâce à une expression CRON.”</w:t>
      </w:r>
    </w:p>
    <w:p w14:paraId="69979803" w14:textId="77777777" w:rsidR="00A2430E" w:rsidRPr="00A2430E" w:rsidRDefault="00A2430E" w:rsidP="00A2430E">
      <w:r w:rsidRPr="00A2430E">
        <w:pict w14:anchorId="2BAC293C">
          <v:rect id="_x0000_i1120" style="width:0;height:1.5pt" o:hralign="center" o:hrstd="t" o:hr="t" fillcolor="#a0a0a0" stroked="f"/>
        </w:pict>
      </w:r>
    </w:p>
    <w:p w14:paraId="77AFA43F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13 — Gestion des erreurs</w:t>
      </w:r>
    </w:p>
    <w:p w14:paraId="283CFA14" w14:textId="77777777" w:rsidR="00A2430E" w:rsidRPr="00A2430E" w:rsidRDefault="00A2430E" w:rsidP="00A2430E">
      <w:r w:rsidRPr="00A2430E">
        <w:t>“En cas de problème, les tests permettent de détecter rapidement les anomalies.</w:t>
      </w:r>
      <w:r w:rsidRPr="00A2430E">
        <w:br/>
        <w:t>Les logs Kestra facilitent le diagnostic, et les tâches peuvent être relancées individuellement.”</w:t>
      </w:r>
    </w:p>
    <w:p w14:paraId="4652880A" w14:textId="77777777" w:rsidR="00A2430E" w:rsidRPr="00A2430E" w:rsidRDefault="00A2430E" w:rsidP="00A2430E">
      <w:r w:rsidRPr="00A2430E">
        <w:pict w14:anchorId="06B6B66C">
          <v:rect id="_x0000_i1121" style="width:0;height:1.5pt" o:hralign="center" o:hrstd="t" o:hr="t" fillcolor="#a0a0a0" stroked="f"/>
        </w:pict>
      </w:r>
    </w:p>
    <w:p w14:paraId="6739B901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14 — Améliorations</w:t>
      </w:r>
    </w:p>
    <w:p w14:paraId="2C7B3F3F" w14:textId="77777777" w:rsidR="00A2430E" w:rsidRPr="00A2430E" w:rsidRDefault="00A2430E" w:rsidP="00A2430E">
      <w:r w:rsidRPr="00A2430E">
        <w:t xml:space="preserve">“Plusieurs améliorations sont possibles, comme la mise en place d’alertes, la création de </w:t>
      </w:r>
      <w:proofErr w:type="spellStart"/>
      <w:r w:rsidRPr="00A2430E">
        <w:t>dashboards</w:t>
      </w:r>
      <w:proofErr w:type="spellEnd"/>
      <w:r w:rsidRPr="00A2430E">
        <w:t xml:space="preserve">, ou encore l’intégration dans un data </w:t>
      </w:r>
      <w:proofErr w:type="spellStart"/>
      <w:r w:rsidRPr="00A2430E">
        <w:t>warehouse</w:t>
      </w:r>
      <w:proofErr w:type="spellEnd"/>
      <w:r w:rsidRPr="00A2430E">
        <w:t>.”</w:t>
      </w:r>
    </w:p>
    <w:p w14:paraId="0F360C3C" w14:textId="77777777" w:rsidR="00A2430E" w:rsidRPr="00A2430E" w:rsidRDefault="00A2430E" w:rsidP="00A2430E">
      <w:r w:rsidRPr="00A2430E">
        <w:pict w14:anchorId="2A80F59F">
          <v:rect id="_x0000_i1122" style="width:0;height:1.5pt" o:hralign="center" o:hrstd="t" o:hr="t" fillcolor="#a0a0a0" stroked="f"/>
        </w:pict>
      </w:r>
    </w:p>
    <w:p w14:paraId="2780240D" w14:textId="77777777" w:rsidR="00A2430E" w:rsidRPr="00A2430E" w:rsidRDefault="00A2430E" w:rsidP="00A2430E">
      <w:pPr>
        <w:rPr>
          <w:b/>
          <w:bCs/>
        </w:rPr>
      </w:pPr>
      <w:r w:rsidRPr="00A2430E">
        <w:rPr>
          <w:rFonts w:ascii="Segoe UI Emoji" w:hAnsi="Segoe UI Emoji" w:cs="Segoe UI Emoji"/>
          <w:b/>
          <w:bCs/>
        </w:rPr>
        <w:t>🟣</w:t>
      </w:r>
      <w:r w:rsidRPr="00A2430E">
        <w:rPr>
          <w:b/>
          <w:bCs/>
        </w:rPr>
        <w:t xml:space="preserve"> Slide 15 — Conclusion</w:t>
      </w:r>
    </w:p>
    <w:p w14:paraId="79F3E0C9" w14:textId="77777777" w:rsidR="00A2430E" w:rsidRPr="00A2430E" w:rsidRDefault="00A2430E" w:rsidP="00A2430E">
      <w:r w:rsidRPr="00A2430E">
        <w:lastRenderedPageBreak/>
        <w:t>“En conclusion, ce projet permet d’automatiser entièrement le traitement des données, d’améliorer leur fiabilité, et de faire gagner du temps aux équipes métiers.”</w:t>
      </w:r>
    </w:p>
    <w:p w14:paraId="2DDDA6C1" w14:textId="77777777" w:rsidR="00392E40" w:rsidRDefault="00392E40"/>
    <w:sectPr w:rsidR="00392E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0E"/>
    <w:rsid w:val="001F56EE"/>
    <w:rsid w:val="00374DD9"/>
    <w:rsid w:val="00392E40"/>
    <w:rsid w:val="00A2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66B0E"/>
  <w15:chartTrackingRefBased/>
  <w15:docId w15:val="{A39940D5-5178-43AF-A4BE-BFC333DB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2751</Characters>
  <Application>Microsoft Office Word</Application>
  <DocSecurity>0</DocSecurity>
  <Lines>131</Lines>
  <Paragraphs>117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ardit karaboja</dc:creator>
  <cp:keywords/>
  <dc:description/>
  <cp:lastModifiedBy>ardit karaboja</cp:lastModifiedBy>
  <cp:revision>1</cp:revision>
  <dcterms:created xsi:type="dcterms:W3CDTF">2026-03-23T14:47:00Z</dcterms:created>
  <dcterms:modified xsi:type="dcterms:W3CDTF">2026-03-23T14:48:00Z</dcterms:modified>
</cp:coreProperties>
</file>