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Mindex</w:t>
      </w:r>
      <w:r>
        <w:t xml:space="preserve"> </w:t>
      </w:r>
      <w:r>
        <w:t xml:space="preserve">Data</w:t>
      </w:r>
      <w:r>
        <w:t xml:space="preserve"> </w:t>
      </w:r>
      <w:r>
        <w:t xml:space="preserve">Engineering</w:t>
      </w:r>
      <w:r>
        <w:t xml:space="preserve"> </w:t>
      </w:r>
      <w:r>
        <w:t xml:space="preserve">Challenge</w:t>
      </w:r>
    </w:p>
    <w:p>
      <w:pPr>
        <w:pStyle w:val="Subtitle"/>
      </w:pPr>
      <w:r>
        <w:t xml:space="preserve">Executive</w:t>
      </w:r>
      <w:r>
        <w:t xml:space="preserve"> </w:t>
      </w:r>
      <w:r>
        <w:t xml:space="preserve">Summary</w:t>
      </w:r>
    </w:p>
    <w:p>
      <w:pPr>
        <w:pStyle w:val="Author"/>
      </w:pPr>
      <w:r>
        <w:t xml:space="preserve">Karl</w:t>
      </w:r>
      <w:r>
        <w:t xml:space="preserve"> </w:t>
      </w:r>
      <w:r>
        <w:t xml:space="preserve">David</w:t>
      </w:r>
    </w:p>
    <w:p>
      <w:pPr>
        <w:pStyle w:val="Date"/>
      </w:pPr>
      <w:r>
        <w:t xml:space="preserve">Regenerated</w:t>
      </w:r>
      <w:r>
        <w:t xml:space="preserve"> </w:t>
      </w:r>
      <w:r>
        <w:t xml:space="preserve">4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pipeline</w:t>
      </w:r>
      <w:r>
        <w:t xml:space="preserve"> </w:t>
      </w:r>
      <w:r>
        <w:t xml:space="preserve">run</w:t>
      </w:r>
    </w:p>
    <w:p>
      <w:pPr>
        <w:pStyle w:val="Heading2"/>
      </w:pPr>
      <w:bookmarkStart w:id="20" w:name="outcome"/>
      <w:r>
        <w:t xml:space="preserve">Outcome</w:t>
      </w:r>
      <w:bookmarkEnd w:id="20"/>
    </w:p>
    <w:p>
      <w:pPr>
        <w:pStyle w:val="FirstParagraph"/>
      </w:pPr>
      <w:r>
        <w:t xml:space="preserve">Three deliberately dirty CSVs go in. A SQLite star schema, six SQL metrics and a complete audit</w:t>
      </w:r>
      <w:r>
        <w:t xml:space="preserve"> </w:t>
      </w:r>
      <w:r>
        <w:t xml:space="preserve">ledger come out — with a runtime proof that all 17 seeded defect classes were found, and a row</w:t>
      </w:r>
      <w:r>
        <w:t xml:space="preserve"> </w:t>
      </w:r>
      <w:r>
        <w:t xml:space="preserve">budget in which every one of the 505 source transactions is accounted for by name.</w:t>
      </w:r>
    </w:p>
    <w:tbl>
      <w:tblPr>
        <w:tblStyle w:val="Table"/>
        <w:tblLook w:firstRow="1"/>
        <w:tblW w:type="dxa" w:w="10080"/>
        <w:tblLayout w:type="fixed"/>
      </w:tblPr>
      <w:tblGrid>
        <w:gridCol w:w="5048"/>
        <w:gridCol w:w="5032"/>
      </w:tblGrid>
      <w:tr>
        <w:trPr>
          <w:cnfStyle w:firstRow="1"/>
        </w:trPr>
        <w:tc>
          <w:tcPr>
            <w:tcW w:type="dxa" w:w="504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503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Raw records profiled before any transformation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553 (505 transactions + 32 products + 16 stores)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Seeded defect classes detected / expected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17 / 17, zero count mismatches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Warehouse load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15 stores, 30 products, 229 customers (incl. </w:t>
            </w:r>
            <w:r>
              <w:rPr>
                <w:rStyle w:val="VerbatimChar"/>
              </w:rPr>
              <w:t xml:space="preserve">GUEST</w:t>
            </w:r>
            <w:r>
              <w:t xml:space="preserve">), 90 calendar days, 474 fact rows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Net revenue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$158,044.29, tying to the source total with a $0.00 delta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Foreign-key violations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Quarantine and evidence records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38, each with a reason code and a disposition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Row budget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474 kept + 16 quarantined + 15 dropped = 505</w:t>
            </w:r>
          </w:p>
        </w:tc>
      </w:tr>
      <w:tr>
        <w:tc>
          <w:tcPr>
            <w:tcW w:type="dxa" w:w="5048"/>
          </w:tcPr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tcPr>
            <w:tcW w:type="dxa" w:w="5032"/>
          </w:tcPr>
          <w:p>
            <w:pPr>
              <w:pStyle w:val="Compact"/>
              <w:jc w:val="left"/>
            </w:pPr>
            <w:r>
              <w:t xml:space="preserve">87, all passing</w:t>
            </w:r>
          </w:p>
        </w:tc>
      </w:tr>
    </w:tbl>
    <w:p>
      <w:pPr>
        <w:pStyle w:val="BodyText"/>
      </w:pPr>
      <w:r>
        <w:t xml:space="preserve">The pipeline exits non-zero if the defects it detects do not match the catalog of what is provably</w:t>
      </w:r>
      <w:r>
        <w:t xml:space="preserve"> </w:t>
      </w:r>
      <w:r>
        <w:t xml:space="preserve">in the data. The coverage gate is not advisory: a regression that stops detecting a defect class</w:t>
      </w:r>
      <w:r>
        <w:t xml:space="preserve"> </w:t>
      </w:r>
      <w:r>
        <w:t xml:space="preserve">fails the build rather than quietly shipping a smaller fact table.</w:t>
      </w:r>
    </w:p>
    <w:p>
      <w:pPr>
        <w:pStyle w:val="Heading2"/>
      </w:pPr>
      <w:bookmarkStart w:id="21" w:name="what-the-challenge-asked"/>
      <w:r>
        <w:t xml:space="preserve">What the challenge asked</w:t>
      </w:r>
      <w:bookmarkEnd w:id="21"/>
    </w:p>
    <w:p>
      <w:pPr>
        <w:pStyle w:val="FirstParagraph"/>
      </w:pPr>
      <w:r>
        <w:t xml:space="preserve">Clean three dirty extracts, load a dimensional model, and answer six business questions. The</w:t>
      </w:r>
      <w:r>
        <w:t xml:space="preserve"> </w:t>
      </w:r>
      <w:r>
        <w:t xml:space="preserve">interesting part is not the ETL. Several of the defects are traps, where the obvious one-line fix</w:t>
      </w:r>
      <w:r>
        <w:t xml:space="preserve"> </w:t>
      </w:r>
      <w:r>
        <w:t xml:space="preserve">produces a clean-looking answer that is wrong — and produces it silently, with no error, no null,</w:t>
      </w:r>
      <w:r>
        <w:t xml:space="preserve"> </w:t>
      </w:r>
      <w:r>
        <w:t xml:space="preserve">and no row-count change to give it away.</w:t>
      </w:r>
    </w:p>
    <w:p>
      <w:pPr>
        <w:pStyle w:val="BodyText"/>
      </w:pPr>
      <w:r>
        <w:t xml:space="preserve">This submission therefore treats every defect as a decision with a stated rationale rather than a</w:t>
      </w:r>
      <w:r>
        <w:t xml:space="preserve"> </w:t>
      </w:r>
      <w:r>
        <w:t xml:space="preserve">row to be scrubbed. Nothing is dropped without a trace: every source row ends up either in the fact</w:t>
      </w:r>
      <w:r>
        <w:t xml:space="preserve"> </w:t>
      </w:r>
      <w:r>
        <w:t xml:space="preserve">table or in a quarantine file that names the rule that put it there.</w:t>
      </w:r>
    </w:p>
    <w:p>
      <w:pPr>
        <w:pStyle w:val="Heading2"/>
      </w:pPr>
      <w:bookmarkStart w:id="22" w:name="what-was-built"/>
      <w:r>
        <w:t xml:space="preserve">What was built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six-stage Python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solution/src/</w:t>
      </w:r>
      <w:r>
        <w:t xml:space="preserve">): read → profile → clean → load → analytics →</w:t>
      </w:r>
      <w:r>
        <w:t xml:space="preserve"> </w:t>
      </w:r>
      <w:r>
        <w:t xml:space="preserve">audit, with the profile captured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anything is changed, so the evidence predates the fix.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constrained SQLite star schema</w:t>
      </w:r>
      <w:r>
        <w:t xml:space="preserve">: one fact, four conformed dimensions, surrogate keys,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, and CHECK constraints that are load-bearing rather than decorative —</w:t>
      </w:r>
      <w:r>
        <w:t xml:space="preserve"> </w:t>
      </w:r>
      <w:r>
        <w:t xml:space="preserve">three separate sabotage attempts during an adversarial audit were rejected by the schema itself.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Six metrics as named SQL constants</w:t>
      </w:r>
      <w:r>
        <w:t xml:space="preserve"> </w:t>
      </w:r>
      <w:r>
        <w:t xml:space="preserve">executed against the warehouse, serialised with title,</w:t>
      </w:r>
      <w:r>
        <w:t xml:space="preserve"> </w:t>
      </w:r>
      <w:r>
        <w:t xml:space="preserve">description, SQL text, source reference, definition note and per-column units.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audit ledger</w:t>
      </w:r>
      <w:r>
        <w:t xml:space="preserve"> </w:t>
      </w:r>
      <w:r>
        <w:t xml:space="preserve">recording, per defect class, the detection method, the decision, the rationale,</w:t>
      </w:r>
      <w:r>
        <w:t xml:space="preserve"> </w:t>
      </w:r>
      <w:r>
        <w:t xml:space="preserve">the affected business keys and the detected-versus-expected count.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reviewer dashboard</w:t>
      </w:r>
      <w:r>
        <w:t xml:space="preserve"> </w:t>
      </w:r>
      <w:r>
        <w:t xml:space="preserve">(Next.js) that drills from any finding to the exact tagged line of Python</w:t>
      </w:r>
      <w:r>
        <w:t xml:space="preserve"> </w:t>
      </w:r>
      <w:r>
        <w:t xml:space="preserve">that handles it, plus a grounded assistant that answers only from the pipeline’s own artifacts.</w:t>
      </w:r>
    </w:p>
    <w:p>
      <w:pPr>
        <w:pStyle w:val="Heading2"/>
      </w:pPr>
      <w:bookmarkStart w:id="23" w:name="X32a9ea041224c3b376d736a91589537e9189e9c"/>
      <w:r>
        <w:t xml:space="preserve">The three judgement calls that carry the most weight</w:t>
      </w:r>
      <w:bookmarkEnd w:id="23"/>
    </w:p>
    <w:p>
      <w:pPr>
        <w:pStyle w:val="FirstParagraph"/>
      </w:pPr>
      <w:r>
        <w:rPr>
          <w:b/>
        </w:rPr>
        <w:t xml:space="preserve">TX-03 — preserve the reported total; do not recompute it.</w:t>
      </w:r>
      <w:r>
        <w:t xml:space="preserve"> </w:t>
      </w:r>
      <w:r>
        <w:t xml:space="preserve">Twenty transactions report a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5–20% below</w:t>
      </w:r>
      <w:r>
        <w:t xml:space="preserve"> </w:t>
      </w:r>
      <w:r>
        <w:rPr>
          <w:rStyle w:val="VerbatimChar"/>
        </w:rPr>
        <w:t xml:space="preserve">quantity × unit_price</w:t>
      </w:r>
      <w:r>
        <w:t xml:space="preserve">. The money moved at the discounted price, so the</w:t>
      </w:r>
      <w:r>
        <w:t xml:space="preserve"> </w:t>
      </w:r>
      <w:r>
        <w:t xml:space="preserve">reported total is a fact and the multiplication is a derivation;</w:t>
      </w:r>
      <w:r>
        <w:t xml:space="preserve"> </w:t>
      </w:r>
      <w:r>
        <w:t xml:space="preserve">“</w:t>
      </w:r>
      <w:r>
        <w:t xml:space="preserve">fixing</w:t>
      </w:r>
      <w:r>
        <w:t xml:space="preserve">”</w:t>
      </w:r>
      <w:r>
        <w:t xml:space="preserve"> </w:t>
      </w:r>
      <w:r>
        <w:t xml:space="preserve">the fact to agree with the</w:t>
      </w:r>
      <w:r>
        <w:t xml:space="preserve"> </w:t>
      </w:r>
      <w:r>
        <w:t xml:space="preserve">derivation inverts the direction of truth.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is never recomputed anywhere in the</w:t>
      </w:r>
      <w:r>
        <w:t xml:space="preserve"> </w:t>
      </w:r>
      <w:r>
        <w:t xml:space="preserve">codebase. Instead the fact table carries three measures —</w:t>
      </w:r>
      <w:r>
        <w:t xml:space="preserve"> </w:t>
      </w:r>
      <w:r>
        <w:rPr>
          <w:rStyle w:val="VerbatimChar"/>
        </w:rPr>
        <w:t xml:space="preserve">extended_amount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net_amount</w:t>
      </w:r>
      <w:r>
        <w:t xml:space="preserve"> </w:t>
      </w:r>
      <w:r>
        <w:t xml:space="preserve">— so the discrepancy becomes visible rather than resolved. Recomputing would have</w:t>
      </w:r>
      <w:r>
        <w:t xml:space="preserve"> </w:t>
      </w:r>
      <w:r>
        <w:t xml:space="preserve">published $159,005.77 instead of $158,044.29: an overstatement of 0.61%, small enough to pass any</w:t>
      </w:r>
      <w:r>
        <w:t xml:space="preserve"> </w:t>
      </w:r>
      <w:r>
        <w:t xml:space="preserve">smell test, and large enough to erase the only evidence that an unmodelled promotion or manual</w:t>
      </w:r>
      <w:r>
        <w:t xml:space="preserve"> </w:t>
      </w:r>
      <w:r>
        <w:t xml:space="preserve">override is flowing through a schema with nowhere to record it. The finding, not the dollars, was</w:t>
      </w:r>
      <w:r>
        <w:t xml:space="preserve"> </w:t>
      </w:r>
      <w:r>
        <w:t xml:space="preserve">what stood to be lost.</w:t>
      </w:r>
    </w:p>
    <w:p>
      <w:pPr>
        <w:pStyle w:val="BodyText"/>
      </w:pPr>
      <w:r>
        <w:rPr>
          <w:b/>
        </w:rPr>
        <w:t xml:space="preserve">PR-02 — a price change wearing a duplicate’s clothes.</w:t>
      </w:r>
      <w:r>
        <w:t xml:space="preserve"> </w:t>
      </w:r>
      <w:r>
        <w:t xml:space="preserve">Product</w:t>
      </w:r>
      <w:r>
        <w:t xml:space="preserve"> </w:t>
      </w:r>
      <w:r>
        <w:rPr>
          <w:rStyle w:val="VerbatimChar"/>
        </w:rPr>
        <w:t xml:space="preserve">P005</w:t>
      </w:r>
      <w:r>
        <w:t xml:space="preserve"> </w:t>
      </w:r>
      <w:r>
        <w:t xml:space="preserve">appears twice with prices</w:t>
      </w:r>
      <w:r>
        <w:t xml:space="preserve"> </w:t>
      </w:r>
      <w:r>
        <w:t xml:space="preserve">differing by exactly $8.50.</w:t>
      </w:r>
      <w:r>
        <w:t xml:space="preserve"> </w:t>
      </w:r>
      <w:r>
        <w:rPr>
          <w:rStyle w:val="VerbatimChar"/>
        </w:rPr>
        <w:t xml:space="preserve">drop_duplicates(subset=["product_id"])</w:t>
      </w:r>
      <w:r>
        <w:t xml:space="preserve"> </w:t>
      </w:r>
      <w:r>
        <w:t xml:space="preserve">removes the row and the finding</w:t>
      </w:r>
      <w:r>
        <w:t xml:space="preserve"> </w:t>
      </w:r>
      <w:r>
        <w:t xml:space="preserve">in the same instruction, and because the source shuffle puts the higher price first, which price</w:t>
      </w:r>
      <w:r>
        <w:t xml:space="preserve"> </w:t>
      </w:r>
      <w:r>
        <w:t xml:space="preserve">survives is a coin flip. It is treated instead as a slowly-changing attribute:</w:t>
      </w:r>
      <w:r>
        <w:t xml:space="preserve"> </w:t>
      </w:r>
      <w:r>
        <w:rPr>
          <w:rStyle w:val="VerbatimChar"/>
        </w:rPr>
        <w:t xml:space="preserve">dim_product</w:t>
      </w:r>
      <w:r>
        <w:t xml:space="preserve"> </w:t>
      </w:r>
      <w:r>
        <w:t xml:space="preserve">carries</w:t>
      </w:r>
      <w:r>
        <w:t xml:space="preserve"> </w:t>
      </w:r>
      <w:r>
        <w:t xml:space="preserve">$150.11 as the current list price under an explicit, order-independent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policy, while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carries the transacted $141.61 on all 19 kept P005 rows. Revenue never reads the</w:t>
      </w:r>
      <w:r>
        <w:t xml:space="preserve"> </w:t>
      </w:r>
      <w:r>
        <w:t xml:space="preserve">dimension, so electing either price cannot move a single revenue figure — but failing to</w:t>
      </w:r>
      <w:r>
        <w:t xml:space="preserve"> </w:t>
      </w:r>
      <w:r>
        <w:rPr>
          <w:i/>
        </w:rPr>
        <w:t xml:space="preserve">report</w:t>
      </w:r>
      <w:r>
        <w:t xml:space="preserve"> </w:t>
      </w:r>
      <w:r>
        <w:t xml:space="preserve">the conflict means the business never learns its product master holds two truths.</w:t>
      </w:r>
    </w:p>
    <w:p>
      <w:pPr>
        <w:pStyle w:val="BodyText"/>
      </w:pPr>
      <w:r>
        <w:rPr>
          <w:b/>
        </w:rPr>
        <w:t xml:space="preserve">ST-03 — impute only from vocabulary the column already contains.</w:t>
      </w:r>
      <w:r>
        <w:t xml:space="preserve"> </w:t>
      </w:r>
      <w:r>
        <w:t xml:space="preserve">Two stores have a NULL region.</w:t>
      </w:r>
      <w:r>
        <w:t xml:space="preserve"> </w:t>
      </w:r>
      <w:r>
        <w:t xml:space="preserve">The state-to-region map is built at runtime from the values already present in the region column,</w:t>
      </w:r>
      <w:r>
        <w:t xml:space="preserve"> </w:t>
      </w:r>
      <w:r>
        <w:t xml:space="preserve">never from a hardcoded dictionary, so</w:t>
      </w:r>
      <w:r>
        <w:t xml:space="preserve"> </w:t>
      </w:r>
      <w:r>
        <w:rPr>
          <w:rStyle w:val="VerbatimChar"/>
        </w:rPr>
        <w:t xml:space="preserve">dim_store</w:t>
      </w:r>
      <w:r>
        <w:t xml:space="preserve"> </w:t>
      </w:r>
      <w:r>
        <w:t xml:space="preserve">still holds exactly four regions and no invented</w:t>
      </w:r>
      <w:r>
        <w:t xml:space="preserve"> </w:t>
      </w:r>
      <w:r>
        <w:t xml:space="preserve">fifth one. This is a direct response to a failure in an earlier attempt, which hardcoded</w:t>
      </w:r>
      <w:r>
        <w:t xml:space="preserve"> </w:t>
      </w:r>
      <w:r>
        <w:rPr>
          <w:rStyle w:val="VerbatimChar"/>
        </w:rPr>
        <w:t xml:space="preserve">NY → "East"</w:t>
      </w:r>
      <w:r>
        <w:t xml:space="preserve"> </w:t>
      </w:r>
      <w:r>
        <w:t xml:space="preserve">while the data’s own vocabulary says</w:t>
      </w:r>
      <w:r>
        <w:t xml:space="preserve"> </w:t>
      </w:r>
      <w:r>
        <w:rPr>
          <w:rStyle w:val="VerbatimChar"/>
        </w:rPr>
        <w:t xml:space="preserve">"Northeast"</w:t>
      </w:r>
      <w:r>
        <w:t xml:space="preserve"> </w:t>
      </w:r>
      <w:r>
        <w:t xml:space="preserve">— inventing a region that split the</w:t>
      </w:r>
      <w:r>
        <w:t xml:space="preserve"> </w:t>
      </w:r>
      <w:r>
        <w:t xml:space="preserve">Northeast in two and quietly corrupted average order value by region. Deriving the map from observed</w:t>
      </w:r>
      <w:r>
        <w:t xml:space="preserve"> </w:t>
      </w:r>
      <w:r>
        <w:t xml:space="preserve">values makes that entire class of bug impossible to reintroduce.</w:t>
      </w:r>
    </w:p>
    <w:p>
      <w:pPr>
        <w:pStyle w:val="Heading2"/>
      </w:pPr>
      <w:bookmarkStart w:id="24" w:name="the-verified-results"/>
      <w:r>
        <w:t xml:space="preserve">The verified results</w:t>
      </w:r>
      <w:bookmarkEnd w:id="24"/>
    </w:p>
    <w:tbl>
      <w:tblPr>
        <w:tblStyle w:val="Table"/>
        <w:tblLook w:firstRow="1"/>
        <w:tblW w:type="dxa" w:w="10080"/>
        <w:tblLayout w:type="fixed"/>
      </w:tblPr>
      <w:tblGrid>
        <w:gridCol w:w="5022"/>
        <w:gridCol w:w="5058"/>
      </w:tblGrid>
      <w:tr>
        <w:trPr>
          <w:cnfStyle w:firstRow="1"/>
        </w:trPr>
        <w:tc>
          <w:tcPr>
            <w:tcW w:type="dxa" w:w="502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W w:type="dxa" w:w="505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Top store, trailing 30 days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Galleria at Crystal Run (Northeast), $6,770.08 across 17 transactions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Revenue reconciliation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Gross list $168,957.80 − discounts $961.48 + returns −$9,952.03 = $158,044.29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Return-rate alerts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Three stores above the 10% unit threshold: S006 13.73%, S015 13.51%, S008 10.48%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Average order value by region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Northeast $389.05, South $384.49, Midwest $375.82, West $364.02 — four regions, not five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Top customer, lifetime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CUST0213, $3,077.96 across 4 transactions (the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sentinel is excluded)</w:t>
            </w:r>
          </w:p>
        </w:tc>
      </w:tr>
      <w:tr>
        <w:tc>
          <w:tcPr>
            <w:tcW w:type="dxa" w:w="5022"/>
          </w:tcPr>
          <w:p>
            <w:pPr>
              <w:pStyle w:val="Compact"/>
              <w:jc w:val="left"/>
            </w:pPr>
            <w:r>
              <w:t xml:space="preserve">Month-over-month growth</w:t>
            </w:r>
          </w:p>
        </w:tc>
        <w:tc>
          <w:tcPr>
            <w:tcW w:type="dxa" w:w="5058"/>
          </w:tcPr>
          <w:p>
            <w:pPr>
              <w:pStyle w:val="Compact"/>
              <w:jc w:val="left"/>
            </w:pPr>
            <w:r>
              <w:t xml:space="preserve">22 rows across six categories and four months, with the partial-month caveat published per row</w:t>
            </w:r>
          </w:p>
        </w:tc>
      </w:tr>
    </w:tbl>
    <w:p>
      <w:pPr>
        <w:pStyle w:val="BodyText"/>
      </w:pPr>
      <w:r>
        <w:t xml:space="preserve">Every time-relative figure is anchored on a single pinned reference date,</w:t>
      </w:r>
      <w:r>
        <w:t xml:space="preserve"> </w:t>
      </w:r>
      <w:r>
        <w:rPr>
          <w:rStyle w:val="VerbatimChar"/>
        </w:rPr>
        <w:t xml:space="preserve">AS_OF_DATE = 2026-06-02</w:t>
      </w:r>
      <w:r>
        <w:t xml:space="preserve">,</w:t>
      </w:r>
      <w:r>
        <w:t xml:space="preserve"> </w:t>
      </w:r>
      <w:r>
        <w:t xml:space="preserve">which is the seed generator’s own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is never called in pipeline logic. That</w:t>
      </w:r>
      <w:r>
        <w:t xml:space="preserve"> </w:t>
      </w:r>
      <w:r>
        <w:t xml:space="preserve">is what makes the run reproducible: under wall-clock time the trailing-window metrics go empty and</w:t>
      </w:r>
      <w:r>
        <w:t xml:space="preserve"> </w:t>
      </w:r>
      <w:r>
        <w:t xml:space="preserve">the three future-dated rows silently become ordinary history.</w:t>
      </w:r>
    </w:p>
    <w:p>
      <w:pPr>
        <w:pStyle w:val="Heading2"/>
      </w:pPr>
      <w:bookmarkStart w:id="25" w:name="how-correctness-was-established"/>
      <w:r>
        <w:t xml:space="preserve">How correctness was established</w:t>
      </w:r>
      <w:bookmarkEnd w:id="25"/>
    </w:p>
    <w:p>
      <w:pPr>
        <w:pStyle w:val="FirstParagraph"/>
      </w:pPr>
      <w:r>
        <w:rPr>
          <w:b/>
        </w:rPr>
        <w:t xml:space="preserve">87 automated tests</w:t>
      </w:r>
      <w:r>
        <w:t xml:space="preserve">, including a golden end-to-end run of the real raw CSVs through the real</w:t>
      </w:r>
      <w:r>
        <w:t xml:space="preserve"> </w:t>
      </w:r>
      <w:r>
        <w:t xml:space="preserve">pipeline with the numbers pinned: 474 rows, $158,044.29, the exact top-five ranking, 17/17 coverage.</w:t>
      </w:r>
    </w:p>
    <w:p>
      <w:pPr>
        <w:pStyle w:val="BodyText"/>
      </w:pPr>
      <w:r>
        <w:rPr>
          <w:b/>
        </w:rPr>
        <w:t xml:space="preserve">Mutation testing — 18 deliberate sabotages</w:t>
      </w:r>
      <w:r>
        <w:t xml:space="preserve"> </w:t>
      </w:r>
      <w:r>
        <w:t xml:space="preserve">applied to scratch copies of the tree. Five initially</w:t>
      </w:r>
      <w:r>
        <w:t xml:space="preserve"> </w:t>
      </w:r>
      <w:r>
        <w:t xml:space="preserve">survived, which is reported here because a suite’s honest measure is what it fails to catch. Each</w:t>
      </w:r>
      <w:r>
        <w:t xml:space="preserve"> </w:t>
      </w:r>
      <w:r>
        <w:t xml:space="preserve">was then closed: a runtime assertion that PR-02’s elected price is the observed maximum; two</w:t>
      </w:r>
      <w:r>
        <w:t xml:space="preserve"> </w:t>
      </w:r>
      <w:r>
        <w:t xml:space="preserve">independent reconciliation deltas plus a test that injects a known $5.00 arithmetic error and</w:t>
      </w:r>
      <w:r>
        <w:t xml:space="preserve"> </w:t>
      </w:r>
      <w:r>
        <w:t xml:space="preserve">asserts the delta reports exactly that amount, so the test cannot be a tautology; direct assertions</w:t>
      </w:r>
      <w:r>
        <w:t xml:space="preserve"> </w:t>
      </w:r>
      <w:r>
        <w:t xml:space="preserve">on the 30-day window’s boundary at both ends; and a fixture with a non-paddable ZIP. All five now</w:t>
      </w:r>
      <w:r>
        <w:t xml:space="preserve"> </w:t>
      </w:r>
      <w:r>
        <w:t xml:space="preserve">fail the build. Two further mutations are stopped not by tests but by the warehouse itself —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and the loader’s refusal to resolve an unknown natural key.</w:t>
      </w:r>
    </w:p>
    <w:p>
      <w:pPr>
        <w:pStyle w:val="BodyText"/>
      </w:pPr>
      <w:r>
        <w:rPr>
          <w:b/>
        </w:rPr>
        <w:t xml:space="preserve">An independent adversarial audit</w:t>
      </w:r>
      <w:r>
        <w:t xml:space="preserve"> </w:t>
      </w:r>
      <w:r>
        <w:t xml:space="preserve">recomputed all six metrics from the raw CSVs in pandas, before</w:t>
      </w:r>
      <w:r>
        <w:t xml:space="preserve"> </w:t>
      </w:r>
      <w:r>
        <w:t xml:space="preserve">reading the query code, and reproduced every figure to the cent. It further confirmed that all 20</w:t>
      </w:r>
      <w:r>
        <w:t xml:space="preserve"> </w:t>
      </w:r>
      <w:r>
        <w:t xml:space="preserve">mixed-format dates parse to the correct calendar date including both genuinely ambiguous strings;</w:t>
      </w:r>
      <w:r>
        <w:t xml:space="preserve"> </w:t>
      </w:r>
      <w:r>
        <w:t xml:space="preserve">that the 505-row budget conserves exactly, with its own disposition logic agreeing on 505 of 505</w:t>
      </w:r>
      <w:r>
        <w:t xml:space="preserve"> </w:t>
      </w:r>
      <w:r>
        <w:t xml:space="preserve">rows; that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is never recomputed; that there is no join fan-out; and that the pipeline</w:t>
      </w:r>
      <w:r>
        <w:t xml:space="preserve"> </w:t>
      </w:r>
      <w:r>
        <w:t xml:space="preserve">is byte-identical across runs by MD5.</w:t>
      </w:r>
    </w:p>
    <w:p>
      <w:pPr>
        <w:pStyle w:val="BodyText"/>
      </w:pPr>
      <w:r>
        <w:rPr>
          <w:b/>
        </w:rPr>
        <w:t xml:space="preserve">Documentation integrity is a build gate.</w:t>
      </w:r>
      <w:r>
        <w:t xml:space="preserve"> </w:t>
      </w:r>
      <w:r>
        <w:t xml:space="preserve">An earlier revision of the README carried eight stale</w:t>
      </w:r>
      <w:r>
        <w:t xml:space="preserve"> </w:t>
      </w:r>
      <w:r>
        <w:t xml:space="preserve">headline figures — correct output from an older pipeline, copied into prose by hand and never</w:t>
      </w:r>
      <w:r>
        <w:t xml:space="preserve"> </w:t>
      </w:r>
      <w:r>
        <w:t xml:space="preserve">revisited. Hand-copied numbers rot silently, and a reviewer who spot-checks one figure and finds it</w:t>
      </w:r>
      <w:r>
        <w:t xml:space="preserve"> </w:t>
      </w:r>
      <w:r>
        <w:t xml:space="preserve">wrong stops trusting the ones that are right. Every published figure is now wrapped in markers and</w:t>
      </w:r>
      <w:r>
        <w:t xml:space="preserve"> </w:t>
      </w:r>
      <w:r>
        <w:t xml:space="preserve">checked by</w:t>
      </w:r>
      <w:r>
        <w:t xml:space="preserve"> </w:t>
      </w:r>
      <w:r>
        <w:rPr>
          <w:rStyle w:val="VerbatimChar"/>
        </w:rPr>
        <w:t xml:space="preserve">scripts/check_readme_numbers.py</w:t>
      </w:r>
      <w:r>
        <w:t xml:space="preserve"> </w:t>
      </w:r>
      <w:r>
        <w:t xml:space="preserve">against values resolved live from the analytics JSON,</w:t>
      </w:r>
      <w:r>
        <w:t xml:space="preserve"> </w:t>
      </w:r>
      <w:r>
        <w:t xml:space="preserve">the audit report, the lineage CSV, the warehouse database and a live test collection. The mapping</w:t>
      </w:r>
      <w:r>
        <w:t xml:space="preserve"> </w:t>
      </w:r>
      <w:r>
        <w:t xml:space="preserve">from figure to source of truth lives in the script and never in the document, so a number cannot be</w:t>
      </w:r>
      <w:r>
        <w:t xml:space="preserve"> </w:t>
      </w:r>
      <w:r>
        <w:t xml:space="preserve">verified against itself. On this run: 148 figures compared, all current.</w:t>
      </w:r>
    </w:p>
    <w:p>
      <w:pPr>
        <w:pStyle w:val="Heading2"/>
      </w:pPr>
      <w:bookmarkStart w:id="26" w:name="trade-offs-stated-plainly"/>
      <w:r>
        <w:t xml:space="preserve">Trade-offs stated plainly</w:t>
      </w:r>
      <w:bookmarkEnd w:id="26"/>
    </w:p>
    <w:p>
      <w:pPr>
        <w:pStyle w:val="FirstParagraph"/>
      </w:pPr>
      <w:r>
        <w:t xml:space="preserve">SQLite rather than a warehouse; money as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rather than integer cents, with every comparison</w:t>
      </w:r>
      <w:r>
        <w:t xml:space="preserve"> </w:t>
      </w:r>
      <w:r>
        <w:t xml:space="preserve">tolerance-based to the cent; a full reload rather than an incremental merge;</w:t>
      </w:r>
      <w:r>
        <w:t xml:space="preserve"> </w:t>
      </w:r>
      <w:r>
        <w:rPr>
          <w:rStyle w:val="VerbatimChar"/>
        </w:rPr>
        <w:t xml:space="preserve">dim_product</w:t>
      </w:r>
      <w:r>
        <w:t xml:space="preserve"> </w:t>
      </w:r>
      <w:r>
        <w:t xml:space="preserve">as Type 1</w:t>
      </w:r>
      <w:r>
        <w:t xml:space="preserve"> </w:t>
      </w:r>
      <w:r>
        <w:t xml:space="preserve">because the source carries no effective date on the price. Each is right for a single-file,</w:t>
      </w:r>
      <w:r>
        <w:t xml:space="preserve"> </w:t>
      </w:r>
      <w:r>
        <w:t xml:space="preserve">reproducible deliverable and each is recorded with what would change in production — a</w:t>
      </w:r>
      <w:r>
        <w:t xml:space="preserve"> </w:t>
      </w:r>
      <w:r>
        <w:t xml:space="preserve">late-arriving-dimension pattern for orphan keys, thresholds moved into a config table the business</w:t>
      </w:r>
      <w:r>
        <w:t xml:space="preserve"> </w:t>
      </w:r>
      <w:r>
        <w:t xml:space="preserve">owns, the defect catalog becoming a monitored SLA rather than a fixed expectation, and Type-2 history</w:t>
      </w:r>
      <w:r>
        <w:t xml:space="preserve"> </w:t>
      </w:r>
      <w:r>
        <w:t xml:space="preserve">once the source can supply effective dates.</w:t>
      </w:r>
    </w:p>
    <w:p>
      <w:pPr>
        <w:pStyle w:val="Heading2"/>
      </w:pPr>
      <w:bookmarkStart w:id="27" w:name="where-to-look-first"/>
      <w:r>
        <w:t xml:space="preserve">Where to look first</w:t>
      </w:r>
      <w:bookmarkEnd w:id="27"/>
    </w:p>
    <w:p>
      <w:pPr>
        <w:pStyle w:val="FirstParagraph"/>
      </w:pPr>
      <w:r>
        <w:rPr>
          <w:rStyle w:val="VerbatimChar"/>
        </w:rPr>
        <w:t xml:space="preserve">solution/README.md</w:t>
      </w:r>
      <w:r>
        <w:t xml:space="preserve"> </w:t>
      </w:r>
      <w:r>
        <w:t xml:space="preserve">is the canonical reviewer guide: the full decision matrix for all 17 defects,</w:t>
      </w:r>
      <w:r>
        <w:t xml:space="preserve"> </w:t>
      </w:r>
      <w:r>
        <w:t xml:space="preserve">the row budget, the schema and its grain, every metric definition, and the testing record. The</w:t>
      </w:r>
      <w:r>
        <w:t xml:space="preserve"> </w:t>
      </w:r>
      <w:r>
        <w:t xml:space="preserve">attached</w:t>
      </w:r>
      <w:r>
        <w:t xml:space="preserve"> </w:t>
      </w:r>
      <w:r>
        <w:rPr>
          <w:rStyle w:val="VerbatimChar"/>
        </w:rPr>
        <w:t xml:space="preserve">analytics.json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audit_report.json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defect_catalog.json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profile_report.json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warehouse.db</w:t>
      </w:r>
      <w:r>
        <w:t xml:space="preserve"> </w:t>
      </w:r>
      <w:r>
        <w:t xml:space="preserve">are the artifacts of the run these figures come from.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0"/>
        <w:szCs w:val="20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2E5077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bCs/>
      <w:color w:val="2E5077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iCs/>
      <w:color w:val="404040"/>
      <w:sz w:val="20"/>
      <w:szCs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04040"/>
      <w:sz w:val="20"/>
      <w:szCs w:val="2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9AA5B1"/>
        <w:left w:val="single" w:sz="4" w:space="0" w:color="9AA5B1"/>
        <w:bottom w:val="single" w:sz="4" w:space="0" w:color="9AA5B1"/>
        <w:right w:val="single" w:sz="4" w:space="0" w:color="9AA5B1"/>
        <w:insideH w:val="single" w:sz="4" w:space="0" w:color="C8CFD6"/>
        <w:insideV w:val="single" w:sz="4" w:space="0" w:color="C8CFD6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1F3864"/>
      </w:rPr>
      <w:tblPr/>
      <w:tcPr>
        <w:shd w:val="clear" w:color="auto" w:fill="E7EC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qFormat/>
    <w:pPr>
      <w:keepLines/>
      <w:spacing w:before="60" w:after="60" w:line="240" w:lineRule="auto"/>
      <w:ind w:left="180" w:right="180"/>
      <w:shd w:val="clear" w:color="auto" w:fill="F4F5F7"/>
    </w:pPr>
    <w:rPr>
      <w:rFonts w:ascii="Consolas" w:eastAsia="Consolas" w:hAnsi="Consolas" w:cs="Consolas"/>
      <w:noProof/>
      <w:sz w:val="17"/>
      <w:szCs w:val="17"/>
    </w:rPr>
  </w:style>
  <w:style w:type="character" w:customStyle="1" w:styleId="SourceCodeChar">
    <w:name w:val="Source Code Char"/>
    <w:rPr>
      <w:rFonts w:ascii="Consolas" w:eastAsia="Consolas" w:hAnsi="Consolas" w:cs="Consolas"/>
      <w:sz w:val="17"/>
      <w:szCs w:val="17"/>
    </w:rPr>
  </w:style>
  <w:style w:type="character" w:customStyle="1" w:styleId="VerbatimChar">
    <w:name w:val="Verbatim Char"/>
    <w:basedOn w:val="BodyTextChar"/>
    <w:rPr>
      <w:rFonts w:ascii="Consolas" w:hAnsi="Consolas"/>
      <w:sz w:val="18"/>
      <w:szCs w:val="18"/>
      <w:color w:val="7A3E0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Mindex Data Engineering Challenge</dc:title>
  <dc:creator>Karl David</dc:creator>
  <cp:keywords/>
  <dcterms:created xsi:type="dcterms:W3CDTF">2026-08-04T23:15:17Z</dcterms:created>
  <dcterms:modified xsi:type="dcterms:W3CDTF">2026-08-04T23:15:17Z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Regenerated 4 August 2026 from a live pipeline run</vt:lpwstr>
  </property>
  <property fmtid="{D5CDD505-2E9C-101B-9397-08002B2CF9AE}" pid="3" name="subtitle">
    <vt:lpwstr>Executive Summary</vt:lpwstr>
  </property>
</Properties>
</file>