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02C57"/>
          <w:sz w:val="40"/>
        </w:rPr>
        <w:t>📋 Executive Summary — Deliverables &amp; Architecture Overview</w:t>
      </w:r>
    </w:p>
    <w:p>
      <w:r>
        <w:rPr>
          <w:rFonts w:ascii="Calibri" w:hAnsi="Calibri"/>
          <w:b/>
        </w:rPr>
        <w:t>Candidate</w:t>
      </w:r>
      <w:r>
        <w:rPr>
          <w:rFonts w:ascii="Calibri" w:hAnsi="Calibri"/>
        </w:rPr>
        <w:t>: Karl David</w:t>
      </w:r>
    </w:p>
    <w:p>
      <w:r>
        <w:rPr>
          <w:rFonts w:ascii="Calibri" w:hAnsi="Calibri"/>
          <w:b/>
        </w:rPr>
        <w:t>Challenge</w:t>
      </w:r>
      <w:r>
        <w:rPr>
          <w:rFonts w:ascii="Calibri" w:hAnsi="Calibri"/>
        </w:rPr>
        <w:t>: Mindex Data Engineer Code Challenge</w:t>
      </w:r>
    </w:p>
    <w:p>
      <w:r>
        <w:rPr>
          <w:rFonts w:ascii="Calibri" w:hAnsi="Calibri"/>
          <w:b/>
        </w:rPr>
        <w:t>Live Submission App</w:t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104D90"/>
          <w:u w:val="single"/>
        </w:rPr>
        <w:t>https://dashboard-7-three.vercel.app (https://dashboard-7-three.vercel.app)</w:t>
      </w:r>
    </w:p>
    <w:p>
      <w:r>
        <w:rPr>
          <w:rFonts w:ascii="Calibri" w:hAnsi="Calibri"/>
          <w:b/>
        </w:rPr>
        <w:t>GitHub Repository</w:t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104D90"/>
          <w:u w:val="single"/>
        </w:rPr>
        <w:t>https://github.com/KARLalpha4768/mindex-data-challenge (https://github.com/KARLalpha4768/mindex-data-challenge)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🎯 Deliverables Matrix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1. Data Profiling (`src/profiler.py`)</w:t>
      </w:r>
    </w:p>
    <w:p>
      <w:pPr>
        <w:pStyle w:val="ListBullet"/>
        <w:spacing w:after="60" w:before="0"/>
      </w:pPr>
      <w:r>
        <w:rPr>
          <w:rFonts w:ascii="Calibri" w:hAnsi="Calibri"/>
        </w:rPr>
        <w:t>Evaluates raw datasets (</w:t>
      </w:r>
      <w:r>
        <w:rPr>
          <w:rFonts w:ascii="Consolas" w:hAnsi="Consolas"/>
          <w:color w:val="B42828"/>
          <w:sz w:val="20"/>
        </w:rPr>
        <w:t>stores.csv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products.csv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transactions.csv</w:t>
      </w:r>
      <w:r>
        <w:rPr>
          <w:rFonts w:ascii="Calibri" w:hAnsi="Calibri"/>
        </w:rPr>
        <w:t>) before any cleaning passes.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Generates </w:t>
      </w:r>
      <w:r>
        <w:rPr>
          <w:rFonts w:ascii="Consolas" w:hAnsi="Consolas"/>
          <w:color w:val="B42828"/>
          <w:sz w:val="20"/>
        </w:rPr>
        <w:t>output/profile_report.json</w:t>
      </w:r>
      <w:r>
        <w:rPr>
          <w:rFonts w:ascii="Calibri" w:hAnsi="Calibri"/>
        </w:rPr>
        <w:t xml:space="preserve"> capturing null counts, distinct counts, sample values, min/max ranges, and duplicate row counts.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Full interactive profiling tables rendered in the </w:t>
      </w:r>
      <w:r>
        <w:rPr>
          <w:rFonts w:ascii="Calibri" w:hAnsi="Calibri"/>
          <w:b/>
        </w:rPr>
        <w:t>Data Profile</w:t>
      </w:r>
      <w:r>
        <w:rPr>
          <w:rFonts w:ascii="Calibri" w:hAnsi="Calibri"/>
        </w:rPr>
        <w:t xml:space="preserve"> view.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2. Data Quality &amp; Cleaning Engine (`src/defects.py`, `src/cleaning/`)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Handles </w:t>
      </w:r>
      <w:r>
        <w:rPr>
          <w:rFonts w:ascii="Calibri" w:hAnsi="Calibri"/>
          <w:b/>
        </w:rPr>
        <w:t>all 17 injected defect classes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Stores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ST-01</w:t>
      </w:r>
      <w:r>
        <w:rPr>
          <w:rFonts w:ascii="Calibri" w:hAnsi="Calibri"/>
        </w:rPr>
        <w:t xml:space="preserve"> (4-digit ZIP padding), </w:t>
      </w:r>
      <w:r>
        <w:rPr>
          <w:rFonts w:ascii="Consolas" w:hAnsi="Consolas"/>
          <w:color w:val="B42828"/>
          <w:sz w:val="20"/>
        </w:rPr>
        <w:t>ST-02</w:t>
      </w:r>
      <w:r>
        <w:rPr>
          <w:rFonts w:ascii="Calibri" w:hAnsi="Calibri"/>
        </w:rPr>
        <w:t xml:space="preserve"> (S007 master survivorship), </w:t>
      </w:r>
      <w:r>
        <w:rPr>
          <w:rFonts w:ascii="Consolas" w:hAnsi="Consolas"/>
          <w:color w:val="B42828"/>
          <w:sz w:val="20"/>
        </w:rPr>
        <w:t>ST-03</w:t>
      </w:r>
      <w:r>
        <w:rPr>
          <w:rFonts w:ascii="Calibri" w:hAnsi="Calibri"/>
        </w:rPr>
        <w:t xml:space="preserve"> (NULL region imputation).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Products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PR-01</w:t>
      </w:r>
      <w:r>
        <w:rPr>
          <w:rFonts w:ascii="Calibri" w:hAnsi="Calibri"/>
        </w:rPr>
        <w:t xml:space="preserve"> (Exact duplicates), </w:t>
      </w:r>
      <w:r>
        <w:rPr>
          <w:rFonts w:ascii="Consolas" w:hAnsi="Consolas"/>
          <w:color w:val="B42828"/>
          <w:sz w:val="20"/>
        </w:rPr>
        <w:t>PR-02</w:t>
      </w:r>
      <w:r>
        <w:rPr>
          <w:rFonts w:ascii="Calibri" w:hAnsi="Calibri"/>
        </w:rPr>
        <w:t xml:space="preserve"> (P005 price conflict), </w:t>
      </w:r>
      <w:r>
        <w:rPr>
          <w:rFonts w:ascii="Consolas" w:hAnsi="Consolas"/>
          <w:color w:val="B42828"/>
          <w:sz w:val="20"/>
        </w:rPr>
        <w:t>PR-03</w:t>
      </w:r>
      <w:r>
        <w:rPr>
          <w:rFonts w:ascii="Calibri" w:hAnsi="Calibri"/>
        </w:rPr>
        <w:t xml:space="preserve"> (NULL category imputation), </w:t>
      </w:r>
      <w:r>
        <w:rPr>
          <w:rFonts w:ascii="Consolas" w:hAnsi="Consolas"/>
          <w:color w:val="B42828"/>
          <w:sz w:val="20"/>
        </w:rPr>
        <w:t>PR-04</w:t>
      </w:r>
      <w:r>
        <w:rPr>
          <w:rFonts w:ascii="Calibri" w:hAnsi="Calibri"/>
        </w:rPr>
        <w:t xml:space="preserve"> (Zero price flagging).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Transactions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TX-01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20"/>
        </w:rPr>
        <w:t>MM/DD/YYYY</w:t>
      </w:r>
      <w:r>
        <w:rPr>
          <w:rFonts w:ascii="Calibri" w:hAnsi="Calibri"/>
        </w:rPr>
        <w:t xml:space="preserve"> &amp; </w:t>
      </w:r>
      <w:r>
        <w:rPr>
          <w:rFonts w:ascii="Consolas" w:hAnsi="Consolas"/>
          <w:color w:val="B42828"/>
          <w:sz w:val="20"/>
        </w:rPr>
        <w:t>DD-MM-YYYY</w:t>
      </w:r>
      <w:r>
        <w:rPr>
          <w:rFonts w:ascii="Calibri" w:hAnsi="Calibri"/>
        </w:rPr>
        <w:t xml:space="preserve"> date parsing), </w:t>
      </w:r>
      <w:r>
        <w:rPr>
          <w:rFonts w:ascii="Consolas" w:hAnsi="Consolas"/>
          <w:color w:val="B42828"/>
          <w:sz w:val="20"/>
        </w:rPr>
        <w:t>TX-02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20"/>
        </w:rPr>
        <w:t>$</w:t>
      </w:r>
      <w:r>
        <w:rPr>
          <w:rFonts w:ascii="Calibri" w:hAnsi="Calibri"/>
        </w:rPr>
        <w:t xml:space="preserve"> string currency parsing), </w:t>
      </w:r>
      <w:r>
        <w:rPr>
          <w:rFonts w:ascii="Consolas" w:hAnsi="Consolas"/>
          <w:color w:val="B42828"/>
          <w:sz w:val="20"/>
        </w:rPr>
        <w:t>TX-03</w:t>
      </w:r>
      <w:r>
        <w:rPr>
          <w:rFonts w:ascii="Calibri" w:hAnsi="Calibri"/>
        </w:rPr>
        <w:t xml:space="preserve"> (20 silent order discounts preserved), </w:t>
      </w:r>
      <w:r>
        <w:rPr>
          <w:rFonts w:ascii="Consolas" w:hAnsi="Consolas"/>
          <w:color w:val="B42828"/>
          <w:sz w:val="20"/>
        </w:rPr>
        <w:t>TX-04</w:t>
      </w:r>
      <w:r>
        <w:rPr>
          <w:rFonts w:ascii="Calibri" w:hAnsi="Calibri"/>
        </w:rPr>
        <w:t xml:space="preserve"> (Orphan store ID quarantine), </w:t>
      </w:r>
      <w:r>
        <w:rPr>
          <w:rFonts w:ascii="Consolas" w:hAnsi="Consolas"/>
          <w:color w:val="B42828"/>
          <w:sz w:val="20"/>
        </w:rPr>
        <w:t>TX-05</w:t>
      </w:r>
      <w:r>
        <w:rPr>
          <w:rFonts w:ascii="Calibri" w:hAnsi="Calibri"/>
        </w:rPr>
        <w:t xml:space="preserve"> (Orphan product ID quarantine), </w:t>
      </w:r>
      <w:r>
        <w:rPr>
          <w:rFonts w:ascii="Consolas" w:hAnsi="Consolas"/>
          <w:color w:val="B42828"/>
          <w:sz w:val="20"/>
        </w:rPr>
        <w:t>TX-06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B42828"/>
          <w:sz w:val="20"/>
        </w:rPr>
        <w:t>GUEST</w:t>
      </w:r>
      <w:r>
        <w:rPr>
          <w:rFonts w:ascii="Calibri" w:hAnsi="Calibri"/>
        </w:rPr>
        <w:t xml:space="preserve"> customer ID imputation), </w:t>
      </w:r>
      <w:r>
        <w:rPr>
          <w:rFonts w:ascii="Consolas" w:hAnsi="Consolas"/>
          <w:color w:val="B42828"/>
          <w:sz w:val="20"/>
        </w:rPr>
        <w:t>TX-07</w:t>
      </w:r>
      <w:r>
        <w:rPr>
          <w:rFonts w:ascii="Calibri" w:hAnsi="Calibri"/>
        </w:rPr>
        <w:t xml:space="preserve"> (Zero quantity quarantine), </w:t>
      </w:r>
      <w:r>
        <w:rPr>
          <w:rFonts w:ascii="Consolas" w:hAnsi="Consolas"/>
          <w:color w:val="B42828"/>
          <w:sz w:val="20"/>
        </w:rPr>
        <w:t>TX-08</w:t>
      </w:r>
      <w:r>
        <w:rPr>
          <w:rFonts w:ascii="Calibri" w:hAnsi="Calibri"/>
        </w:rPr>
        <w:t xml:space="preserve"> (Future-dated transaction quarantine), </w:t>
      </w:r>
      <w:r>
        <w:rPr>
          <w:rFonts w:ascii="Consolas" w:hAnsi="Consolas"/>
          <w:color w:val="B42828"/>
          <w:sz w:val="20"/>
        </w:rPr>
        <w:t>TX-09</w:t>
      </w:r>
      <w:r>
        <w:rPr>
          <w:rFonts w:ascii="Calibri" w:hAnsi="Calibri"/>
        </w:rPr>
        <w:t xml:space="preserve"> (Exact duplicate transaction dropping), </w:t>
      </w:r>
      <w:r>
        <w:rPr>
          <w:rFonts w:ascii="Consolas" w:hAnsi="Consolas"/>
          <w:color w:val="B42828"/>
          <w:sz w:val="20"/>
        </w:rPr>
        <w:t>TX-10</w:t>
      </w:r>
      <w:r>
        <w:rPr>
          <w:rFonts w:ascii="Calibri" w:hAnsi="Calibri"/>
        </w:rPr>
        <w:t xml:space="preserve"> (Negative return signed amount processing).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Audit Ledger</w:t>
      </w:r>
      <w:r>
        <w:rPr>
          <w:rFonts w:ascii="Calibri" w:hAnsi="Calibri"/>
        </w:rPr>
        <w:t xml:space="preserve">: 38 rejected rows written to </w:t>
      </w:r>
      <w:r>
        <w:rPr>
          <w:rFonts w:ascii="Consolas" w:hAnsi="Consolas"/>
          <w:color w:val="B42828"/>
          <w:sz w:val="20"/>
        </w:rPr>
        <w:t>output/quarantine/*.csv</w:t>
      </w:r>
      <w:r>
        <w:rPr>
          <w:rFonts w:ascii="Calibri" w:hAnsi="Calibri"/>
        </w:rPr>
        <w:t>. Silent discounts (</w:t>
      </w:r>
      <w:r>
        <w:rPr>
          <w:rFonts w:ascii="Consolas" w:hAnsi="Consolas"/>
          <w:color w:val="B42828"/>
          <w:sz w:val="20"/>
        </w:rPr>
        <w:t>TX-03</w:t>
      </w:r>
      <w:r>
        <w:rPr>
          <w:rFonts w:ascii="Calibri" w:hAnsi="Calibri"/>
        </w:rPr>
        <w:t>) preserved without recomputation.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3. Star Schema Data Warehouse (`src/warehouse/`)</w:t>
      </w:r>
    </w:p>
    <w:p>
      <w:pPr>
        <w:pStyle w:val="ListBullet"/>
        <w:spacing w:after="60" w:before="0"/>
      </w:pPr>
      <w:r>
        <w:rPr>
          <w:rFonts w:ascii="Calibri" w:hAnsi="Calibri"/>
        </w:rPr>
        <w:t>Built in SQLite (</w:t>
      </w:r>
      <w:r>
        <w:rPr>
          <w:rFonts w:ascii="Consolas" w:hAnsi="Consolas"/>
          <w:color w:val="B42828"/>
          <w:sz w:val="20"/>
        </w:rPr>
        <w:t>output/warehouse.db</w:t>
      </w:r>
      <w:r>
        <w:rPr>
          <w:rFonts w:ascii="Calibri" w:hAnsi="Calibri"/>
        </w:rPr>
        <w:t>).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5 Tables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dim_store</w:t>
      </w:r>
      <w:r>
        <w:rPr>
          <w:rFonts w:ascii="Calibri" w:hAnsi="Calibri"/>
        </w:rPr>
        <w:t>: Store dimension master (15 clean rows).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dim_product</w:t>
      </w:r>
      <w:r>
        <w:rPr>
          <w:rFonts w:ascii="Calibri" w:hAnsi="Calibri"/>
        </w:rPr>
        <w:t>: Product dimension master (30 clean rows).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dim_customer</w:t>
      </w:r>
      <w:r>
        <w:rPr>
          <w:rFonts w:ascii="Calibri" w:hAnsi="Calibri"/>
        </w:rPr>
        <w:t xml:space="preserve">: Customer dimension master (229 clean rows including </w:t>
      </w:r>
      <w:r>
        <w:rPr>
          <w:rFonts w:ascii="Consolas" w:hAnsi="Consolas"/>
          <w:color w:val="B42828"/>
          <w:sz w:val="20"/>
        </w:rPr>
        <w:t>GUEST</w:t>
      </w:r>
      <w:r>
        <w:rPr>
          <w:rFonts w:ascii="Calibri" w:hAnsi="Calibri"/>
        </w:rPr>
        <w:t xml:space="preserve"> sentinel).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dim_date</w:t>
      </w:r>
      <w:r>
        <w:rPr>
          <w:rFonts w:ascii="Calibri" w:hAnsi="Calibri"/>
        </w:rPr>
        <w:t>: Dense calendar dimension (90 days).</w:t>
      </w:r>
    </w:p>
    <w:p>
      <w:pPr>
        <w:pStyle w:val="ListBullet"/>
        <w:spacing w:after="60" w:before="0"/>
      </w:pPr>
      <w:r>
        <w:rPr>
          <w:rFonts w:ascii="Consolas" w:hAnsi="Consolas"/>
          <w:color w:val="B42828"/>
          <w:sz w:val="20"/>
        </w:rPr>
        <w:t>fact_sales</w:t>
      </w:r>
      <w:r>
        <w:rPr>
          <w:rFonts w:ascii="Calibri" w:hAnsi="Calibri"/>
        </w:rPr>
        <w:t>: Line-item sales fact table (474 sales &amp; return rows).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Integrity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PRAGMA foreign_keys = ON</w:t>
      </w:r>
      <w:r>
        <w:rPr>
          <w:rFonts w:ascii="Calibri" w:hAnsi="Calibri"/>
        </w:rPr>
        <w:t xml:space="preserve"> strictly enforced (</w:t>
      </w:r>
      <w:r>
        <w:rPr>
          <w:rFonts w:ascii="Calibri" w:hAnsi="Calibri"/>
          <w:b/>
        </w:rPr>
        <w:t>0 foreign key violations</w:t>
      </w:r>
      <w:r>
        <w:rPr>
          <w:rFonts w:ascii="Calibri" w:hAnsi="Calibri"/>
        </w:rPr>
        <w:t>).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4. SQL Business Analytics (`src/analytics/`)</w:t>
      </w:r>
    </w:p>
    <w:p>
      <w:pPr>
        <w:pStyle w:val="ListBullet"/>
        <w:spacing w:after="60" w:before="0"/>
      </w:pPr>
      <w:r>
        <w:rPr>
          <w:rFonts w:ascii="Calibri" w:hAnsi="Calibri"/>
        </w:rPr>
        <w:t>Executes 5 required business metrics + revenue tie-out in declarative SQL: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Top 5 Stores by Net Revenue (Recent 30 Days)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Month-over-Month Revenue Growth by Category</w:t>
      </w:r>
      <w:r>
        <w:rPr>
          <w:rFonts w:ascii="Calibri" w:hAnsi="Calibri"/>
        </w:rPr>
        <w:t xml:space="preserve"> (with partial-month June warning)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Return Rate by Store</w:t>
      </w:r>
      <w:r>
        <w:rPr>
          <w:rFonts w:ascii="Calibri" w:hAnsi="Calibri"/>
        </w:rPr>
        <w:t xml:space="preserve"> (Transaction &amp; Unit rates evaluated against 10% threshold)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Average Transaction Value by Region</w:t>
      </w:r>
      <w:r>
        <w:rPr>
          <w:rFonts w:ascii="Calibri" w:hAnsi="Calibri"/>
        </w:rPr>
        <w:t xml:space="preserve"> (excl. returns)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Top 10 Customers by Lifetime Spend</w:t>
      </w:r>
      <w:r>
        <w:rPr>
          <w:rFonts w:ascii="Calibri" w:hAnsi="Calibri"/>
        </w:rPr>
        <w:t xml:space="preserve"> (excl. anonymous </w:t>
      </w:r>
      <w:r>
        <w:rPr>
          <w:rFonts w:ascii="Consolas" w:hAnsi="Consolas"/>
          <w:color w:val="B42828"/>
          <w:sz w:val="20"/>
        </w:rPr>
        <w:t>GUEST</w:t>
      </w:r>
      <w:r>
        <w:rPr>
          <w:rFonts w:ascii="Calibri" w:hAnsi="Calibri"/>
        </w:rPr>
        <w:t>)</w:t>
      </w:r>
    </w:p>
    <w:p>
      <w:pPr>
        <w:pStyle w:val="ListNumber"/>
        <w:spacing w:after="60" w:before="0"/>
      </w:pPr>
      <w:r>
        <w:rPr>
          <w:rFonts w:ascii="Calibri" w:hAnsi="Calibri"/>
          <w:b/>
        </w:rPr>
        <w:t>Revenue Reconciliation Tie-out</w:t>
      </w:r>
      <w:r>
        <w:rPr>
          <w:rFonts w:ascii="Calibri" w:hAnsi="Calibri"/>
        </w:rPr>
        <w:t xml:space="preserve"> ($0.00 delta across 474 fact rows)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5. Automated Verification &amp; Test Suite (`tests/`)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27 Pytest Tests</w:t>
      </w:r>
      <w:r>
        <w:rPr>
          <w:rFonts w:ascii="Calibri" w:hAnsi="Calibri"/>
        </w:rPr>
        <w:t xml:space="preserve"> verifying cleaning rules, FK constraints, tie-outs, and idempotency.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Pass Rate</w:t>
      </w:r>
      <w:r>
        <w:rPr>
          <w:rFonts w:ascii="Calibri" w:hAnsi="Calibri"/>
        </w:rPr>
        <w:t>: 100% (27/27 passed in 0.95s).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Displayed in the dashboard's </w:t>
      </w:r>
      <w:r>
        <w:rPr>
          <w:rFonts w:ascii="Calibri" w:hAnsi="Calibri"/>
          <w:b/>
        </w:rPr>
        <w:t>Validation &amp; Tests</w:t>
      </w:r>
      <w:r>
        <w:rPr>
          <w:rFonts w:ascii="Calibri" w:hAnsi="Calibri"/>
        </w:rPr>
        <w:t xml:space="preserve"> view.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6. Verification Dashboard (`dashboard/`)</w:t>
      </w:r>
    </w:p>
    <w:p>
      <w:pPr>
        <w:pStyle w:val="ListBullet"/>
        <w:spacing w:after="60" w:before="0"/>
      </w:pPr>
      <w:r>
        <w:rPr>
          <w:rFonts w:ascii="Calibri" w:hAnsi="Calibri"/>
        </w:rPr>
        <w:t>Modern Next.js single-page application with 7 tabbed views.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Features a </w:t>
      </w:r>
      <w:r>
        <w:rPr>
          <w:rFonts w:ascii="Calibri" w:hAnsi="Calibri"/>
          <w:b/>
        </w:rPr>
        <w:t>Reviewer Guide</w:t>
      </w:r>
      <w:r>
        <w:rPr>
          <w:rFonts w:ascii="Calibri" w:hAnsi="Calibri"/>
        </w:rPr>
        <w:t xml:space="preserve"> side drawer for interactive exploration of code snippets, annotations, and talking points.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