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b/>
          <w:color w:val="0F172A"/>
          <w:sz w:val="34"/>
        </w:rPr>
        <w:t>Robust Open-Set Speaker Identification and Biometric Template Protection in VoicePrint: A Case Study on Centroid Outlier Rejection, Cosine Metric Thresholding, and Anti-Spoofing Countermeasures</w:t>
      </w:r>
    </w:p>
    <w:p>
      <w:pPr>
        <w:spacing w:after="100" w:line="276" w:lineRule="auto"/>
        <w:jc w:val="center"/>
      </w:pPr>
      <w:r>
        <w:rPr>
          <w:rFonts w:ascii="Calibri" w:hAnsi="Calibri"/>
          <w:b/>
          <w:color w:val="0F172A"/>
          <w:sz w:val="22"/>
        </w:rPr>
        <w:t>Battiprolu Karthik</w:t>
      </w:r>
    </w:p>
    <w:p>
      <w:pPr>
        <w:spacing w:after="100" w:line="276" w:lineRule="auto"/>
        <w:jc w:val="center"/>
      </w:pPr>
      <w:r>
        <w:rPr>
          <w:rFonts w:ascii="Calibri" w:hAnsi="Calibri"/>
          <w:i/>
          <w:color w:val="475569"/>
          <w:sz w:val="19"/>
        </w:rPr>
        <w:t>Department of Artificial Intelligence &amp; Machine Learning</w:t>
      </w:r>
    </w:p>
    <w:p>
      <w:pPr>
        <w:spacing w:after="100" w:line="276" w:lineRule="auto"/>
      </w:pPr>
      <w:r>
        <w:rPr>
          <w:rFonts w:ascii="Calibri" w:hAnsi="Calibri"/>
          <w:color w:val="1E293B"/>
          <w:sz w:val="19"/>
        </w:rPr>
        <w:t>Advanced Artificial Neural Networks Laboratory</w:t>
      </w:r>
    </w:p>
    <w:p>
      <w:pPr>
        <w:spacing w:after="100" w:line="276" w:lineRule="auto"/>
        <w:jc w:val="center"/>
      </w:pPr>
      <w:r>
        <w:rPr>
          <w:rFonts w:ascii="Calibri" w:hAnsi="Calibri"/>
          <w:i/>
          <w:color w:val="475569"/>
          <w:sz w:val="19"/>
        </w:rPr>
        <w:t>Chaitanya Bharathi Institute of Technology (CBIT), Hyderabad, India</w:t>
      </w:r>
    </w:p>
    <w:p>
      <w:pPr>
        <w:spacing w:after="100" w:line="276" w:lineRule="auto"/>
        <w:jc w:val="center"/>
      </w:pPr>
      <w:r>
        <w:rPr>
          <w:rFonts w:ascii="Calibri" w:hAnsi="Calibri"/>
          <w:i/>
          <w:color w:val="475569"/>
          <w:sz w:val="19"/>
        </w:rPr>
        <w:t>Guide / Lab Supervisor: Advanced Artificial Neural Networks Laboratory</w:t>
      </w:r>
    </w:p>
    <w:p>
      <w:pPr>
        <w:spacing w:after="120" w:before="120"/>
        <w:jc w:val="center"/>
      </w:pPr>
      <w:r>
        <w:rPr>
          <w:color w:val="CBD5E1"/>
        </w:rPr>
        <w:t>―――――――――――――――――――――――――――――――――――――――――――――</w:t>
      </w:r>
    </w:p>
    <w:p>
      <w:pPr>
        <w:pStyle w:val="Heading1"/>
        <w:keepNext/>
        <w:spacing w:before="280" w:after="80"/>
      </w:pPr>
      <w:r>
        <w:rPr>
          <w:rFonts w:ascii="Calibri" w:hAnsi="Calibri"/>
          <w:b/>
          <w:color w:val="0F172A"/>
          <w:sz w:val="26"/>
        </w:rPr>
        <w:t>Abstract</w:t>
      </w:r>
    </w:p>
    <w:p>
      <w:pPr>
        <w:spacing w:after="100" w:line="276" w:lineRule="auto"/>
      </w:pPr>
      <w:r>
        <w:rPr>
          <w:rFonts w:ascii="Calibri" w:hAnsi="Calibri"/>
          <w:color w:val="1E293B"/>
          <w:sz w:val="19"/>
        </w:rPr>
        <w:t xml:space="preserve">While closed-set speaker verification (1:1 matching) has achieved high accuracy through deep embedding architectures, open-set speaker identification (1:N matching over unconstrained speaker registries) presents severe vulnerabilities: enrollment sample contamination, catastrophic false acceptances from zero-effort impostors, adversarial replay/synthesis spoofing, and biometric template theft. In real-world enrollment, non-stationary background noise, transient acoustic artifacts, or accidental multi-speaker voice mixing can degrade the enrolled voiceprint centroid, drastically shrinking genuine-impostor score margins. This study investigates the security, robustness, and template protection mechanisms within </w:t>
      </w:r>
      <w:r>
        <w:rPr>
          <w:rFonts w:ascii="Calibri" w:hAnsi="Calibri"/>
          <w:b/>
          <w:color w:val="0F172A"/>
          <w:sz w:val="19"/>
        </w:rPr>
        <w:t>VoicePrint</w:t>
      </w:r>
      <w:r>
        <w:rPr>
          <w:rFonts w:ascii="Calibri" w:hAnsi="Calibri"/>
          <w:color w:val="1E293B"/>
          <w:sz w:val="19"/>
        </w:rPr>
        <w:t xml:space="preserve">, a deep neural voice biometric system operating on 192-dimensional ECAPA-TDNN hyperspherical embeddings ($\mathbb{S}^{191}$). We propose an automated </w:t>
      </w:r>
      <w:r>
        <w:rPr>
          <w:rFonts w:ascii="Calibri" w:hAnsi="Calibri"/>
          <w:b/>
          <w:color w:val="0F172A"/>
          <w:sz w:val="19"/>
        </w:rPr>
        <w:t>Centroid Outlier Rejection Algorithm</w:t>
      </w:r>
      <w:r>
        <w:rPr>
          <w:rFonts w:ascii="Calibri" w:hAnsi="Calibri"/>
          <w:color w:val="1E293B"/>
          <w:sz w:val="19"/>
        </w:rPr>
        <w:t xml:space="preserve"> grounded in statistical Interquartile Range (IQR) filtering over pairwise cosine disparity matrices. Empirical validation demonstrates that purifying enrollment clusters increases intra-speaker similarity from an unstable $0.5062 \pm 0.175$ to a robust $0.8452 \pm 0.041$, yielding $100\%$ verification accuracy across target trials while rejecting $100\%$ of out-of-distribution impostors. To guarantee operational security under the Neyman-Pearson decision framework, we calibrate an optimal decision threshold at $\tau = 0.70$, suppressing False Acceptance Rate (FAR) to $0.40\%$ while maintaining False Rejection Rate (FRR) at $0.60\%$. Furthermore, we evaluate anti-spoofing countermeasures against neural text-to-speech (TTS), voice conversion (VC), and physical acoustic replay attacks using spectral flux and high-frequency roll-off heuristics. Finally, to eliminate the vulnerability of biometric template inversion, VoicePrint deploys an AES-256-GCM cryptographic envelope that encrypts hyperspherical embedding vectors at rest, ensuring irreversible, revocable template protection. The complete security and identification architecture is integrated into the VoicePrint production web platform, featuring an interactive Biometric Security Console, real-time threshold calibration, and pairwise cross-profile distance heatmaps.</w:t>
      </w:r>
    </w:p>
    <w:p>
      <w:pPr>
        <w:spacing w:after="100" w:line="276" w:lineRule="auto"/>
      </w:pPr>
      <w:r>
        <w:rPr>
          <w:rFonts w:ascii="Calibri" w:hAnsi="Calibri"/>
          <w:color w:val="1E293B"/>
          <w:sz w:val="19"/>
        </w:rPr>
      </w:r>
      <w:r>
        <w:rPr>
          <w:rFonts w:ascii="Calibri" w:hAnsi="Calibri"/>
          <w:b/>
          <w:color w:val="0F172A"/>
          <w:sz w:val="19"/>
        </w:rPr>
        <w:t>Keywords</w:t>
      </w:r>
      <w:r>
        <w:rPr>
          <w:rFonts w:ascii="Calibri" w:hAnsi="Calibri"/>
          <w:color w:val="1E293B"/>
          <w:sz w:val="19"/>
        </w:rPr>
        <w:t>—Open-set speaker identification, voice biometrics, centroid outlier rejection, interquartile range, cosine similarity, Neyman-Pearson thresholding, anti-spoofing, biometric template protection, AES-256-GCM, ECAPA-TDNN.</w:t>
      </w:r>
    </w:p>
    <w:p>
      <w:pPr>
        <w:spacing w:after="120" w:before="120"/>
        <w:jc w:val="center"/>
      </w:pPr>
      <w:r>
        <w:rPr>
          <w:color w:val="CBD5E1"/>
        </w:rPr>
        <w:t>―――――――――――――――――――――――――――――――――――――――――――――</w:t>
      </w:r>
    </w:p>
    <w:p>
      <w:pPr>
        <w:pStyle w:val="Heading1"/>
        <w:keepNext/>
        <w:spacing w:before="280" w:after="80"/>
      </w:pPr>
      <w:r>
        <w:rPr>
          <w:rFonts w:ascii="Calibri" w:hAnsi="Calibri"/>
          <w:b/>
          <w:color w:val="0F172A"/>
          <w:sz w:val="26"/>
        </w:rPr>
        <w:t>1. Introduction</w:t>
      </w:r>
    </w:p>
    <w:p>
      <w:pPr>
        <w:spacing w:after="100" w:line="276" w:lineRule="auto"/>
      </w:pPr>
      <w:r>
        <w:rPr>
          <w:rFonts w:ascii="Calibri" w:hAnsi="Calibri"/>
          <w:color w:val="1E293B"/>
          <w:sz w:val="19"/>
        </w:rPr>
        <w:t>Biometric access control systems increasingly rely on voice as an identity factor due to its friction-free, touchless user experience and natural compatibility with modern edge and mobile hardware (Hansen &amp; Hasan, 2015). However, operational deployment reveals that speaker recognition encompasses two fundamentally distinct operational paradigms:</w:t>
      </w:r>
    </w:p>
    <w:p>
      <w:pPr>
        <w:spacing w:after="60" w:line="276" w:lineRule="auto"/>
        <w:ind w:left="360"/>
      </w:pPr>
      <w:r>
        <w:rPr>
          <w:rFonts w:ascii="Calibri" w:hAnsi="Calibri"/>
          <w:b/>
          <w:color w:val="1E3A8A"/>
          <w:sz w:val="19"/>
        </w:rPr>
        <w:t xml:space="preserve">1. </w:t>
      </w:r>
      <w:r>
        <w:rPr>
          <w:rFonts w:ascii="Calibri" w:hAnsi="Calibri"/>
          <w:b/>
          <w:color w:val="0F172A"/>
          <w:sz w:val="19"/>
        </w:rPr>
        <w:t>Speaker Verification (1:1 Matching)</w:t>
      </w:r>
      <w:r>
        <w:rPr>
          <w:rFonts w:ascii="Calibri" w:hAnsi="Calibri"/>
          <w:color w:val="1E293B"/>
          <w:sz w:val="19"/>
        </w:rPr>
        <w:t>: The user provides an acoustic probe alongside an explicit identity claim (e.g., username or account ID). The system evaluates the hypothesis $H_0$ (the speaker is the claimant) against $H_1$ (the speaker is an impostor).</w:t>
      </w:r>
    </w:p>
    <w:p>
      <w:pPr>
        <w:spacing w:after="60" w:line="276" w:lineRule="auto"/>
        <w:ind w:left="360"/>
      </w:pPr>
      <w:r>
        <w:rPr>
          <w:rFonts w:ascii="Calibri" w:hAnsi="Calibri"/>
          <w:b/>
          <w:color w:val="1E3A8A"/>
          <w:sz w:val="19"/>
        </w:rPr>
        <w:t xml:space="preserve">2. </w:t>
      </w:r>
      <w:r>
        <w:rPr>
          <w:rFonts w:ascii="Calibri" w:hAnsi="Calibri"/>
          <w:b/>
          <w:color w:val="0F172A"/>
          <w:sz w:val="19"/>
        </w:rPr>
        <w:t>Open-Set Speaker Identification (1:N Matching)</w:t>
      </w:r>
      <w:r>
        <w:rPr>
          <w:rFonts w:ascii="Calibri" w:hAnsi="Calibri"/>
          <w:color w:val="1E293B"/>
          <w:sz w:val="19"/>
        </w:rPr>
        <w:t>: The user provides an acoustic probe *without* claiming an identity. The system must search an enrollment registry of $N$ identities to find the closest match, while retaining the capability to output an "Unknown / Unregistered" rejection if the maximum similarity score fails to satisfy a strict operational threshold (Kinnunen &amp; Li, 2010).</w:t>
      </w:r>
    </w:p>
    <w:p>
      <w:pPr>
        <w:spacing w:after="100" w:line="276" w:lineRule="auto"/>
      </w:pPr>
      <w:r>
        <w:rPr>
          <w:rFonts w:ascii="Calibri" w:hAnsi="Calibri"/>
          <w:color w:val="1E293B"/>
          <w:sz w:val="19"/>
        </w:rPr>
        <w:t>Open-set identification is mathematically far more fragile than 1:1 verification. In a database of $N$ enrolled speakers, the cumulative probability of a false acceptance scales exponentially with registry size: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\text{FAR}_{\text{system}}(N) = 1 - (1 - \text{FAR}_{1:1})^N</w:t>
            </w:r>
          </w:p>
        </w:tc>
      </w:tr>
    </w:tbl>
    <w:p>
      <w:pPr>
        <w:spacing w:after="40"/>
      </w:pPr>
    </w:p>
    <w:p>
      <w:pPr>
        <w:spacing w:after="100" w:line="276" w:lineRule="auto"/>
      </w:pPr>
      <w:r>
        <w:rPr>
          <w:rFonts w:ascii="Calibri" w:hAnsi="Calibri"/>
          <w:color w:val="1E293B"/>
          <w:sz w:val="19"/>
        </w:rPr>
        <w:t>Even if the underlying model exhibits a low 1:1 False Acceptance Rate ($\text{FAR}_{1:1} = 0.01$), an open-set search across $N = 100$ enrolled profiles results in a catastrophic system-wide false acceptance probability of $\text{FAR}_{\text{system}} \approx 63.4\%$ if unconstrained.</w:t>
      </w:r>
    </w:p>
    <w:p>
      <w:pPr>
        <w:spacing w:after="100" w:line="276" w:lineRule="auto"/>
      </w:pPr>
      <w:r>
        <w:rPr>
          <w:rFonts w:ascii="Calibri" w:hAnsi="Calibri"/>
          <w:color w:val="1E293B"/>
          <w:sz w:val="19"/>
        </w:rPr>
        <w:t xml:space="preserve">A second critical vulnerability lies in </w:t>
      </w:r>
      <w:r>
        <w:rPr>
          <w:rFonts w:ascii="Calibri" w:hAnsi="Calibri"/>
          <w:b/>
          <w:color w:val="0F172A"/>
          <w:sz w:val="19"/>
        </w:rPr>
        <w:t>enrollment contamination</w:t>
      </w:r>
      <w:r>
        <w:rPr>
          <w:rFonts w:ascii="Calibri" w:hAnsi="Calibri"/>
          <w:color w:val="1E293B"/>
          <w:sz w:val="19"/>
        </w:rPr>
        <w:t>. Deep embedding models such as ECAPA-TDNN (Desplanques, Thienpondt, &amp; Demuynck, 2020) compress variable-length speech into fixed-dimensional vectors ($d = 192$). In conventional practice, multiple enrollment recordings are combined via arithmetic vector averaging to synthesize the user's permanent voiceprint centroid $\mathbf{c}_{\text{profile}}$. However, if a single enrollment recording is contaminated by background speech (e.g., a colleague talking in the background), acoustic clipping, or severe cough transients, the resulting vector $\mathbf{e}_{\text{corrupt}}$ drastically pulls the centroid away from the true speaker manifold. In laboratory stress testing, multi-speaker enrollment contamination dropped the mean intra-class similarity from $0.845$ down to $0.506$, causing genuine verification to fail intermittently and rendering the system vulnerable to false acceptances from unrelated third parties.</w:t>
      </w:r>
    </w:p>
    <w:p>
      <w:pPr>
        <w:spacing w:after="100" w:line="276" w:lineRule="auto"/>
      </w:pPr>
      <w:r>
        <w:rPr>
          <w:rFonts w:ascii="Calibri" w:hAnsi="Calibri"/>
          <w:color w:val="1E293B"/>
          <w:sz w:val="19"/>
        </w:rPr>
        <w:t xml:space="preserve">A third existential threat in modern voice biometrics is </w:t>
      </w:r>
      <w:r>
        <w:rPr>
          <w:rFonts w:ascii="Calibri" w:hAnsi="Calibri"/>
          <w:b/>
          <w:color w:val="0F172A"/>
          <w:sz w:val="19"/>
        </w:rPr>
        <w:t>biometric template vulnerability</w:t>
      </w:r>
      <w:r>
        <w:rPr>
          <w:rFonts w:ascii="Calibri" w:hAnsi="Calibri"/>
          <w:color w:val="1E293B"/>
          <w:sz w:val="19"/>
        </w:rPr>
        <w:t xml:space="preserve"> and </w:t>
      </w:r>
      <w:r>
        <w:rPr>
          <w:rFonts w:ascii="Calibri" w:hAnsi="Calibri"/>
          <w:b/>
          <w:color w:val="0F172A"/>
          <w:sz w:val="19"/>
        </w:rPr>
        <w:t>presentation attacks</w:t>
      </w:r>
      <w:r>
        <w:rPr>
          <w:rFonts w:ascii="Calibri" w:hAnsi="Calibri"/>
          <w:color w:val="1E293B"/>
          <w:sz w:val="19"/>
        </w:rPr>
        <w:t xml:space="preserve"> (Wu et al., 2015; Yamagishi et al., 2021):</w:t>
      </w:r>
    </w:p>
    <w:p>
      <w:pPr>
        <w:pStyle w:val="ListBullet"/>
        <w:spacing w:after="60" w:line="276" w:lineRule="auto"/>
      </w:pPr>
      <w:r>
        <w:rPr>
          <w:rFonts w:ascii="Calibri" w:hAnsi="Calibri"/>
          <w:b/>
          <w:color w:val="0F172A"/>
          <w:sz w:val="19"/>
        </w:rPr>
        <w:t>Adversarial Spoofing</w:t>
      </w:r>
      <w:r>
        <w:rPr>
          <w:rFonts w:ascii="Calibri" w:hAnsi="Calibri"/>
          <w:color w:val="1E293B"/>
          <w:sz w:val="19"/>
        </w:rPr>
        <w:t>: Advances in neural Text-to-Speech (TTS) (such as VITS and FastSpeech2) and Voice Conversion (VC) allow malicious actors to synthesize speech matching a victim's vocal timbre using only a few seconds of reference audio. Physical replay attacks—where high-fidelity recordings of a legitimate user are replayed via a secondary loudspeaker—present an equally accessible zero-effort exploit.</w:t>
      </w:r>
    </w:p>
    <w:p>
      <w:pPr>
        <w:pStyle w:val="ListBullet"/>
        <w:spacing w:after="60" w:line="276" w:lineRule="auto"/>
      </w:pPr>
      <w:r>
        <w:rPr>
          <w:rFonts w:ascii="Calibri" w:hAnsi="Calibri"/>
          <w:b/>
          <w:color w:val="0F172A"/>
          <w:sz w:val="19"/>
        </w:rPr>
        <w:t>Template Inversion Attacks</w:t>
      </w:r>
      <w:r>
        <w:rPr>
          <w:rFonts w:ascii="Calibri" w:hAnsi="Calibri"/>
          <w:color w:val="1E293B"/>
          <w:sz w:val="19"/>
        </w:rPr>
        <w:t>: If an adversary gains unauthorized read access to a database of raw, unencrypted floating-point voice embeddings, inverse neural vocoders (e.g., HiFi-GAN) can be trained to reconstruct synthetic speech waveforms directly from the embedding vectors, permanently compromising the user's biometric identity across all systems (Mai, Macdonald, &amp; Marcel, 2020).</w:t>
      </w:r>
    </w:p>
    <w:p>
      <w:pPr>
        <w:spacing w:after="100" w:line="276" w:lineRule="auto"/>
      </w:pPr>
      <w:r>
        <w:rPr>
          <w:rFonts w:ascii="Calibri" w:hAnsi="Calibri"/>
          <w:color w:val="1E293B"/>
          <w:sz w:val="19"/>
        </w:rPr>
        <w:t xml:space="preserve">To overcome these structural security challenges, this paper presents a comprehensive case study on </w:t>
      </w:r>
      <w:r>
        <w:rPr>
          <w:rFonts w:ascii="Calibri" w:hAnsi="Calibri"/>
          <w:b/>
          <w:color w:val="0F172A"/>
          <w:sz w:val="19"/>
        </w:rPr>
        <w:t>Robust Open-Set Speaker Identification, Centroid Outlier Rejection, and Biometric Template Protection</w:t>
      </w:r>
      <w:r>
        <w:rPr>
          <w:rFonts w:ascii="Calibri" w:hAnsi="Calibri"/>
          <w:color w:val="1E293B"/>
          <w:sz w:val="19"/>
        </w:rPr>
        <w:t xml:space="preserve"> implemented within the </w:t>
      </w:r>
      <w:r>
        <w:rPr>
          <w:rFonts w:ascii="Calibri" w:hAnsi="Calibri"/>
          <w:b/>
          <w:color w:val="0F172A"/>
          <w:sz w:val="19"/>
        </w:rPr>
        <w:t>VoicePrint</w:t>
      </w:r>
      <w:r>
        <w:rPr>
          <w:rFonts w:ascii="Calibri" w:hAnsi="Calibri"/>
          <w:color w:val="1E293B"/>
          <w:sz w:val="19"/>
        </w:rPr>
        <w:t xml:space="preserve"> architecture. The main contributions of this study are:</w:t>
      </w:r>
    </w:p>
    <w:p>
      <w:pPr>
        <w:spacing w:after="60" w:line="276" w:lineRule="auto"/>
        <w:ind w:left="360"/>
      </w:pPr>
      <w:r>
        <w:rPr>
          <w:rFonts w:ascii="Calibri" w:hAnsi="Calibri"/>
          <w:b/>
          <w:color w:val="1E3A8A"/>
          <w:sz w:val="19"/>
        </w:rPr>
        <w:t xml:space="preserve">1. </w:t>
      </w:r>
      <w:r>
        <w:rPr>
          <w:rFonts w:ascii="Calibri" w:hAnsi="Calibri"/>
          <w:b/>
          <w:color w:val="0F172A"/>
          <w:sz w:val="19"/>
        </w:rPr>
        <w:t>Statistical Centroid Outlier Rejection</w:t>
      </w:r>
      <w:r>
        <w:rPr>
          <w:rFonts w:ascii="Calibri" w:hAnsi="Calibri"/>
          <w:color w:val="1E293B"/>
          <w:sz w:val="19"/>
        </w:rPr>
        <w:t>: A fully automated outlier filtering algorithm based on pairwise cosine disparity matrices and Interquartile Range (IQR) statistics, ensuring that contaminated, noisy, or cross-speaker enrollment clips are identified and discarded prior to centroid projection.</w:t>
      </w:r>
    </w:p>
    <w:p>
      <w:pPr>
        <w:spacing w:after="60" w:line="276" w:lineRule="auto"/>
        <w:ind w:left="360"/>
      </w:pPr>
      <w:r>
        <w:rPr>
          <w:rFonts w:ascii="Calibri" w:hAnsi="Calibri"/>
          <w:b/>
          <w:color w:val="1E3A8A"/>
          <w:sz w:val="19"/>
        </w:rPr>
        <w:t xml:space="preserve">2. </w:t>
      </w:r>
      <w:r>
        <w:rPr>
          <w:rFonts w:ascii="Calibri" w:hAnsi="Calibri"/>
          <w:b/>
          <w:color w:val="0F172A"/>
          <w:sz w:val="19"/>
        </w:rPr>
        <w:t>Neyman-Pearson Threshold Calibration</w:t>
      </w:r>
      <w:r>
        <w:rPr>
          <w:rFonts w:ascii="Calibri" w:hAnsi="Calibri"/>
          <w:color w:val="1E293B"/>
          <w:sz w:val="19"/>
        </w:rPr>
        <w:t>: A rigorous decision-theoretic derivation of the operational verification threshold ($\tau = 0.70$) that minimizes False Acceptance Rate under strict enterprise access policies.</w:t>
      </w:r>
    </w:p>
    <w:p>
      <w:pPr>
        <w:spacing w:after="60" w:line="276" w:lineRule="auto"/>
        <w:ind w:left="360"/>
      </w:pPr>
      <w:r>
        <w:rPr>
          <w:rFonts w:ascii="Calibri" w:hAnsi="Calibri"/>
          <w:b/>
          <w:color w:val="1E3A8A"/>
          <w:sz w:val="19"/>
        </w:rPr>
        <w:t xml:space="preserve">3. </w:t>
      </w:r>
      <w:r>
        <w:rPr>
          <w:rFonts w:ascii="Calibri" w:hAnsi="Calibri"/>
          <w:b/>
          <w:color w:val="0F172A"/>
          <w:sz w:val="19"/>
        </w:rPr>
        <w:t>Passive Liveness and Anti-Spoofing Safeguards</w:t>
      </w:r>
      <w:r>
        <w:rPr>
          <w:rFonts w:ascii="Calibri" w:hAnsi="Calibri"/>
          <w:color w:val="1E293B"/>
          <w:sz w:val="19"/>
        </w:rPr>
        <w:t>: A multi-feature spectral inspection module utilizing spectral flux, high-frequency roll-off, and energy entropy to detect physical loudspeaker replay artifacts and unnatural synthetic vocoder cutoffs.</w:t>
      </w:r>
    </w:p>
    <w:p>
      <w:pPr>
        <w:spacing w:after="60" w:line="276" w:lineRule="auto"/>
        <w:ind w:left="360"/>
      </w:pPr>
      <w:r>
        <w:rPr>
          <w:rFonts w:ascii="Calibri" w:hAnsi="Calibri"/>
          <w:b/>
          <w:color w:val="1E3A8A"/>
          <w:sz w:val="19"/>
        </w:rPr>
        <w:t xml:space="preserve">4. </w:t>
      </w:r>
      <w:r>
        <w:rPr>
          <w:rFonts w:ascii="Calibri" w:hAnsi="Calibri"/>
          <w:b/>
          <w:color w:val="0F172A"/>
          <w:sz w:val="19"/>
        </w:rPr>
        <w:t>Cryptographic Biometric Template Protection</w:t>
      </w:r>
      <w:r>
        <w:rPr>
          <w:rFonts w:ascii="Calibri" w:hAnsi="Calibri"/>
          <w:color w:val="1E293B"/>
          <w:sz w:val="19"/>
        </w:rPr>
        <w:t>: An implementation of AES-256-GCM authenticated symmetric encryption that protects enrolled voiceprint centroids at rest, ensuring confidentiality, integrity, and non-invertibility without sacrificing search latency.</w:t>
      </w:r>
    </w:p>
    <w:p>
      <w:pPr>
        <w:spacing w:after="60" w:line="276" w:lineRule="auto"/>
        <w:ind w:left="360"/>
      </w:pPr>
      <w:r>
        <w:rPr>
          <w:rFonts w:ascii="Calibri" w:hAnsi="Calibri"/>
          <w:b/>
          <w:color w:val="1E3A8A"/>
          <w:sz w:val="19"/>
        </w:rPr>
        <w:t xml:space="preserve">5. </w:t>
      </w:r>
      <w:r>
        <w:rPr>
          <w:rFonts w:ascii="Calibri" w:hAnsi="Calibri"/>
          <w:b/>
          <w:color w:val="0F172A"/>
          <w:sz w:val="19"/>
        </w:rPr>
        <w:t>Interactive Biometric Security Console</w:t>
      </w:r>
      <w:r>
        <w:rPr>
          <w:rFonts w:ascii="Calibri" w:hAnsi="Calibri"/>
          <w:color w:val="1E293B"/>
          <w:sz w:val="19"/>
        </w:rPr>
        <w:t>: Integration into the VoicePrint production web platform, providing real-time threshold sensitivity tuning, cross-profile similarity matrix heatmaps, and outlier rejection visual diagnostics.</w:t>
      </w:r>
    </w:p>
    <w:p>
      <w:pPr>
        <w:spacing w:after="100" w:line="276" w:lineRule="auto"/>
      </w:pPr>
      <w:r>
        <w:rPr>
          <w:rFonts w:ascii="Calibri" w:hAnsi="Calibri"/>
          <w:color w:val="1E293B"/>
          <w:sz w:val="19"/>
        </w:rPr>
        <w:t>The rest of the paper is organized as follows. Section 2 surveys metric learning, biometric clustering, and anti-spoofing literature. Section 3 details the mathematical formulation of our outlier rejection, threshold calibration, and encryption algorithms. Section 4 presents empirical stress-testing results on contaminated audio and hardware latency profiles. Section 5 describes the web platform security console. Section 6 discusses security trade-offs, attack surfaces, and edge constraints. Section 7 concludes the study.</w:t>
      </w:r>
    </w:p>
    <w:p>
      <w:pPr>
        <w:spacing w:after="120" w:before="120"/>
        <w:jc w:val="center"/>
      </w:pPr>
      <w:r>
        <w:rPr>
          <w:color w:val="CBD5E1"/>
        </w:rPr>
        <w:t>―――――――――――――――――――――――――――――――――――――――――――――</w:t>
      </w:r>
    </w:p>
    <w:p>
      <w:pPr>
        <w:pStyle w:val="Heading1"/>
        <w:keepNext/>
        <w:spacing w:before="280" w:after="80"/>
      </w:pPr>
      <w:r>
        <w:rPr>
          <w:rFonts w:ascii="Calibri" w:hAnsi="Calibri"/>
          <w:b/>
          <w:color w:val="0F172A"/>
          <w:sz w:val="26"/>
        </w:rPr>
        <w:t>2. Literature Review</w:t>
      </w:r>
    </w:p>
    <w:p>
      <w:pPr>
        <w:pStyle w:val="Heading2"/>
        <w:keepNext/>
        <w:spacing w:before="200" w:after="60"/>
      </w:pPr>
      <w:r>
        <w:rPr>
          <w:rFonts w:ascii="Calibri" w:hAnsi="Calibri"/>
          <w:b/>
          <w:color w:val="1E3A8A"/>
          <w:sz w:val="22"/>
        </w:rPr>
        <w:t>2.1 Metric Learning and Vector Space Geometry in Speech</w:t>
      </w:r>
    </w:p>
    <w:p>
      <w:pPr>
        <w:spacing w:after="100" w:line="276" w:lineRule="auto"/>
      </w:pPr>
      <w:r>
        <w:rPr>
          <w:rFonts w:ascii="Calibri" w:hAnsi="Calibri"/>
          <w:color w:val="1E293B"/>
          <w:sz w:val="19"/>
        </w:rPr>
        <w:t>Speaker recognition relies on learning an embedding space $\mathcal{X} \to \mathbb{R}^D$ where representations from the same speaker exhibit minimal intra-class distance while representations from different speakers maximize inter-class margin. In early systems, Euclidean distance $\|\mathbf{x} - \mathbf{y}\|_2$ was widely employed (Variani et al., 2014). However, as shown by Schroff, Kalenichenko, and Philbin (2015) and Deng et al. (2019), unconstrained Euclidean space allows embedding norms to scale with sample energy or duration, producing unwanted non-speaker clustering.</w:t>
      </w:r>
    </w:p>
    <w:p>
      <w:pPr>
        <w:spacing w:after="100" w:line="276" w:lineRule="auto"/>
      </w:pPr>
      <w:r>
        <w:rPr>
          <w:rFonts w:ascii="Calibri" w:hAnsi="Calibri"/>
          <w:color w:val="1E293B"/>
          <w:sz w:val="19"/>
        </w:rPr>
        <w:t>Projecting embeddings onto the surface of a unit hypersphere $\mathbb{S}^{D-1} = \{\mathbf{x} \in \mathbb{R}^D : \|\mathbf{x}\|_2 = 1\}$ constrains all representations to identical magnitudes. Under unit normalization, Euclidean distance and Cosine distance are monotonically equivalent: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d_{\text{Euclidean}}^2(\mathbf{u}, \mathbf{v}) = \|\mathbf{u} - \mathbf{v}\|_2^2 = \|\mathbf{u}\|_2^2 + \|\mathbf{v}\|_2^2 - 2\mathbf{u}^T\mathbf{v} = 2 - 2 \cos(\theta)</w:t>
            </w:r>
          </w:p>
        </w:tc>
      </w:tr>
    </w:tbl>
    <w:p>
      <w:pPr>
        <w:spacing w:after="40"/>
      </w:pPr>
    </w:p>
    <w:p>
      <w:pPr>
        <w:spacing w:after="100" w:line="276" w:lineRule="auto"/>
      </w:pPr>
      <w:r>
        <w:rPr>
          <w:rFonts w:ascii="Calibri" w:hAnsi="Calibri"/>
          <w:color w:val="1E293B"/>
          <w:sz w:val="19"/>
        </w:rPr>
        <w:t>where $\cos(\theta) = \mathbf{u} \cdot \mathbf{v}$ denotes cosine similarity. In hyperspherical metric learning, Additive Angular Margin Softmax (AAM-Softmax) forces speaker distributions into compact geodesic hyper-cones, ensuring that the angular dispersion within a genuine speaker's cluster is tightly bounded (Wang et al., 2018).</w:t>
      </w:r>
    </w:p>
    <w:p>
      <w:pPr>
        <w:pStyle w:val="Heading2"/>
        <w:keepNext/>
        <w:spacing w:before="200" w:after="60"/>
      </w:pPr>
      <w:r>
        <w:rPr>
          <w:rFonts w:ascii="Calibri" w:hAnsi="Calibri"/>
          <w:b/>
          <w:color w:val="1E3A8A"/>
          <w:sz w:val="22"/>
        </w:rPr>
        <w:t>2.2 Biometric Enrollment and Centroid Clustering</w:t>
      </w:r>
    </w:p>
    <w:p>
      <w:pPr>
        <w:spacing w:after="100" w:line="276" w:lineRule="auto"/>
      </w:pPr>
      <w:r>
        <w:rPr>
          <w:rFonts w:ascii="Calibri" w:hAnsi="Calibri"/>
          <w:color w:val="1E293B"/>
          <w:sz w:val="19"/>
        </w:rPr>
        <w:t>In practical verification systems, a user cannot be expected to enroll with thousands of utterances; typical commercial protocols record between 3 and 10 short phrases (Hansen &amp; Hasan, 2015). A fundamental question is how to aggregate these discrete embeddings $\{\mathbf{e}_1, \dots, \mathbf{e}_K\}$ into a robust profile template.</w:t>
      </w:r>
    </w:p>
    <w:p>
      <w:pPr>
        <w:spacing w:after="100" w:line="276" w:lineRule="auto"/>
      </w:pPr>
      <w:r>
        <w:rPr>
          <w:rFonts w:ascii="Calibri" w:hAnsi="Calibri"/>
          <w:color w:val="1E293B"/>
          <w:sz w:val="19"/>
        </w:rPr>
        <w:t>Standard arithmetic mean averaging $\mathbf{c} = \frac{1}{K}\sum_{k=1}^K \mathbf{e}_k$ is optimal only when noise is independent and Gaussian distributed. If an enrollment session contains an outlier sample caused by acoustic clipping, heavy burst noise, or background speech from a secondary speaker, arithmetic averaging suffers from a breakdown point of $0\%$—meaning a single arbitrary outlier can corrupt the entire centroid (Rousseeuw &amp; Hubert, 2011). While robust estimators such as Minimum Covariance Determinant (MCD) or Medoid clustering exist, they require large sample sizes ($K &gt; 20$) that are inapplicable to low-sample enrollment ($K \in [3, 10]$). Therefore, non-parametric distance-based outlier pruning tailored to small sample sizes is required.</w:t>
      </w:r>
    </w:p>
    <w:p>
      <w:pPr>
        <w:pStyle w:val="Heading2"/>
        <w:keepNext/>
        <w:spacing w:before="200" w:after="60"/>
      </w:pPr>
      <w:r>
        <w:rPr>
          <w:rFonts w:ascii="Calibri" w:hAnsi="Calibri"/>
          <w:b/>
          <w:color w:val="1E3A8A"/>
          <w:sz w:val="22"/>
        </w:rPr>
        <w:t>2.3 Anti-Spoofing and Liveness Verification</w:t>
      </w:r>
    </w:p>
    <w:p>
      <w:pPr>
        <w:spacing w:after="100" w:line="276" w:lineRule="auto"/>
      </w:pPr>
      <w:r>
        <w:rPr>
          <w:rFonts w:ascii="Calibri" w:hAnsi="Calibri"/>
          <w:color w:val="1E293B"/>
          <w:sz w:val="19"/>
        </w:rPr>
        <w:t>The vulnerability of automatic speaker verification (ASV) systems to presentation attacks has been formally quantified through the biennial ASVspoof competitive evaluations (Wu et al., 2015; Kinnunen et al., 2017; Yamagishi et al., 2021). Presentation attacks fall into three distinct categories:</w:t>
      </w:r>
    </w:p>
    <w:p>
      <w:pPr>
        <w:spacing w:after="60" w:line="276" w:lineRule="auto"/>
        <w:ind w:left="360"/>
      </w:pPr>
      <w:r>
        <w:rPr>
          <w:rFonts w:ascii="Calibri" w:hAnsi="Calibri"/>
          <w:b/>
          <w:color w:val="1E3A8A"/>
          <w:sz w:val="19"/>
        </w:rPr>
        <w:t xml:space="preserve">1. </w:t>
      </w:r>
      <w:r>
        <w:rPr>
          <w:rFonts w:ascii="Calibri" w:hAnsi="Calibri"/>
          <w:b/>
          <w:color w:val="0F172A"/>
          <w:sz w:val="19"/>
        </w:rPr>
        <w:t>Replay Attacks</w:t>
      </w:r>
      <w:r>
        <w:rPr>
          <w:rFonts w:ascii="Calibri" w:hAnsi="Calibri"/>
          <w:color w:val="1E293B"/>
          <w:sz w:val="19"/>
        </w:rPr>
        <w:t>: A recorded genuine utterance is replayed through an external loudspeaker (e.g., smartphone speaker) into the verification microphone. Replay introduces two layers of acoustic distortion: loudspeaker frequency response distortion and room reverberation transfer functions.</w:t>
      </w:r>
    </w:p>
    <w:p>
      <w:pPr>
        <w:spacing w:after="60" w:line="276" w:lineRule="auto"/>
        <w:ind w:left="360"/>
      </w:pPr>
      <w:r>
        <w:rPr>
          <w:rFonts w:ascii="Calibri" w:hAnsi="Calibri"/>
          <w:b/>
          <w:color w:val="1E3A8A"/>
          <w:sz w:val="19"/>
        </w:rPr>
        <w:t xml:space="preserve">2. </w:t>
      </w:r>
      <w:r>
        <w:rPr>
          <w:rFonts w:ascii="Calibri" w:hAnsi="Calibri"/>
          <w:b/>
          <w:color w:val="0F172A"/>
          <w:sz w:val="19"/>
        </w:rPr>
        <w:t>Synthetic Speech (Text-to-Speech, TTS)</w:t>
      </w:r>
      <w:r>
        <w:rPr>
          <w:rFonts w:ascii="Calibri" w:hAnsi="Calibri"/>
          <w:color w:val="1E293B"/>
          <w:sz w:val="19"/>
        </w:rPr>
        <w:t>: Deep neural acoustic models (Tacotron2, FastSpeech) combined with neural vocoders (WaveGlow, HiFi-GAN) generate synthetic speech matching the target timbre.</w:t>
      </w:r>
    </w:p>
    <w:p>
      <w:pPr>
        <w:spacing w:after="60" w:line="276" w:lineRule="auto"/>
        <w:ind w:left="360"/>
      </w:pPr>
      <w:r>
        <w:rPr>
          <w:rFonts w:ascii="Calibri" w:hAnsi="Calibri"/>
          <w:b/>
          <w:color w:val="1E3A8A"/>
          <w:sz w:val="19"/>
        </w:rPr>
        <w:t xml:space="preserve">3. </w:t>
      </w:r>
      <w:r>
        <w:rPr>
          <w:rFonts w:ascii="Calibri" w:hAnsi="Calibri"/>
          <w:b/>
          <w:color w:val="0F172A"/>
          <w:sz w:val="19"/>
        </w:rPr>
        <w:t>Voice Conversion (VC)</w:t>
      </w:r>
      <w:r>
        <w:rPr>
          <w:rFonts w:ascii="Calibri" w:hAnsi="Calibri"/>
          <w:color w:val="1E293B"/>
          <w:sz w:val="19"/>
        </w:rPr>
        <w:t>: An attacker speaks a phrase, and a conversion network transforms their vocal tract formants to match the victim's voice while preserving lexical timing.</w:t>
      </w:r>
    </w:p>
    <w:p>
      <w:pPr>
        <w:spacing w:after="100" w:line="276" w:lineRule="auto"/>
      </w:pPr>
      <w:r>
        <w:rPr>
          <w:rFonts w:ascii="Calibri" w:hAnsi="Calibri"/>
          <w:color w:val="1E293B"/>
          <w:sz w:val="19"/>
        </w:rPr>
        <w:t>State-of-the-art countermeasure networks—such as RawNet2 (Tak et al., 2021) and AASIST (Jung et al., 2022)—operate on raw waveforms using graph neural networks to detect spectral artifacts. However, these networks require substantial computational overhead ($&gt; 20\text{M}$ FLOPs). For lightweight web applications, passive spectral cues—such as high-frequency energy decay and spectral flux variance—provide an effective first line of defense.</w:t>
      </w:r>
    </w:p>
    <w:p>
      <w:pPr>
        <w:pStyle w:val="Heading2"/>
        <w:keepNext/>
        <w:spacing w:before="200" w:after="60"/>
      </w:pPr>
      <w:r>
        <w:rPr>
          <w:rFonts w:ascii="Calibri" w:hAnsi="Calibri"/>
          <w:b/>
          <w:color w:val="1E3A8A"/>
          <w:sz w:val="22"/>
        </w:rPr>
        <w:t>2.4 Biometric Template Protection</w:t>
      </w:r>
    </w:p>
    <w:p>
      <w:pPr>
        <w:spacing w:after="100" w:line="276" w:lineRule="auto"/>
      </w:pPr>
      <w:r>
        <w:rPr>
          <w:rFonts w:ascii="Calibri" w:hAnsi="Calibri"/>
          <w:color w:val="1E293B"/>
          <w:sz w:val="19"/>
        </w:rPr>
        <w:t>Unlike alphanumeric passwords, biometric traits cannot be reissued if compromised: a user cannot change their vocal tract geometry or fingerprint ridge pattern once stolen. The ISO/IEC 24745 standard mandates that biometric storage systems guarantee three fundamental properties:</w:t>
      </w:r>
    </w:p>
    <w:p>
      <w:pPr>
        <w:pStyle w:val="ListBullet"/>
        <w:spacing w:after="60" w:line="276" w:lineRule="auto"/>
      </w:pPr>
      <w:r>
        <w:rPr>
          <w:rFonts w:ascii="Calibri" w:hAnsi="Calibri"/>
          <w:b/>
          <w:color w:val="0F172A"/>
          <w:sz w:val="19"/>
        </w:rPr>
        <w:t>Irreversibility</w:t>
      </w:r>
      <w:r>
        <w:rPr>
          <w:rFonts w:ascii="Calibri" w:hAnsi="Calibri"/>
          <w:color w:val="1E293B"/>
          <w:sz w:val="19"/>
        </w:rPr>
        <w:t>: It must be computationally infeasible to reconstruct the original biometric sample (audio waveform) from the stored template.</w:t>
      </w:r>
    </w:p>
    <w:p>
      <w:pPr>
        <w:pStyle w:val="ListBullet"/>
        <w:spacing w:after="60" w:line="276" w:lineRule="auto"/>
      </w:pPr>
      <w:r>
        <w:rPr>
          <w:rFonts w:ascii="Calibri" w:hAnsi="Calibri"/>
          <w:b/>
          <w:color w:val="0F172A"/>
          <w:sz w:val="19"/>
        </w:rPr>
        <w:t>Unlinkability</w:t>
      </w:r>
      <w:r>
        <w:rPr>
          <w:rFonts w:ascii="Calibri" w:hAnsi="Calibri"/>
          <w:color w:val="1E293B"/>
          <w:sz w:val="19"/>
        </w:rPr>
        <w:t>: Stored templates across different services must not be cross-matchable.</w:t>
      </w:r>
    </w:p>
    <w:p>
      <w:pPr>
        <w:pStyle w:val="ListBullet"/>
        <w:spacing w:after="60" w:line="276" w:lineRule="auto"/>
      </w:pPr>
      <w:r>
        <w:rPr>
          <w:rFonts w:ascii="Calibri" w:hAnsi="Calibri"/>
          <w:b/>
          <w:color w:val="0F172A"/>
          <w:sz w:val="19"/>
        </w:rPr>
        <w:t>Confidentiality and Authenticity</w:t>
      </w:r>
      <w:r>
        <w:rPr>
          <w:rFonts w:ascii="Calibri" w:hAnsi="Calibri"/>
          <w:color w:val="1E293B"/>
          <w:sz w:val="19"/>
        </w:rPr>
        <w:t>: Templates must be protected against tampering and unauthorized extraction.</w:t>
      </w:r>
    </w:p>
    <w:p>
      <w:pPr>
        <w:spacing w:after="100" w:line="276" w:lineRule="auto"/>
      </w:pPr>
      <w:r>
        <w:rPr>
          <w:rFonts w:ascii="Calibri" w:hAnsi="Calibri"/>
          <w:color w:val="1E293B"/>
          <w:sz w:val="19"/>
        </w:rPr>
        <w:t>While cancellable biometrics (random projections, bloom filters) provide formal irreversibility, they consistently degrade verification accuracy by $1.5\% - 3.0\%$ EER due to distortion of metric neighborhood structures (Nandakumar &amp; Jain, 2015). An enterprise alternative is authenticated cryptographic envelope encryption using AES-256-GCM, which provides hardware-accelerated encryption at rest with zero degradation in biometric discriminability.</w:t>
      </w:r>
    </w:p>
    <w:p>
      <w:pPr>
        <w:spacing w:after="120" w:before="120"/>
        <w:jc w:val="center"/>
      </w:pPr>
      <w:r>
        <w:rPr>
          <w:color w:val="CBD5E1"/>
        </w:rPr>
        <w:t>―――――――――――――――――――――――――――――――――――――――――――――</w:t>
      </w:r>
    </w:p>
    <w:p>
      <w:pPr>
        <w:pStyle w:val="Heading1"/>
        <w:keepNext/>
        <w:spacing w:before="280" w:after="80"/>
      </w:pPr>
      <w:r>
        <w:rPr>
          <w:rFonts w:ascii="Calibri" w:hAnsi="Calibri"/>
          <w:b/>
          <w:color w:val="0F172A"/>
          <w:sz w:val="26"/>
        </w:rPr>
        <w:t>3. Methodology</w:t>
      </w:r>
    </w:p>
    <w:p>
      <w:pPr>
        <w:pStyle w:val="Heading2"/>
        <w:keepNext/>
        <w:spacing w:before="200" w:after="60"/>
      </w:pPr>
      <w:r>
        <w:rPr>
          <w:rFonts w:ascii="Calibri" w:hAnsi="Calibri"/>
          <w:b/>
          <w:color w:val="1E3A8A"/>
          <w:sz w:val="22"/>
        </w:rPr>
        <w:t>3.1 Architecture Overview</w:t>
      </w:r>
    </w:p>
    <w:p>
      <w:pPr>
        <w:spacing w:after="100" w:line="276" w:lineRule="auto"/>
      </w:pPr>
      <w:r>
        <w:rPr>
          <w:rFonts w:ascii="Calibri" w:hAnsi="Calibri"/>
          <w:color w:val="1E293B"/>
          <w:sz w:val="19"/>
        </w:rPr>
        <w:t>Figure 1 illustrates the VoicePrint robust identification and template protection architecture. The pipeline consists of five tightly coupled stages:</w:t>
      </w:r>
    </w:p>
    <w:p>
      <w:pPr>
        <w:spacing w:after="60" w:line="276" w:lineRule="auto"/>
        <w:ind w:left="360"/>
      </w:pPr>
      <w:r>
        <w:rPr>
          <w:rFonts w:ascii="Calibri" w:hAnsi="Calibri"/>
          <w:b/>
          <w:color w:val="1E3A8A"/>
          <w:sz w:val="19"/>
        </w:rPr>
        <w:t xml:space="preserve">1. </w:t>
      </w:r>
      <w:r>
        <w:rPr>
          <w:rFonts w:ascii="Calibri" w:hAnsi="Calibri"/>
          <w:b/>
          <w:color w:val="0F172A"/>
          <w:sz w:val="19"/>
        </w:rPr>
        <w:t>Acoustic Capture &amp; Feature Pipeline</w:t>
      </w:r>
      <w:r>
        <w:rPr>
          <w:rFonts w:ascii="Calibri" w:hAnsi="Calibri"/>
          <w:color w:val="1E293B"/>
          <w:sz w:val="19"/>
        </w:rPr>
        <w:t>: 16 kHz audio is processed through 80 log-Mel filterbanks.</w:t>
      </w:r>
    </w:p>
    <w:p>
      <w:pPr>
        <w:spacing w:after="60" w:line="276" w:lineRule="auto"/>
        <w:ind w:left="360"/>
      </w:pPr>
      <w:r>
        <w:rPr>
          <w:rFonts w:ascii="Calibri" w:hAnsi="Calibri"/>
          <w:b/>
          <w:color w:val="1E3A8A"/>
          <w:sz w:val="19"/>
        </w:rPr>
        <w:t xml:space="preserve">2. </w:t>
      </w:r>
      <w:r>
        <w:rPr>
          <w:rFonts w:ascii="Calibri" w:hAnsi="Calibri"/>
          <w:b/>
          <w:color w:val="0F172A"/>
          <w:sz w:val="19"/>
        </w:rPr>
        <w:t>Deep Neural Embedding Extraction</w:t>
      </w:r>
      <w:r>
        <w:rPr>
          <w:rFonts w:ascii="Calibri" w:hAnsi="Calibri"/>
          <w:color w:val="1E293B"/>
          <w:sz w:val="19"/>
        </w:rPr>
        <w:t>: The frozen ECAPA-TDNN backbone generates 192-dimensional unit vectors $\mathbf{e}_k \in \mathbb{S}^{191}$.</w:t>
      </w:r>
    </w:p>
    <w:p>
      <w:pPr>
        <w:spacing w:after="60" w:line="276" w:lineRule="auto"/>
        <w:ind w:left="360"/>
      </w:pPr>
      <w:r>
        <w:rPr>
          <w:rFonts w:ascii="Calibri" w:hAnsi="Calibri"/>
          <w:b/>
          <w:color w:val="1E3A8A"/>
          <w:sz w:val="19"/>
        </w:rPr>
        <w:t xml:space="preserve">3. </w:t>
      </w:r>
      <w:r>
        <w:rPr>
          <w:rFonts w:ascii="Calibri" w:hAnsi="Calibri"/>
          <w:b/>
          <w:color w:val="0F172A"/>
          <w:sz w:val="19"/>
        </w:rPr>
        <w:t>Statistical Outlier Pruning Engine</w:t>
      </w:r>
      <w:r>
        <w:rPr>
          <w:rFonts w:ascii="Calibri" w:hAnsi="Calibri"/>
          <w:color w:val="1E293B"/>
          <w:sz w:val="19"/>
        </w:rPr>
        <w:t>: Evaluates pairwise cosine disparity and IQR thresholds over enrollment samples, pruning contaminated vectors.</w:t>
      </w:r>
    </w:p>
    <w:p>
      <w:pPr>
        <w:spacing w:after="60" w:line="276" w:lineRule="auto"/>
        <w:ind w:left="360"/>
      </w:pPr>
      <w:r>
        <w:rPr>
          <w:rFonts w:ascii="Calibri" w:hAnsi="Calibri"/>
          <w:b/>
          <w:color w:val="1E3A8A"/>
          <w:sz w:val="19"/>
        </w:rPr>
        <w:t xml:space="preserve">4. </w:t>
      </w:r>
      <w:r>
        <w:rPr>
          <w:rFonts w:ascii="Calibri" w:hAnsi="Calibri"/>
          <w:b/>
          <w:color w:val="0F172A"/>
          <w:sz w:val="19"/>
        </w:rPr>
        <w:t>Normalized Centroid Synthesis</w:t>
      </w:r>
      <w:r>
        <w:rPr>
          <w:rFonts w:ascii="Calibri" w:hAnsi="Calibri"/>
          <w:color w:val="1E293B"/>
          <w:sz w:val="19"/>
        </w:rPr>
        <w:t>: Aggregates verified vectors into a purified speaker centroid $\mathbf{c}_{\text{profile}}$ on the unit hypersphere.</w:t>
      </w:r>
    </w:p>
    <w:p>
      <w:pPr>
        <w:spacing w:after="60" w:line="276" w:lineRule="auto"/>
        <w:ind w:left="360"/>
      </w:pPr>
      <w:r>
        <w:rPr>
          <w:rFonts w:ascii="Calibri" w:hAnsi="Calibri"/>
          <w:b/>
          <w:color w:val="1E3A8A"/>
          <w:sz w:val="19"/>
        </w:rPr>
        <w:t xml:space="preserve">5. </w:t>
      </w:r>
      <w:r>
        <w:rPr>
          <w:rFonts w:ascii="Calibri" w:hAnsi="Calibri"/>
          <w:b/>
          <w:color w:val="0F172A"/>
          <w:sz w:val="19"/>
        </w:rPr>
        <w:t>Cryptographic Storage &amp; Scalable Matching</w:t>
      </w:r>
      <w:r>
        <w:rPr>
          <w:rFonts w:ascii="Calibri" w:hAnsi="Calibri"/>
          <w:color w:val="1E293B"/>
          <w:sz w:val="19"/>
        </w:rPr>
        <w:t>: Enrolls the centroid into an AES-256-GCM encrypted database and evaluates open-set cosine queries against calibrated threshold $\tau = 0.70$.</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1. Audio Enrollment Stream (K Samples)                 |</w:t>
              <w:br/>
              <w:t>+-------------------------------------------------------------------------+</w:t>
              <w:br/>
              <w:t xml:space="preserve">                                     |</w:t>
              <w:br/>
              <w:t xml:space="preserve">                                     v</w:t>
              <w:br/>
              <w:t>+-------------------------------------------------------------------------+</w:t>
              <w:br/>
              <w:t>|            2. ECAPA-TDNN Embedding Extraction (e_1, ..., e_K)           |</w:t>
              <w:br/>
              <w:t>|                          Shape: K x 192, S^191                          |</w:t>
              <w:br/>
              <w:t>+-------------------------------------------------------------------------+</w:t>
              <w:br/>
              <w:t xml:space="preserve">                                     |</w:t>
              <w:br/>
              <w:t xml:space="preserve">                                     v</w:t>
              <w:br/>
              <w:t>+-------------------------------------------------------------------------+</w:t>
              <w:br/>
              <w:t>|          3. Pairwise Cosine Disparity &amp; IQR Outlier Pruning             |</w:t>
              <w:br/>
              <w:t>|                Reject e_k if Avg Disparity &gt; Q3 + 1.5*IQR               |</w:t>
              <w:br/>
              <w:t>+-------------------------------------------------------------------------+</w:t>
              <w:br/>
              <w:t xml:space="preserve">                                     |</w:t>
              <w:br/>
              <w:t xml:space="preserve">                                     v</w:t>
              <w:br/>
              <w:t>+-------------------------------------------------------------------------+</w:t>
              <w:br/>
              <w:t>|       4. Purified Centroid Synthesis &amp; Hyperspherical Projection        |</w:t>
              <w:br/>
              <w:t>|                  c_profile = Sum(e_k) / ||Sum(e_k)||_2                  |</w:t>
              <w:br/>
              <w:t>+-------------------------------------------------------------------------+</w:t>
              <w:br/>
              <w:t xml:space="preserve">                  |                                     |</w:t>
              <w:br/>
              <w:t xml:space="preserve">                  v                                     v</w:t>
              <w:br/>
              <w:t>+-----------------------------------+ +-----------------------------------+</w:t>
              <w:br/>
              <w:t>| 5A. AES-256-GCM Cryptographic     | | 5B. Open-Set Cosine Metric Match  |</w:t>
              <w:br/>
              <w:t>|     Biometric Template Storage    | |     max(e_probe . c_i) &gt;= Tau     |</w:t>
              <w:br/>
              <w:t>+-----------------------------------+ +-----------------------------------+</w:t>
            </w:r>
          </w:p>
        </w:tc>
      </w:tr>
    </w:tbl>
    <w:p>
      <w:pPr>
        <w:spacing w:after="40"/>
      </w:pPr>
    </w:p>
    <w:p>
      <w:pPr>
        <w:spacing w:after="100" w:line="276" w:lineRule="auto"/>
      </w:pPr>
      <w:r>
        <w:rPr>
          <w:rFonts w:ascii="Calibri" w:hAnsi="Calibri"/>
          <w:color w:val="1E293B"/>
          <w:sz w:val="19"/>
        </w:rPr>
        <w:t>*Figure 1. Architectural schematic of the VoicePrint robust identification, outlier rejection, and template protection framework.*</w:t>
      </w:r>
    </w:p>
    <w:p>
      <w:pPr>
        <w:spacing w:after="120" w:before="120"/>
        <w:jc w:val="center"/>
      </w:pPr>
      <w:r>
        <w:rPr>
          <w:color w:val="CBD5E1"/>
        </w:rPr>
        <w:t>―――――――――――――――――――――――――――――――――――――――――――――</w:t>
      </w:r>
    </w:p>
    <w:p>
      <w:pPr>
        <w:pStyle w:val="Heading2"/>
        <w:keepNext/>
        <w:spacing w:before="200" w:after="60"/>
      </w:pPr>
      <w:r>
        <w:rPr>
          <w:rFonts w:ascii="Calibri" w:hAnsi="Calibri"/>
          <w:b/>
          <w:color w:val="1E3A8A"/>
          <w:sz w:val="22"/>
        </w:rPr>
        <w:t>3.2 Dynamic Centroid Modeling and Statistical Outlier Pruning</w:t>
      </w:r>
    </w:p>
    <w:p>
      <w:pPr>
        <w:spacing w:after="100" w:line="276" w:lineRule="auto"/>
      </w:pPr>
      <w:r>
        <w:rPr>
          <w:rFonts w:ascii="Calibri" w:hAnsi="Calibri"/>
          <w:color w:val="1E293B"/>
          <w:sz w:val="19"/>
        </w:rPr>
        <w:t>Let $\mathcal{E} = \{\mathbf{e}_1, \mathbf{e}_2, \dots, \mathbf{e}_K\} \subset \mathbb{S}^{191}$ denote the set of $K$ candidate enrollment embeddings extracted from an enrollment session ($K \geq 3$).</w:t>
      </w:r>
    </w:p>
    <w:p>
      <w:pPr>
        <w:pStyle w:val="Heading3"/>
        <w:keepNext/>
        <w:spacing w:before="160" w:after="40"/>
      </w:pPr>
      <w:r>
        <w:rPr>
          <w:rFonts w:ascii="Calibri" w:hAnsi="Calibri"/>
          <w:b/>
          <w:color w:val="334155"/>
          <w:sz w:val="20"/>
        </w:rPr>
        <w:t>Pairwise Cosine Disparity Matrix</w:t>
      </w:r>
    </w:p>
    <w:p>
      <w:pPr>
        <w:spacing w:after="100" w:line="276" w:lineRule="auto"/>
      </w:pPr>
      <w:r>
        <w:rPr>
          <w:rFonts w:ascii="Calibri" w:hAnsi="Calibri"/>
          <w:color w:val="1E293B"/>
          <w:sz w:val="19"/>
        </w:rPr>
        <w:t>We construct a symmetric pairwise cosine disparity matrix $\mathbf{D} \in [0, 2]^{K \times K}$:</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D_{ij} = 1 - \mathbf{e}_i \cdot \mathbf{e}_j = 1 - \sum_{d=1}^{192} e_{i, d} \cdot e_{j, d}</w:t>
            </w:r>
          </w:p>
        </w:tc>
      </w:tr>
    </w:tbl>
    <w:p>
      <w:pPr>
        <w:spacing w:after="40"/>
      </w:pPr>
    </w:p>
    <w:p>
      <w:pPr>
        <w:spacing w:after="100" w:line="276" w:lineRule="auto"/>
      </w:pPr>
      <w:r>
        <w:rPr>
          <w:rFonts w:ascii="Calibri" w:hAnsi="Calibri"/>
          <w:color w:val="1E293B"/>
          <w:sz w:val="19"/>
        </w:rPr>
        <w:t>For each candidate embedding $\mathbf{e}_i$, its Mean Neighborhood Disparity $\delta_i$ is computed: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\delta_i = \frac{1}{K - 1}\sum_{j \neq i}^K D_{ij}</w:t>
            </w:r>
          </w:p>
        </w:tc>
      </w:tr>
    </w:tbl>
    <w:p>
      <w:pPr>
        <w:spacing w:after="40"/>
      </w:pPr>
    </w:p>
    <w:p>
      <w:pPr>
        <w:pStyle w:val="Heading3"/>
        <w:keepNext/>
        <w:spacing w:before="160" w:after="40"/>
      </w:pPr>
      <w:r>
        <w:rPr>
          <w:rFonts w:ascii="Calibri" w:hAnsi="Calibri"/>
          <w:b/>
          <w:color w:val="334155"/>
          <w:sz w:val="20"/>
        </w:rPr>
        <w:t>Interquartile Range (IQR) Boundary Formulation</w:t>
      </w:r>
    </w:p>
    <w:p>
      <w:pPr>
        <w:spacing w:after="100" w:line="276" w:lineRule="auto"/>
      </w:pPr>
      <w:r>
        <w:rPr>
          <w:rFonts w:ascii="Calibri" w:hAnsi="Calibri"/>
          <w:color w:val="1E293B"/>
          <w:sz w:val="19"/>
        </w:rPr>
        <w:t>The empirical distribution of disparities $\{\delta_1, \dots, \delta_K\}$ is sorted in ascending order. Let $Q_1$ denote the 25th percentile (first quartile) and $Q_3$ denote the 75th percentile (third quartile). The Interquartile Range is defined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\text{IQR} = Q_3 - Q_1</w:t>
            </w:r>
          </w:p>
        </w:tc>
      </w:tr>
    </w:tbl>
    <w:p>
      <w:pPr>
        <w:spacing w:after="40"/>
      </w:pPr>
    </w:p>
    <w:p>
      <w:pPr>
        <w:spacing w:after="100" w:line="276" w:lineRule="auto"/>
      </w:pPr>
      <w:r>
        <w:rPr>
          <w:rFonts w:ascii="Calibri" w:hAnsi="Calibri"/>
          <w:color w:val="1E293B"/>
          <w:sz w:val="19"/>
        </w:rPr>
        <w:t>The upper statistical rejection bound $T_{\text{IQR}}$ is established according to Tukey's fence criterion:</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T_{\text{IQR}} = Q_3 + 1.5 \times \text{IQR}</w:t>
            </w:r>
          </w:p>
        </w:tc>
      </w:tr>
    </w:tbl>
    <w:p>
      <w:pPr>
        <w:spacing w:after="40"/>
      </w:pPr>
    </w:p>
    <w:p>
      <w:pPr>
        <w:spacing w:after="100" w:line="276" w:lineRule="auto"/>
      </w:pPr>
      <w:r>
        <w:rPr>
          <w:rFonts w:ascii="Calibri" w:hAnsi="Calibri"/>
          <w:color w:val="1E293B"/>
          <w:sz w:val="19"/>
        </w:rPr>
        <w:t>In addition to relative IQR filtering, an absolute geometric constraint is imposed: an embedding is unconditionally rejected if its mean similarity to the rest of the pool drops below an absolute coherence floor $\gamma_{\min} = 0.55$ ($\delta_i &gt; 0.45$).</w:t>
      </w:r>
    </w:p>
    <w:p>
      <w:pPr>
        <w:spacing w:after="100" w:line="276" w:lineRule="auto"/>
      </w:pPr>
      <w:r>
        <w:rPr>
          <w:rFonts w:ascii="Calibri" w:hAnsi="Calibri"/>
          <w:color w:val="1E293B"/>
          <w:sz w:val="19"/>
        </w:rPr>
        <w:t>The set of certified clean enrollment indices $\mathcal{K}^*$ is defined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\mathcal{K}^* = \Big\{ i \in \{1, \dots, K\} : \delta_i \leq T_{\text{IQR}} \text{ and } \delta_i \leq (1 - \gamma_{\min}) \Big\}</w:t>
            </w:r>
          </w:p>
        </w:tc>
      </w:tr>
    </w:tbl>
    <w:p>
      <w:pPr>
        <w:spacing w:after="40"/>
      </w:pPr>
    </w:p>
    <w:p>
      <w:pPr>
        <w:spacing w:after="100" w:line="276" w:lineRule="auto"/>
      </w:pPr>
      <w:r>
        <w:rPr>
          <w:rFonts w:ascii="Calibri" w:hAnsi="Calibri"/>
          <w:color w:val="1E293B"/>
          <w:sz w:val="19"/>
        </w:rPr>
        <w:t>If $|\mathcal{K}^*| &lt; 2$, the enrollment session is flagged as critically unstable (e.g., severe background noise or contradictory speakers), and the user is prompted to repeat enrollment. Otherwise, the purified speaker centroid $\mathbf{c}_{\text{profile}}$ is synthesized via vector accumulation followed by $L_2$ hyperspherical re-projection:</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\mathbf{c}_{\text{profile}} = \frac{\sum_{i \in \mathcal{K}^*} \mathbf{e}_i}{\left\| \sum_{i \in \mathcal{K}^*} \mathbf{e}_i \right\|_2}</w:t>
            </w:r>
          </w:p>
        </w:tc>
      </w:tr>
    </w:tbl>
    <w:p>
      <w:pPr>
        <w:spacing w:after="40"/>
      </w:pPr>
    </w:p>
    <w:p>
      <w:pPr>
        <w:spacing w:after="100" w:line="276" w:lineRule="auto"/>
      </w:pPr>
      <w:r>
        <w:rPr>
          <w:rFonts w:ascii="Calibri" w:hAnsi="Calibri"/>
          <w:color w:val="1E293B"/>
          <w:sz w:val="19"/>
        </w:rPr>
        <w:t>*Equation 3.1 guarantees that $\|\mathbf{c}_{\text{profile}}\|_2 = 1$, ensuring that all subsequent inner-product calculations remain exact cosine similarities.*</w:t>
      </w:r>
    </w:p>
    <w:p>
      <w:pPr>
        <w:spacing w:after="120" w:before="120"/>
        <w:jc w:val="center"/>
      </w:pPr>
      <w:r>
        <w:rPr>
          <w:color w:val="CBD5E1"/>
        </w:rPr>
        <w:t>―――――――――――――――――――――――――――――――――――――――――――――</w:t>
      </w:r>
    </w:p>
    <w:p>
      <w:pPr>
        <w:pStyle w:val="Heading2"/>
        <w:keepNext/>
        <w:spacing w:before="200" w:after="60"/>
      </w:pPr>
      <w:r>
        <w:rPr>
          <w:rFonts w:ascii="Calibri" w:hAnsi="Calibri"/>
          <w:b/>
          <w:color w:val="1E3A8A"/>
          <w:sz w:val="22"/>
        </w:rPr>
        <w:t>3.3 Optimal Decision Boundary Calibration: Neyman-Pearson Rule</w:t>
      </w:r>
    </w:p>
    <w:p>
      <w:pPr>
        <w:spacing w:after="100" w:line="276" w:lineRule="auto"/>
      </w:pPr>
      <w:r>
        <w:rPr>
          <w:rFonts w:ascii="Calibri" w:hAnsi="Calibri"/>
          <w:color w:val="1E293B"/>
          <w:sz w:val="19"/>
        </w:rPr>
        <w:t>In open-set biometric identification, the decision problem is framed as statistical hypothesis testing:</w:t>
      </w:r>
    </w:p>
    <w:p>
      <w:pPr>
        <w:pStyle w:val="ListBullet"/>
        <w:spacing w:after="60" w:line="276" w:lineRule="auto"/>
      </w:pPr>
      <w:r>
        <w:rPr>
          <w:rFonts w:ascii="Calibri" w:hAnsi="Calibri"/>
          <w:b/>
          <w:color w:val="0F172A"/>
          <w:sz w:val="19"/>
        </w:rPr>
        <w:t>Null Hypothesis ($H_0$)</w:t>
      </w:r>
      <w:r>
        <w:rPr>
          <w:rFonts w:ascii="Calibri" w:hAnsi="Calibri"/>
          <w:color w:val="1E293B"/>
          <w:sz w:val="19"/>
        </w:rPr>
        <w:t>: The probe utterance was spoken by the enrolled user ($S \sim p(s \mid \text{Genuine})$).</w:t>
      </w:r>
    </w:p>
    <w:p>
      <w:pPr>
        <w:pStyle w:val="ListBullet"/>
        <w:spacing w:after="60" w:line="276" w:lineRule="auto"/>
      </w:pPr>
      <w:r>
        <w:rPr>
          <w:rFonts w:ascii="Calibri" w:hAnsi="Calibri"/>
          <w:b/>
          <w:color w:val="0F172A"/>
          <w:sz w:val="19"/>
        </w:rPr>
        <w:t>Alternative Hypothesis ($H_1$)</w:t>
      </w:r>
      <w:r>
        <w:rPr>
          <w:rFonts w:ascii="Calibri" w:hAnsi="Calibri"/>
          <w:color w:val="1E293B"/>
          <w:sz w:val="19"/>
        </w:rPr>
        <w:t>: The probe utterance was spoken by an impostor ($S \sim p(s \mid \text{Impostor})$).</w:t>
      </w:r>
    </w:p>
    <w:p>
      <w:pPr>
        <w:spacing w:after="100" w:line="276" w:lineRule="auto"/>
      </w:pPr>
      <w:r>
        <w:rPr>
          <w:rFonts w:ascii="Calibri" w:hAnsi="Calibri"/>
          <w:color w:val="1E293B"/>
          <w:sz w:val="19"/>
        </w:rPr>
        <w:t>The Neyman-Pearson lemma states that the most powerful test maximizes detection probability ($1 - \text{FRR}$) subject to a fixed upper bound on the false alarm probability: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\text{Maximize } (1 - \text{FRR}(\tau)) \quad \text{subject to } \text{FAR}(\tau) \leq \alpha</w:t>
            </w:r>
          </w:p>
        </w:tc>
      </w:tr>
    </w:tbl>
    <w:p>
      <w:pPr>
        <w:spacing w:after="40"/>
      </w:pPr>
    </w:p>
    <w:p>
      <w:pPr>
        <w:spacing w:after="100" w:line="276" w:lineRule="auto"/>
      </w:pPr>
      <w:r>
        <w:rPr>
          <w:rFonts w:ascii="Calibri" w:hAnsi="Calibri"/>
          <w:color w:val="1E293B"/>
          <w:sz w:val="19"/>
        </w:rPr>
        <w:t>In enterprise security, false acceptances represent unauthorized system access (catastrophic breach), whereas false rejections represent temporary user inconvenience (prompting a retry). Therefore, we enforce a strict constraint $\alpha = 0.005$ ($0.50\%$).</w:t>
      </w:r>
    </w:p>
    <w:p>
      <w:pPr>
        <w:spacing w:after="100" w:line="276" w:lineRule="auto"/>
      </w:pPr>
      <w:r>
        <w:rPr>
          <w:rFonts w:ascii="Calibri" w:hAnsi="Calibri"/>
          <w:color w:val="1E293B"/>
          <w:sz w:val="19"/>
        </w:rPr>
        <w:t>Given the empirical score distributions estimated from genuine and impostor trial pairs: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\tau^* = \inf \big\{ \tau \in [-1, 1] : \text{FAR}(\tau) \leq 0.005 \big\}</w:t>
            </w:r>
          </w:p>
        </w:tc>
      </w:tr>
    </w:tbl>
    <w:p>
      <w:pPr>
        <w:spacing w:after="40"/>
      </w:pPr>
    </w:p>
    <w:p>
      <w:pPr>
        <w:spacing w:after="100" w:line="276" w:lineRule="auto"/>
      </w:pPr>
      <w:r>
        <w:rPr>
          <w:rFonts w:ascii="Calibri" w:hAnsi="Calibri"/>
          <w:color w:val="1E293B"/>
          <w:sz w:val="19"/>
        </w:rPr>
        <w:t xml:space="preserve">Empirical evaluation over 10,000 VoxCeleb and ASTA3 trial pairs yields an optimal threshold of </w:t>
      </w:r>
      <w:r>
        <w:rPr>
          <w:rFonts w:ascii="Calibri" w:hAnsi="Calibri"/>
          <w:b/>
          <w:color w:val="0F172A"/>
          <w:sz w:val="19"/>
        </w:rPr>
        <w:t>$\tau = 0.70$</w:t>
      </w:r>
      <w:r>
        <w:rPr>
          <w:rFonts w:ascii="Calibri" w:hAnsi="Calibri"/>
          <w:color w:val="1E293B"/>
          <w:sz w:val="19"/>
        </w:rPr>
        <w:t>.</w:t>
      </w:r>
    </w:p>
    <w:p>
      <w:pPr>
        <w:spacing w:after="100" w:line="276" w:lineRule="auto"/>
      </w:pPr>
      <w:r>
        <w:rPr>
          <w:rFonts w:ascii="Calibri" w:hAnsi="Calibri"/>
          <w:color w:val="1E293B"/>
          <w:sz w:val="19"/>
        </w:rPr>
        <w:t>For open-set 1:N identification across an enrolled registry $\mathcal{P} = \{\mathbf{c}_1, \dots, \mathbf{c}_N\}$, the matching engine evaluates the maximum inner product: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k^* = \arg\max_{k \in \{1, \dots, N\}} (\mathbf{e}_{\text{probe}} \cdot \mathbf{c}_k), \quad S^* = \mathbf{e}_{\text{probe}} \cdot \mathbf{c}_{k^*}</w:t>
            </w:r>
          </w:p>
        </w:tc>
      </w:tr>
    </w:tbl>
    <w:p>
      <w:pPr>
        <w:spacing w:after="40"/>
      </w:pPr>
    </w:p>
    <w:p>
      <w:pPr>
        <w:spacing w:after="100" w:line="276" w:lineRule="auto"/>
      </w:pPr>
      <w:r>
        <w:rPr>
          <w:rFonts w:ascii="Calibri" w:hAnsi="Calibri"/>
          <w:color w:val="1E293B"/>
          <w:sz w:val="19"/>
        </w:rPr>
        <w:t>The system outputs the identification decision $\mathcal{D}$: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\mathcal{D} = \begin{cases} \text{Identify as Speaker } k^*, &amp; \text{if } S^* \geq \tau^* \\ \text{Reject as Unknown Speaker}, &amp; \text{if } S^* &lt; \tau^* \end{cases}</w:t>
            </w:r>
          </w:p>
        </w:tc>
      </w:tr>
    </w:tbl>
    <w:p>
      <w:pPr>
        <w:spacing w:after="40"/>
      </w:pPr>
    </w:p>
    <w:p>
      <w:pPr>
        <w:spacing w:after="120" w:before="120"/>
        <w:jc w:val="center"/>
      </w:pPr>
      <w:r>
        <w:rPr>
          <w:color w:val="CBD5E1"/>
        </w:rPr>
        <w:t>―――――――――――――――――――――――――――――――――――――――――――――</w:t>
      </w:r>
    </w:p>
    <w:p>
      <w:pPr>
        <w:pStyle w:val="Heading2"/>
        <w:keepNext/>
        <w:spacing w:before="200" w:after="60"/>
      </w:pPr>
      <w:r>
        <w:rPr>
          <w:rFonts w:ascii="Calibri" w:hAnsi="Calibri"/>
          <w:b/>
          <w:color w:val="1E3A8A"/>
          <w:sz w:val="22"/>
        </w:rPr>
        <w:t>3.4 Passive Liveness and Anti-Spoofing Heuristics</w:t>
      </w:r>
    </w:p>
    <w:p>
      <w:pPr>
        <w:spacing w:after="100" w:line="276" w:lineRule="auto"/>
      </w:pPr>
      <w:r>
        <w:rPr>
          <w:rFonts w:ascii="Calibri" w:hAnsi="Calibri"/>
          <w:color w:val="1E293B"/>
          <w:sz w:val="19"/>
        </w:rPr>
        <w:t>To protect against acoustic replay and vocoder artifacts without introducing heavy secondary deep learning inference, VoicePrint implements a high-throughput passive acoustic feature audit over three spectral properties:</w:t>
      </w:r>
    </w:p>
    <w:p>
      <w:pPr>
        <w:spacing w:after="60" w:line="276" w:lineRule="auto"/>
        <w:ind w:left="360"/>
      </w:pPr>
      <w:r>
        <w:rPr>
          <w:rFonts w:ascii="Calibri" w:hAnsi="Calibri"/>
          <w:b/>
          <w:color w:val="1E3A8A"/>
          <w:sz w:val="19"/>
        </w:rPr>
        <w:t xml:space="preserve">1. </w:t>
      </w:r>
      <w:r>
        <w:rPr>
          <w:rFonts w:ascii="Calibri" w:hAnsi="Calibri"/>
          <w:b/>
          <w:color w:val="0F172A"/>
          <w:sz w:val="19"/>
        </w:rPr>
        <w:t>High-Frequency Spectral Roll-Off ($f_{\text{roll}}$)</w:t>
      </w:r>
      <w:r>
        <w:rPr>
          <w:rFonts w:ascii="Calibri" w:hAnsi="Calibri"/>
          <w:color w:val="1E293B"/>
          <w:sz w:val="19"/>
        </w:rPr>
        <w:t>:</w:t>
      </w:r>
    </w:p>
    <w:p>
      <w:pPr>
        <w:spacing w:after="100" w:line="276" w:lineRule="auto"/>
      </w:pPr>
      <w:r>
        <w:rPr>
          <w:rFonts w:ascii="Calibri" w:hAnsi="Calibri"/>
          <w:color w:val="1E293B"/>
          <w:sz w:val="19"/>
        </w:rPr>
        <w:t xml:space="preserve">   In human speech recorded with genuine MEMS microphones, vocal tract friction produces harmonic energy extending across the upper spectrum ($4\text{ kHz} - 8\text{ kHz}$). In contrast, common consumer smartphone loudspeakers used in replay attacks roll off sharply below $5.5\text{ kHz}$. We compute the 85th percentile spectral energy frequency $f_{85}$:</w:t>
      </w:r>
    </w:p>
    <w:p>
      <w:pPr>
        <w:spacing w:after="100" w:line="276" w:lineRule="auto"/>
      </w:pPr>
      <w:r>
        <w:rPr>
          <w:rFonts w:ascii="Calibri" w:hAnsi="Calibri"/>
          <w:color w:val="1E293B"/>
          <w:sz w:val="19"/>
        </w:rPr>
        <w:t xml:space="preserve">   $$\sum_{k=0}^{K_{85}} |X(t, k)|^2 = 0.85 \sum_{k=0}^{K/2} |X(t, k)|^2$$</w:t>
      </w:r>
    </w:p>
    <w:p>
      <w:pPr>
        <w:spacing w:after="100" w:line="276" w:lineRule="auto"/>
      </w:pPr>
      <w:r>
        <w:rPr>
          <w:rFonts w:ascii="Calibri" w:hAnsi="Calibri"/>
          <w:color w:val="1E293B"/>
          <w:sz w:val="19"/>
        </w:rPr>
        <w:t xml:space="preserve">   If the average $f_{85} &lt; 3800\text{ Hz}$ across voiced frames, the utterance is flagged as a potential loudspeaker replay.</w:t>
      </w:r>
    </w:p>
    <w:p>
      <w:pPr>
        <w:spacing w:after="60" w:line="276" w:lineRule="auto"/>
        <w:ind w:left="360"/>
      </w:pPr>
      <w:r>
        <w:rPr>
          <w:rFonts w:ascii="Calibri" w:hAnsi="Calibri"/>
          <w:b/>
          <w:color w:val="1E3A8A"/>
          <w:sz w:val="19"/>
        </w:rPr>
        <w:t xml:space="preserve">2. </w:t>
      </w:r>
      <w:r>
        <w:rPr>
          <w:rFonts w:ascii="Calibri" w:hAnsi="Calibri"/>
          <w:b/>
          <w:color w:val="0F172A"/>
          <w:sz w:val="19"/>
        </w:rPr>
        <w:t>Spectral Flux Dynamic Range ($\Delta_{\text{flux}}$)</w:t>
      </w:r>
      <w:r>
        <w:rPr>
          <w:rFonts w:ascii="Calibri" w:hAnsi="Calibri"/>
          <w:color w:val="1E293B"/>
          <w:sz w:val="19"/>
        </w:rPr>
        <w:t>:</w:t>
      </w:r>
    </w:p>
    <w:p>
      <w:pPr>
        <w:spacing w:after="100" w:line="276" w:lineRule="auto"/>
      </w:pPr>
      <w:r>
        <w:rPr>
          <w:rFonts w:ascii="Calibri" w:hAnsi="Calibri"/>
          <w:color w:val="1E293B"/>
          <w:sz w:val="19"/>
        </w:rPr>
        <w:t xml:space="preserve">   Synthetic neural vocoders (e.g., Griffin-Lim or early autoregressive vocoders) often produce overly smooth inter-frame spectral trajectories lacking natural articulatory micro-tremors:</w:t>
      </w:r>
    </w:p>
    <w:p>
      <w:pPr>
        <w:spacing w:after="100" w:line="276" w:lineRule="auto"/>
      </w:pPr>
      <w:r>
        <w:rPr>
          <w:rFonts w:ascii="Calibri" w:hAnsi="Calibri"/>
          <w:color w:val="1E293B"/>
          <w:sz w:val="19"/>
        </w:rPr>
        <w:t xml:space="preserve">   $$\text{Flux}(t) = \sum_{m=1}^{80} \big( F_t(m) - F_{t-1}(m) \big)^2$$</w:t>
      </w:r>
    </w:p>
    <w:p>
      <w:pPr>
        <w:spacing w:after="100" w:line="276" w:lineRule="auto"/>
      </w:pPr>
      <w:r>
        <w:rPr>
          <w:rFonts w:ascii="Calibri" w:hAnsi="Calibri"/>
          <w:color w:val="1E293B"/>
          <w:sz w:val="19"/>
        </w:rPr>
        <w:t xml:space="preserve">   Unusually low spectral flux variance ($\sigma_{\text{flux}}^2 &lt; 0.08$) indicates artificially smoothed synthetic speech.</w:t>
      </w:r>
    </w:p>
    <w:p>
      <w:pPr>
        <w:spacing w:after="60" w:line="276" w:lineRule="auto"/>
        <w:ind w:left="360"/>
      </w:pPr>
      <w:r>
        <w:rPr>
          <w:rFonts w:ascii="Calibri" w:hAnsi="Calibri"/>
          <w:b/>
          <w:color w:val="1E3A8A"/>
          <w:sz w:val="19"/>
        </w:rPr>
        <w:t xml:space="preserve">3. </w:t>
      </w:r>
      <w:r>
        <w:rPr>
          <w:rFonts w:ascii="Calibri" w:hAnsi="Calibri"/>
          <w:b/>
          <w:color w:val="0F172A"/>
          <w:sz w:val="19"/>
        </w:rPr>
        <w:t>Dynamic Crest Factor / Peak-to-Average Power Ratio (PAPR)</w:t>
      </w:r>
      <w:r>
        <w:rPr>
          <w:rFonts w:ascii="Calibri" w:hAnsi="Calibri"/>
          <w:color w:val="1E293B"/>
          <w:sz w:val="19"/>
        </w:rPr>
        <w:t>:</w:t>
      </w:r>
    </w:p>
    <w:p>
      <w:pPr>
        <w:spacing w:after="100" w:line="276" w:lineRule="auto"/>
      </w:pPr>
      <w:r>
        <w:rPr>
          <w:rFonts w:ascii="Calibri" w:hAnsi="Calibri"/>
          <w:color w:val="1E293B"/>
          <w:sz w:val="19"/>
        </w:rPr>
        <w:t xml:space="preserve">   Acoustic replay through physical transducers compresses speech dynamics, reducing the peak-to-average power ratio:</w:t>
      </w:r>
    </w:p>
    <w:p>
      <w:pPr>
        <w:spacing w:after="100" w:line="276" w:lineRule="auto"/>
      </w:pPr>
      <w:r>
        <w:rPr>
          <w:rFonts w:ascii="Calibri" w:hAnsi="Calibri"/>
          <w:color w:val="1E293B"/>
          <w:sz w:val="19"/>
        </w:rPr>
        <w:t xml:space="preserve">   $$\text{PAPR} = \frac{\max_n |x[n]|^2}{\frac{1}{N}\sum_{n=0}^{N-1} |x[n]|^2}$$</w:t>
      </w:r>
    </w:p>
    <w:p>
      <w:pPr>
        <w:spacing w:after="100" w:line="276" w:lineRule="auto"/>
      </w:pPr>
      <w:r>
        <w:rPr>
          <w:rFonts w:ascii="Calibri" w:hAnsi="Calibri"/>
          <w:color w:val="1E293B"/>
          <w:sz w:val="19"/>
        </w:rPr>
        <w:t xml:space="preserve">   Utterances exhibiting $\text{PAPR} &lt; 7.5\text{ dB}$ alongside low high-frequency energy are rejected.</w:t>
      </w:r>
    </w:p>
    <w:p>
      <w:pPr>
        <w:spacing w:after="120" w:before="120"/>
        <w:jc w:val="center"/>
      </w:pPr>
      <w:r>
        <w:rPr>
          <w:color w:val="CBD5E1"/>
        </w:rPr>
        <w:t>―――――――――――――――――――――――――――――――――――――――――――――</w:t>
      </w:r>
    </w:p>
    <w:p>
      <w:pPr>
        <w:pStyle w:val="Heading2"/>
        <w:keepNext/>
        <w:spacing w:before="200" w:after="60"/>
      </w:pPr>
      <w:r>
        <w:rPr>
          <w:rFonts w:ascii="Calibri" w:hAnsi="Calibri"/>
          <w:b/>
          <w:color w:val="1E3A8A"/>
          <w:sz w:val="22"/>
        </w:rPr>
        <w:t>3.5 Biometric Template Encryption via AES-256-GCM</w:t>
      </w:r>
    </w:p>
    <w:p>
      <w:pPr>
        <w:spacing w:after="100" w:line="276" w:lineRule="auto"/>
      </w:pPr>
      <w:r>
        <w:rPr>
          <w:rFonts w:ascii="Calibri" w:hAnsi="Calibri"/>
          <w:color w:val="1E293B"/>
          <w:sz w:val="19"/>
        </w:rPr>
        <w:t>To prevent template inversion and ensure strict compliance with biometric privacy regulations (e.g., GDPR Article 9, ISO/IEC 24745), enrolled centroids are never stored as plaintext floating-point arrays. VoicePrint implements authenticated symmetric envelope encryption:</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[Plaintext Voiceprint: 192 Float32 (768 Bytes)]</w:t>
              <w:br/>
              <w:t xml:space="preserve">                      |</w:t>
              <w:br/>
              <w:t xml:space="preserve">                      v</w:t>
              <w:br/>
              <w:t>[AES-256-GCM Encryption] &lt;-- Master Security Key (256-bit from Environment)</w:t>
              <w:br/>
              <w:t xml:space="preserve">       |             |</w:t>
              <w:br/>
              <w:t xml:space="preserve">       v             v</w:t>
              <w:br/>
              <w:t>[Initialization] [128-bit Authentication Tag]</w:t>
              <w:br/>
              <w:t xml:space="preserve">  Vector (IV)           |</w:t>
              <w:br/>
              <w:t xml:space="preserve">  (96-bit)              |</w:t>
              <w:br/>
              <w:t xml:space="preserve">       |                |</w:t>
              <w:br/>
              <w:t xml:space="preserve">       +--------+-------+</w:t>
              <w:br/>
              <w:t xml:space="preserve">                |</w:t>
              <w:br/>
              <w:t xml:space="preserve">                v</w:t>
              <w:br/>
              <w:t>[Encrypted Biometric Blob on Disk: meta.json / voiceprint.enc]</w:t>
            </w:r>
          </w:p>
        </w:tc>
      </w:tr>
    </w:tbl>
    <w:p>
      <w:pPr>
        <w:spacing w:after="40"/>
      </w:pPr>
    </w:p>
    <w:p>
      <w:pPr>
        <w:spacing w:after="100" w:line="276" w:lineRule="auto"/>
      </w:pPr>
      <w:r>
        <w:rPr>
          <w:rFonts w:ascii="Calibri" w:hAnsi="Calibri"/>
          <w:color w:val="1E293B"/>
          <w:sz w:val="19"/>
        </w:rPr>
        <w:t>*Figure 2. Cryptographic envelope pipeline for biometric template protection at rest.*</w:t>
      </w:r>
    </w:p>
    <w:p>
      <w:pPr>
        <w:spacing w:after="60" w:line="276" w:lineRule="auto"/>
        <w:ind w:left="360"/>
      </w:pPr>
      <w:r>
        <w:rPr>
          <w:rFonts w:ascii="Calibri" w:hAnsi="Calibri"/>
          <w:b/>
          <w:color w:val="1E3A8A"/>
          <w:sz w:val="19"/>
        </w:rPr>
        <w:t xml:space="preserve">1. </w:t>
      </w:r>
      <w:r>
        <w:rPr>
          <w:rFonts w:ascii="Calibri" w:hAnsi="Calibri"/>
          <w:color w:val="1E293B"/>
          <w:sz w:val="19"/>
        </w:rPr>
        <w:t>The 192-dimensional centroid vector $\mathbf{c}_{\text{profile}} \in \mathbb{R}^{192}$ is serialized to standard 32-bit IEEE 754 floating-point bytes (exact length: $192 \times 4 = 768\text{ bytes}$).</w:t>
      </w:r>
    </w:p>
    <w:p>
      <w:pPr>
        <w:spacing w:after="60" w:line="276" w:lineRule="auto"/>
        <w:ind w:left="360"/>
      </w:pPr>
      <w:r>
        <w:rPr>
          <w:rFonts w:ascii="Calibri" w:hAnsi="Calibri"/>
          <w:b/>
          <w:color w:val="1E3A8A"/>
          <w:sz w:val="19"/>
        </w:rPr>
        <w:t xml:space="preserve">2. </w:t>
      </w:r>
      <w:r>
        <w:rPr>
          <w:rFonts w:ascii="Calibri" w:hAnsi="Calibri"/>
          <w:color w:val="1E293B"/>
          <w:sz w:val="19"/>
        </w:rPr>
        <w:t>A cryptographically secure, unique 96-bit Initialization Vector ($\mathbf{IV}$) is generated per profile using OS-level entropy (os.urandom(12)).</w:t>
      </w:r>
    </w:p>
    <w:p>
      <w:pPr>
        <w:spacing w:after="60" w:line="276" w:lineRule="auto"/>
        <w:ind w:left="360"/>
      </w:pPr>
      <w:r>
        <w:rPr>
          <w:rFonts w:ascii="Calibri" w:hAnsi="Calibri"/>
          <w:b/>
          <w:color w:val="1E3A8A"/>
          <w:sz w:val="19"/>
        </w:rPr>
        <w:t xml:space="preserve">3. </w:t>
      </w:r>
      <w:r>
        <w:rPr>
          <w:rFonts w:ascii="Calibri" w:hAnsi="Calibri"/>
          <w:color w:val="1E293B"/>
          <w:sz w:val="19"/>
        </w:rPr>
        <w:t>The serialized vector is encrypted using Advanced Encryption Standard in Galois/Counter Mode (AES-256-GCM) with a 256-bit server-side master key.</w:t>
      </w:r>
    </w:p>
    <w:p>
      <w:pPr>
        <w:spacing w:after="60" w:line="276" w:lineRule="auto"/>
        <w:ind w:left="360"/>
      </w:pPr>
      <w:r>
        <w:rPr>
          <w:rFonts w:ascii="Calibri" w:hAnsi="Calibri"/>
          <w:b/>
          <w:color w:val="1E3A8A"/>
          <w:sz w:val="19"/>
        </w:rPr>
        <w:t xml:space="preserve">4. </w:t>
      </w:r>
      <w:r>
        <w:rPr>
          <w:rFonts w:ascii="Calibri" w:hAnsi="Calibri"/>
          <w:color w:val="1E293B"/>
          <w:sz w:val="19"/>
        </w:rPr>
        <w:t>AES-GCM generates the ciphertext along with a 128-bit authentication tag ($\mathbf{T}_{\text{auth}}$).</w:t>
      </w:r>
    </w:p>
    <w:p>
      <w:pPr>
        <w:spacing w:after="60" w:line="276" w:lineRule="auto"/>
        <w:ind w:left="360"/>
      </w:pPr>
      <w:r>
        <w:rPr>
          <w:rFonts w:ascii="Calibri" w:hAnsi="Calibri"/>
          <w:b/>
          <w:color w:val="1E3A8A"/>
          <w:sz w:val="19"/>
        </w:rPr>
        <w:t xml:space="preserve">5. </w:t>
      </w:r>
      <w:r>
        <w:rPr>
          <w:rFonts w:ascii="Calibri" w:hAnsi="Calibri"/>
          <w:color w:val="1E293B"/>
          <w:sz w:val="19"/>
        </w:rPr>
        <w:t>The combined binary blob $[\mathbf{IV} \,\|\, \mathbf{T}_{\text{auth}} \,\|\, \text{Ciphertext}]$ is stored on disk alongside non-sensitive user metadata.</w:t>
      </w:r>
    </w:p>
    <w:p>
      <w:pPr>
        <w:spacing w:after="100" w:line="276" w:lineRule="auto"/>
      </w:pPr>
      <w:r>
        <w:rPr>
          <w:rFonts w:ascii="Calibri" w:hAnsi="Calibri"/>
          <w:color w:val="1E293B"/>
          <w:sz w:val="19"/>
        </w:rPr>
        <w:t>During verification inference, the server decrypts the vector directly into volatile memory for the duration of the matrix multiplication and immediately clears the buffer. Even if the underlying persistent file system is compromised, the attacker cannot reverse-engineer speaker voiceprints without the ephemeral cryptographic key.</w:t>
      </w:r>
    </w:p>
    <w:p>
      <w:pPr>
        <w:spacing w:after="120" w:before="120"/>
        <w:jc w:val="center"/>
      </w:pPr>
      <w:r>
        <w:rPr>
          <w:color w:val="CBD5E1"/>
        </w:rPr>
        <w:t>―――――――――――――――――――――――――――――――――――――――――――――</w:t>
      </w:r>
    </w:p>
    <w:p>
      <w:pPr>
        <w:pStyle w:val="Heading1"/>
        <w:keepNext/>
        <w:spacing w:before="280" w:after="80"/>
      </w:pPr>
      <w:r>
        <w:rPr>
          <w:rFonts w:ascii="Calibri" w:hAnsi="Calibri"/>
          <w:b/>
          <w:color w:val="0F172A"/>
          <w:sz w:val="26"/>
        </w:rPr>
        <w:t>4. Experimental Setup and Stress Testing</w:t>
      </w:r>
    </w:p>
    <w:p>
      <w:pPr>
        <w:pStyle w:val="Heading2"/>
        <w:keepNext/>
        <w:spacing w:before="200" w:after="60"/>
      </w:pPr>
      <w:r>
        <w:rPr>
          <w:rFonts w:ascii="Calibri" w:hAnsi="Calibri"/>
          <w:b/>
          <w:color w:val="1E3A8A"/>
          <w:sz w:val="22"/>
        </w:rPr>
        <w:t>4.1 Multi-Speaker Stress Dataset and Audio Profiles</w:t>
      </w:r>
    </w:p>
    <w:p>
      <w:pPr>
        <w:spacing w:after="100" w:line="276" w:lineRule="auto"/>
      </w:pPr>
      <w:r>
        <w:rPr>
          <w:rFonts w:ascii="Calibri" w:hAnsi="Calibri"/>
          <w:color w:val="1E293B"/>
          <w:sz w:val="19"/>
        </w:rPr>
        <w:t>To evaluate the efficacy of the proposed outlier rejection and threshold calibration algorithms under adversarial and degraded conditions, we conducted experiments across two datasets:</w:t>
      </w:r>
    </w:p>
    <w:p>
      <w:pPr>
        <w:spacing w:after="60" w:line="276" w:lineRule="auto"/>
        <w:ind w:left="360"/>
      </w:pPr>
      <w:r>
        <w:rPr>
          <w:rFonts w:ascii="Calibri" w:hAnsi="Calibri"/>
          <w:b/>
          <w:color w:val="1E3A8A"/>
          <w:sz w:val="19"/>
        </w:rPr>
        <w:t xml:space="preserve">1. </w:t>
      </w:r>
      <w:r>
        <w:rPr>
          <w:rFonts w:ascii="Calibri" w:hAnsi="Calibri"/>
          <w:b/>
          <w:color w:val="0F172A"/>
          <w:sz w:val="19"/>
        </w:rPr>
        <w:t>Homogeneous ASTA3 Laboratory Suite</w:t>
      </w:r>
      <w:r>
        <w:rPr>
          <w:rFonts w:ascii="Calibri" w:hAnsi="Calibri"/>
          <w:color w:val="1E293B"/>
          <w:sz w:val="19"/>
        </w:rPr>
        <w:t>: 20 homogeneous recordings of speaker ASTA captured across varied acoustic sessions (clean office, light ambient music, varied microphone distances).</w:t>
      </w:r>
    </w:p>
    <w:p>
      <w:pPr>
        <w:spacing w:after="60" w:line="276" w:lineRule="auto"/>
        <w:ind w:left="360"/>
      </w:pPr>
      <w:r>
        <w:rPr>
          <w:rFonts w:ascii="Calibri" w:hAnsi="Calibri"/>
          <w:b/>
          <w:color w:val="1E3A8A"/>
          <w:sz w:val="19"/>
        </w:rPr>
        <w:t xml:space="preserve">2. </w:t>
      </w:r>
      <w:r>
        <w:rPr>
          <w:rFonts w:ascii="Calibri" w:hAnsi="Calibri"/>
          <w:b/>
          <w:color w:val="0F172A"/>
          <w:sz w:val="19"/>
        </w:rPr>
        <w:t>Contaminated Stress Corpus (DATA Folder)</w:t>
      </w:r>
      <w:r>
        <w:rPr>
          <w:rFonts w:ascii="Calibri" w:hAnsi="Calibri"/>
          <w:color w:val="1E293B"/>
          <w:sz w:val="19"/>
        </w:rPr>
        <w:t>: A multi-speaker dataset comprising 171 raw audio recordings containing severe real-world corruptions: multiple distinct speakers, speech with television background audio, microphone clipping, and transient noise bursts.</w:t>
      </w:r>
    </w:p>
    <w:p>
      <w:pPr>
        <w:spacing w:after="100" w:line="276" w:lineRule="auto"/>
      </w:pPr>
      <w:r>
        <w:rPr>
          <w:rFonts w:ascii="Calibri" w:hAnsi="Calibri"/>
          <w:color w:val="1E293B"/>
          <w:sz w:val="19"/>
        </w:rPr>
        <w:t>*Table 1. Statistical characteristics of evaluation audio datasets.*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Dataset Characteristic</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Homogeneous ASTA3 Corpus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Contaminated Stress Corpus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Audio Recordings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20</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171</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Unique Speakers Present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 (Target Speaker)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Multiple (&gt; 4 unidentified)</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Sampling Rate / Format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 kHz / 16-bit Mono PCM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 kHz / 16-bit Mono PCM</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Duration per Utterance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5.0 seconds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5.0 seconds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Mean Raw Pairwise Cosine Similarity</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0.6625</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0.2846 (Severe Contamination)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Pairwise Similarity Range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$0.630 - 0.801$</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$-0.199 - 0.918$</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Intra-Class Variance ($\sigma^2$)</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0.0028</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0.0308</w:t>
            </w:r>
          </w:p>
        </w:tc>
      </w:tr>
    </w:tbl>
    <w:p>
      <w:pPr>
        <w:spacing w:after="80"/>
      </w:pPr>
    </w:p>
    <w:p>
      <w:pPr>
        <w:spacing w:after="100" w:line="276" w:lineRule="auto"/>
      </w:pPr>
      <w:r>
        <w:rPr>
          <w:rFonts w:ascii="Calibri" w:hAnsi="Calibri"/>
          <w:color w:val="1E293B"/>
          <w:sz w:val="19"/>
        </w:rPr>
        <w:t>Table 1 demonstrates the profound difference between clean, homogeneous speech and real-world corrupted data. In the contaminated corpus, pairwise similarity drops to a mean of $0.2846$ with pairs exhibiting negative cosine similarities ($-0.199$), proving that multiple distinct speakers were unintentionally blended into the raw directory.</w:t>
      </w:r>
    </w:p>
    <w:p>
      <w:pPr>
        <w:spacing w:after="120" w:before="120"/>
        <w:jc w:val="center"/>
      </w:pPr>
      <w:r>
        <w:rPr>
          <w:color w:val="CBD5E1"/>
        </w:rPr>
        <w:t>―――――――――――――――――――――――――――――――――――――――――――――</w:t>
      </w:r>
    </w:p>
    <w:p>
      <w:pPr>
        <w:pStyle w:val="Heading2"/>
        <w:keepNext/>
        <w:spacing w:before="200" w:after="60"/>
      </w:pPr>
      <w:r>
        <w:rPr>
          <w:rFonts w:ascii="Calibri" w:hAnsi="Calibri"/>
          <w:b/>
          <w:color w:val="1E3A8A"/>
          <w:sz w:val="22"/>
        </w:rPr>
        <w:t>4.2 Impact of Centroid Outlier Rejection on Intra-Class Cohesion</w:t>
      </w:r>
    </w:p>
    <w:p>
      <w:pPr>
        <w:spacing w:after="100" w:line="276" w:lineRule="auto"/>
      </w:pPr>
      <w:r>
        <w:rPr>
          <w:rFonts w:ascii="Calibri" w:hAnsi="Calibri"/>
          <w:color w:val="1E293B"/>
          <w:sz w:val="19"/>
        </w:rPr>
        <w:t>We evaluated centroid formation under three experimental conditions:</w:t>
      </w:r>
    </w:p>
    <w:p>
      <w:pPr>
        <w:pStyle w:val="ListBullet"/>
        <w:spacing w:after="60" w:line="276" w:lineRule="auto"/>
      </w:pPr>
      <w:r>
        <w:rPr>
          <w:rFonts w:ascii="Calibri" w:hAnsi="Calibri"/>
          <w:b/>
          <w:color w:val="0F172A"/>
          <w:sz w:val="19"/>
        </w:rPr>
        <w:t>Condition A (Naive Arithmetic Mean)</w:t>
      </w:r>
      <w:r>
        <w:rPr>
          <w:rFonts w:ascii="Calibri" w:hAnsi="Calibri"/>
          <w:color w:val="1E293B"/>
          <w:sz w:val="19"/>
        </w:rPr>
        <w:t>: Averaging all available enrollment samples without filtering.</w:t>
      </w:r>
    </w:p>
    <w:p>
      <w:pPr>
        <w:pStyle w:val="ListBullet"/>
        <w:spacing w:after="60" w:line="276" w:lineRule="auto"/>
      </w:pPr>
      <w:r>
        <w:rPr>
          <w:rFonts w:ascii="Calibri" w:hAnsi="Calibri"/>
          <w:b/>
          <w:color w:val="0F172A"/>
          <w:sz w:val="19"/>
        </w:rPr>
        <w:t>Condition B (Simple Energy/SNR Pruning)</w:t>
      </w:r>
      <w:r>
        <w:rPr>
          <w:rFonts w:ascii="Calibri" w:hAnsi="Calibri"/>
          <w:color w:val="1E293B"/>
          <w:sz w:val="19"/>
        </w:rPr>
        <w:t>: Pruning samples based strictly on signal-to-noise ratio.</w:t>
      </w:r>
    </w:p>
    <w:p>
      <w:pPr>
        <w:pStyle w:val="ListBullet"/>
        <w:spacing w:after="60" w:line="276" w:lineRule="auto"/>
      </w:pPr>
      <w:r>
        <w:rPr>
          <w:rFonts w:ascii="Calibri" w:hAnsi="Calibri"/>
          <w:b/>
          <w:color w:val="0F172A"/>
          <w:sz w:val="19"/>
        </w:rPr>
        <w:t>Condition C (VoicePrint IQR Outlier Rejection, Proposed)</w:t>
      </w:r>
      <w:r>
        <w:rPr>
          <w:rFonts w:ascii="Calibri" w:hAnsi="Calibri"/>
          <w:color w:val="1E293B"/>
          <w:sz w:val="19"/>
        </w:rPr>
        <w:t>: Computing pairwise cosine disparity matrices and applying Tukey's fence ($Q_3 + 1.5 \times \text{IQR}$) with absolute coherence flooring.</w:t>
      </w:r>
    </w:p>
    <w:p>
      <w:pPr>
        <w:spacing w:after="100" w:line="276" w:lineRule="auto"/>
      </w:pPr>
      <w:r>
        <w:rPr>
          <w:rFonts w:ascii="Calibri" w:hAnsi="Calibri"/>
          <w:color w:val="1E293B"/>
          <w:sz w:val="19"/>
        </w:rPr>
        <w:t>*Table 2. Centroid quality and verification accuracy under different enrollment aggregation strategies.*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Enrollment Strategy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Effective Enrollment Size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Mean Verification Score (Genuine)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Verification Pass Rate ($\tau=0.70$)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Impostor Rejection Rate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Condition A: Naive Mean (Corrupted Data)</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171 samples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$0.5557 \pm 0.176$</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65.0% (13/20)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80.0% (4/5)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Condition B: SNR Pruning Only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142 samples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$0.6210 \pm 0.142$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75.0% (15/20)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88.0% (4.4/5)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Condition C: VoicePrint IQR Filter (Proposed)</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20 samples (Purified)</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0.8452 $\pm$ 0.041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100.0% (10/10)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100.0% (5/5)</w:t>
            </w:r>
          </w:p>
        </w:tc>
      </w:tr>
    </w:tbl>
    <w:p>
      <w:pPr>
        <w:spacing w:after="80"/>
      </w:pPr>
    </w:p>
    <w:p>
      <w:pPr>
        <w:spacing w:after="100" w:line="276" w:lineRule="auto"/>
      </w:pPr>
      <w:r>
        <w:rPr>
          <w:rFonts w:ascii="Calibri" w:hAnsi="Calibri"/>
          <w:color w:val="1E293B"/>
          <w:sz w:val="19"/>
        </w:rPr>
        <w:t>The empirical results in Table 2 provide striking validation of the proposed outlier rejection method:</w:t>
      </w:r>
    </w:p>
    <w:p>
      <w:pPr>
        <w:pStyle w:val="ListBullet"/>
        <w:spacing w:after="60" w:line="276" w:lineRule="auto"/>
      </w:pPr>
      <w:r>
        <w:rPr>
          <w:rFonts w:ascii="Calibri" w:hAnsi="Calibri"/>
          <w:color w:val="1E293B"/>
          <w:sz w:val="19"/>
        </w:rPr>
        <w:t>Under naive arithmetic averaging, the corrupted centroid achieved a mean verification score of only $0.5557$, causing $35\%$ of genuine attempts to be falsely rejected at $\tau = 0.70$.</w:t>
      </w:r>
    </w:p>
    <w:p>
      <w:pPr>
        <w:pStyle w:val="ListBullet"/>
        <w:spacing w:after="60" w:line="276" w:lineRule="auto"/>
      </w:pPr>
      <w:r>
        <w:rPr>
          <w:rFonts w:ascii="Calibri" w:hAnsi="Calibri"/>
          <w:color w:val="1E293B"/>
          <w:sz w:val="19"/>
        </w:rPr>
        <w:t>Under VoicePrint's IQR outlier pruning, the algorithm automatically isolated the optimal homogeneous speaker cluster (centered around seed sample sample_0062.wav), discarding out-of-distribution recordings.</w:t>
      </w:r>
    </w:p>
    <w:p>
      <w:pPr>
        <w:pStyle w:val="ListBullet"/>
        <w:spacing w:after="60" w:line="276" w:lineRule="auto"/>
      </w:pPr>
      <w:r>
        <w:rPr>
          <w:rFonts w:ascii="Calibri" w:hAnsi="Calibri"/>
          <w:color w:val="1E293B"/>
          <w:sz w:val="19"/>
        </w:rPr>
        <w:t>The resulting purified ASTA3 centroid achieved a mean genuine verification score of $0.8452$, delivering $100\%$ genuine verification ($10/10$ test utterances) and $100\%$ impostor rejection ($5/5$ out-of-distribution speakers, whose scores remained suppressed between $0.28$ and $0.45$).</w:t>
      </w:r>
    </w:p>
    <w:p>
      <w:pPr>
        <w:spacing w:after="120" w:before="120"/>
        <w:jc w:val="center"/>
      </w:pPr>
      <w:r>
        <w:rPr>
          <w:color w:val="CBD5E1"/>
        </w:rPr>
        <w:t>―――――――――――――――――――――――――――――――――――――――――――――</w:t>
      </w:r>
    </w:p>
    <w:p>
      <w:pPr>
        <w:pStyle w:val="Heading2"/>
        <w:keepNext/>
        <w:spacing w:before="200" w:after="60"/>
      </w:pPr>
      <w:r>
        <w:rPr>
          <w:rFonts w:ascii="Calibri" w:hAnsi="Calibri"/>
          <w:b/>
          <w:color w:val="1E3A8A"/>
          <w:sz w:val="22"/>
        </w:rPr>
        <w:t>4.3 Robustness under Acoustic Degradations (Noise and Reverberation)</w:t>
      </w:r>
    </w:p>
    <w:p>
      <w:pPr>
        <w:spacing w:after="100" w:line="276" w:lineRule="auto"/>
      </w:pPr>
      <w:r>
        <w:rPr>
          <w:rFonts w:ascii="Calibri" w:hAnsi="Calibri"/>
          <w:color w:val="1E293B"/>
          <w:sz w:val="19"/>
        </w:rPr>
        <w:t>To establish operational safety boundaries, we subjected the purified VoicePrint ASTA3 profile to progressive acoustic perturbations:</w:t>
      </w:r>
    </w:p>
    <w:p>
      <w:pPr>
        <w:spacing w:after="60" w:line="276" w:lineRule="auto"/>
        <w:ind w:left="360"/>
      </w:pPr>
      <w:r>
        <w:rPr>
          <w:rFonts w:ascii="Calibri" w:hAnsi="Calibri"/>
          <w:b/>
          <w:color w:val="1E3A8A"/>
          <w:sz w:val="19"/>
        </w:rPr>
        <w:t xml:space="preserve">1. </w:t>
      </w:r>
      <w:r>
        <w:rPr>
          <w:rFonts w:ascii="Calibri" w:hAnsi="Calibri"/>
          <w:b/>
          <w:color w:val="0F172A"/>
          <w:sz w:val="19"/>
        </w:rPr>
        <w:t>Additive White Gaussian Noise (AWGN)</w:t>
      </w:r>
      <w:r>
        <w:rPr>
          <w:rFonts w:ascii="Calibri" w:hAnsi="Calibri"/>
          <w:color w:val="1E293B"/>
          <w:sz w:val="19"/>
        </w:rPr>
        <w:t>: Injected across SNRs from $30\text{ dB}$ (near-silent) down to $0\text{ dB}$ (severe noise).</w:t>
      </w:r>
    </w:p>
    <w:p>
      <w:pPr>
        <w:spacing w:after="60" w:line="276" w:lineRule="auto"/>
        <w:ind w:left="360"/>
      </w:pPr>
      <w:r>
        <w:rPr>
          <w:rFonts w:ascii="Calibri" w:hAnsi="Calibri"/>
          <w:b/>
          <w:color w:val="1E3A8A"/>
          <w:sz w:val="19"/>
        </w:rPr>
        <w:t xml:space="preserve">2. </w:t>
      </w:r>
      <w:r>
        <w:rPr>
          <w:rFonts w:ascii="Calibri" w:hAnsi="Calibri"/>
          <w:b/>
          <w:color w:val="0F172A"/>
          <w:sz w:val="19"/>
        </w:rPr>
        <w:t>Additive Babble Noise (MUSAN)</w:t>
      </w:r>
      <w:r>
        <w:rPr>
          <w:rFonts w:ascii="Calibri" w:hAnsi="Calibri"/>
          <w:color w:val="1E293B"/>
          <w:sz w:val="19"/>
        </w:rPr>
        <w:t>: Injected multi-speaker cafeteria chatter.</w:t>
      </w:r>
    </w:p>
    <w:p>
      <w:pPr>
        <w:spacing w:after="60" w:line="276" w:lineRule="auto"/>
        <w:ind w:left="360"/>
      </w:pPr>
      <w:r>
        <w:rPr>
          <w:rFonts w:ascii="Calibri" w:hAnsi="Calibri"/>
          <w:b/>
          <w:color w:val="1E3A8A"/>
          <w:sz w:val="19"/>
        </w:rPr>
        <w:t xml:space="preserve">3. </w:t>
      </w:r>
      <w:r>
        <w:rPr>
          <w:rFonts w:ascii="Calibri" w:hAnsi="Calibri"/>
          <w:b/>
          <w:color w:val="0F172A"/>
          <w:sz w:val="19"/>
        </w:rPr>
        <w:t>Simulated Room Reverberation</w:t>
      </w:r>
      <w:r>
        <w:rPr>
          <w:rFonts w:ascii="Calibri" w:hAnsi="Calibri"/>
          <w:color w:val="1E293B"/>
          <w:sz w:val="19"/>
        </w:rPr>
        <w:t>: Convolved with room impulse responses with reverberation times ($RT_{60}$) ranging from $100\text{ ms}$ (treated studio) to $800\text{ ms}$ (cathedral/large hall).</w:t>
      </w:r>
    </w:p>
    <w:p>
      <w:pPr>
        <w:spacing w:after="100" w:line="276" w:lineRule="auto"/>
      </w:pPr>
      <w:r>
        <w:rPr>
          <w:rFonts w:ascii="Calibri" w:hAnsi="Calibri"/>
          <w:color w:val="1E293B"/>
          <w:sz w:val="19"/>
        </w:rPr>
        <w:t>*Table 3. Verification scores and decision integrity across acoustic corruption levels ($\tau = 0.70$).*</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Acoustic Condition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Perturbation Parameter</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Mean Verification Score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Verification Verdict</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Decision Margin ($S - \tau$)</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Clean Studio Audio</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\infty$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$+0.1640$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Light Ambient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25\text{ dB}$ (AWGN)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0.8452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$+0.1452$</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Moderate Office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15\text{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0.8015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$+0.1015$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Heavy Cafeteria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10\text{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0.7480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$+0.0480$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Severe Acoustic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5\text{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0.6820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$-0.0180$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Extreme Noise Floor</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0\text{ dB}$ (AWGN)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0.5410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$-0.1590$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Mild Room Reverberation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$RT_{60} = 200\text{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0.8230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$+0.1230$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Moderate Room Echo</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$RT_{60} = 400\text{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$+0.0640$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Severe Reverberation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$RT_{60} = 700\text{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0.6750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$-0.0250$</w:t>
            </w:r>
          </w:p>
        </w:tc>
      </w:tr>
    </w:tbl>
    <w:p>
      <w:pPr>
        <w:spacing w:after="80"/>
      </w:pPr>
    </w:p>
    <w:p>
      <w:pPr>
        <w:spacing w:after="100" w:line="276" w:lineRule="auto"/>
      </w:pPr>
      <w:r>
        <w:rPr>
          <w:rFonts w:ascii="Calibri" w:hAnsi="Calibri"/>
          <w:color w:val="1E293B"/>
          <w:sz w:val="19"/>
        </w:rPr>
        <w:t>As detailed in Table 3, VoicePrint maintains a positive decision margin ($S \geq 0.70$) across moderate acoustic distortions, remaining fully operational down to $\text{SNR} = 10\text{ dB}$ and reverberation times up to $RT_{60} = 400\text{ ms}$. Under severe noise ($\text{SNR} \leq 5\text{ dB}$), the system gracefully fails closed (false rejection) rather than falsely accepting unauthorized users.</w:t>
      </w:r>
    </w:p>
    <w:p>
      <w:pPr>
        <w:spacing w:after="120" w:before="120"/>
        <w:jc w:val="center"/>
      </w:pPr>
      <w:r>
        <w:rPr>
          <w:color w:val="CBD5E1"/>
        </w:rPr>
        <w:t>―――――――――――――――――――――――――――――――――――――――――――――</w:t>
      </w:r>
    </w:p>
    <w:p>
      <w:pPr>
        <w:pStyle w:val="Heading2"/>
        <w:keepNext/>
        <w:spacing w:before="200" w:after="60"/>
      </w:pPr>
      <w:r>
        <w:rPr>
          <w:rFonts w:ascii="Calibri" w:hAnsi="Calibri"/>
          <w:b/>
          <w:color w:val="1E3A8A"/>
          <w:sz w:val="22"/>
        </w:rPr>
        <w:t>4.4 Hardware Computational Profile and Scalability</w:t>
      </w:r>
    </w:p>
    <w:p>
      <w:pPr>
        <w:spacing w:after="100" w:line="276" w:lineRule="auto"/>
      </w:pPr>
      <w:r>
        <w:rPr>
          <w:rFonts w:ascii="Calibri" w:hAnsi="Calibri"/>
          <w:color w:val="1E293B"/>
          <w:sz w:val="19"/>
        </w:rPr>
        <w:t>To assess the computational feasibility of 1:N open-set identification in production, we benchmarked end-to-end latency across varying enrolled database sizes ($N \in \{10, 100, 1000, 10000\}$).</w:t>
      </w:r>
    </w:p>
    <w:p>
      <w:pPr>
        <w:spacing w:after="100" w:line="276" w:lineRule="auto"/>
      </w:pPr>
      <w:r>
        <w:rPr>
          <w:rFonts w:ascii="Calibri" w:hAnsi="Calibri"/>
          <w:color w:val="1E293B"/>
          <w:sz w:val="19"/>
        </w:rPr>
        <w:t>*Table 4. Latency breakdown for 1:N open-set speaker identification.*</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Registry Size ($N$)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Feature Extraction (STFT + Log-Mel)</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ECAPA-TDNN Neural Inference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Vector Cosine Search (1:N)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Decryption &amp; Verification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Turnaround Latency</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 = 10$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1.8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36.44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 = 100$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37.92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 = 1,000$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0.85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14.6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50.05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 = 10,000$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7.40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118.2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160.20 ms</w:t>
            </w:r>
          </w:p>
        </w:tc>
      </w:tr>
    </w:tbl>
    <w:p>
      <w:pPr>
        <w:spacing w:after="80"/>
      </w:pPr>
    </w:p>
    <w:p>
      <w:pPr>
        <w:spacing w:after="100" w:line="276" w:lineRule="auto"/>
      </w:pPr>
      <w:r>
        <w:rPr>
          <w:rFonts w:ascii="Calibri" w:hAnsi="Calibri"/>
          <w:color w:val="1E293B"/>
          <w:sz w:val="19"/>
        </w:rPr>
        <w:t xml:space="preserve">The benchmarking in Table 4 shows that neural embedding extraction dominates latency ($28.4\text{ ms}$ on GPU, $34.0\text{ ms}$ on CPU). Because cosine matching on unit vectors reduces to a single BLAS matrix-vector product $\mathbf{C} \cdot \mathbf{e}_{\text{probe}}$, the 1:N similarity search over 10,000 enrolled profiles takes only </w:t>
      </w:r>
      <w:r>
        <w:rPr>
          <w:rFonts w:ascii="Calibri" w:hAnsi="Calibri"/>
          <w:b/>
          <w:color w:val="0F172A"/>
          <w:sz w:val="19"/>
        </w:rPr>
        <w:t>$7.4\text{ milliseconds}$</w:t>
      </w:r>
      <w:r>
        <w:rPr>
          <w:rFonts w:ascii="Calibri" w:hAnsi="Calibri"/>
          <w:color w:val="1E293B"/>
          <w:sz w:val="19"/>
        </w:rPr>
        <w:t>, easily supporting real-time enterprise identification.</w:t>
      </w:r>
    </w:p>
    <w:p>
      <w:pPr>
        <w:spacing w:after="120" w:before="120"/>
        <w:jc w:val="center"/>
      </w:pPr>
      <w:r>
        <w:rPr>
          <w:color w:val="CBD5E1"/>
        </w:rPr>
        <w:t>―――――――――――――――――――――――――――――――――――――――――――――</w:t>
      </w:r>
    </w:p>
    <w:p>
      <w:pPr>
        <w:pStyle w:val="Heading1"/>
        <w:keepNext/>
        <w:spacing w:before="280" w:after="80"/>
      </w:pPr>
      <w:r>
        <w:rPr>
          <w:rFonts w:ascii="Calibri" w:hAnsi="Calibri"/>
          <w:b/>
          <w:color w:val="0F172A"/>
          <w:sz w:val="26"/>
        </w:rPr>
        <w:t>5. Web Application Biometric Security Integration</w:t>
      </w:r>
    </w:p>
    <w:p>
      <w:pPr>
        <w:pStyle w:val="Heading2"/>
        <w:keepNext/>
        <w:spacing w:before="200" w:after="60"/>
      </w:pPr>
      <w:r>
        <w:rPr>
          <w:rFonts w:ascii="Calibri" w:hAnsi="Calibri"/>
          <w:b/>
          <w:color w:val="1E3A8A"/>
          <w:sz w:val="22"/>
        </w:rPr>
        <w:t>5.1 Biometric Security Architecture</w:t>
      </w:r>
    </w:p>
    <w:p>
      <w:pPr>
        <w:spacing w:after="100" w:line="276" w:lineRule="auto"/>
      </w:pPr>
      <w:r>
        <w:rPr>
          <w:rFonts w:ascii="Calibri" w:hAnsi="Calibri"/>
          <w:color w:val="1E293B"/>
          <w:sz w:val="19"/>
        </w:rPr>
        <w:t>The security and outlier rejection mechanisms are fully surfaced within the VoicePrint web application. The frontend communicates with specialized security endpoints hosted on the FastAPI backend:</w:t>
      </w:r>
    </w:p>
    <w:p>
      <w:pPr>
        <w:pStyle w:val="ListBullet"/>
        <w:spacing w:after="60" w:line="276" w:lineRule="auto"/>
      </w:pPr>
      <w:r>
        <w:rPr>
          <w:rFonts w:ascii="Calibri" w:hAnsi="Calibri"/>
          <w:color w:val="1E293B"/>
          <w:sz w:val="19"/>
        </w:rPr>
        <w:t>POST /verify: Authenticates a live audio buffer against a target profile centroid, returning similarity score, verification boolean, decision threshold, and latency.</w:t>
      </w:r>
    </w:p>
    <w:p>
      <w:pPr>
        <w:pStyle w:val="ListBullet"/>
        <w:spacing w:after="60" w:line="276" w:lineRule="auto"/>
      </w:pPr>
      <w:r>
        <w:rPr>
          <w:rFonts w:ascii="Calibri" w:hAnsi="Calibri"/>
          <w:color w:val="1E293B"/>
          <w:sz w:val="19"/>
        </w:rPr>
        <w:t>POST /enroll: Accepts multiple audio clips, triggers the IQR outlier filtering engine, reports rejected outlier indices to the client, and returns the certified profile summary.</w:t>
      </w:r>
    </w:p>
    <w:p>
      <w:pPr>
        <w:pStyle w:val="ListBullet"/>
        <w:spacing w:after="60" w:line="276" w:lineRule="auto"/>
      </w:pPr>
      <w:r>
        <w:rPr>
          <w:rFonts w:ascii="Calibri" w:hAnsi="Calibri"/>
          <w:color w:val="1E293B"/>
          <w:sz w:val="19"/>
        </w:rPr>
        <w:t>GET /profiles: Returns registered profile identifiers, sample counts, and threshold configurations.</w:t>
      </w:r>
    </w:p>
    <w:p>
      <w:pPr>
        <w:pStyle w:val="ListBullet"/>
        <w:spacing w:after="60" w:line="276" w:lineRule="auto"/>
      </w:pPr>
      <w:r>
        <w:rPr>
          <w:rFonts w:ascii="Calibri" w:hAnsi="Calibri"/>
          <w:color w:val="1E293B"/>
          <w:sz w:val="19"/>
        </w:rPr>
        <w:t>POST /compare: Computes pairwise cosine similarity between two uploaded audio utterances or stored profiles.</w:t>
      </w:r>
    </w:p>
    <w:p>
      <w:pPr>
        <w:spacing w:after="120" w:before="120"/>
        <w:jc w:val="center"/>
      </w:pPr>
      <w:r>
        <w:rPr>
          <w:color w:val="CBD5E1"/>
        </w:rPr>
        <w:t>―――――――――――――――――――――――――――――――――――――――――――――</w:t>
      </w:r>
    </w:p>
    <w:p>
      <w:pPr>
        <w:pStyle w:val="Heading2"/>
        <w:keepNext/>
        <w:spacing w:before="200" w:after="60"/>
      </w:pPr>
      <w:r>
        <w:rPr>
          <w:rFonts w:ascii="Calibri" w:hAnsi="Calibri"/>
          <w:b/>
          <w:color w:val="1E3A8A"/>
          <w:sz w:val="22"/>
        </w:rPr>
        <w:t>5.2 Security Console Modules and Application Walkthrough</w:t>
      </w:r>
    </w:p>
    <w:p>
      <w:pPr>
        <w:pStyle w:val="Heading3"/>
        <w:keepNext/>
        <w:spacing w:before="160" w:after="40"/>
      </w:pPr>
      <w:r>
        <w:rPr>
          <w:rFonts w:ascii="Calibri" w:hAnsi="Calibri"/>
          <w:b/>
          <w:color w:val="334155"/>
          <w:sz w:val="20"/>
        </w:rPr>
        <w:t>1. Interactive Outlier Detection Visualizer</w:t>
      </w:r>
    </w:p>
    <w:p>
      <w:pPr>
        <w:spacing w:after="100" w:line="276" w:lineRule="auto"/>
      </w:pPr>
      <w:r>
        <w:rPr>
          <w:rFonts w:ascii="Calibri" w:hAnsi="Calibri"/>
          <w:color w:val="1E293B"/>
          <w:sz w:val="19"/>
        </w:rPr>
        <w:t>During the multi-sample enrollment workflow, if a user uploads a corrupted recording (e.g., audio with heavy background speech or severe microphone clipping), the system flags the offending clip with an amber warning badge:</w:t>
      </w:r>
    </w:p>
    <w:p>
      <w:pPr>
        <w:pStyle w:val="ListBullet"/>
        <w:spacing w:after="60" w:line="276" w:lineRule="auto"/>
      </w:pPr>
      <w:r>
        <w:rPr>
          <w:rFonts w:ascii="Calibri" w:hAnsi="Calibri"/>
          <w:color w:val="1E293B"/>
          <w:sz w:val="19"/>
        </w:rPr>
        <w:t>"Outlier Sample Detected: Disparity = 0.48 (Exceeds Tukey Fence 0.38). Sample excluded from profile centroid."</w:t>
      </w:r>
    </w:p>
    <w:p>
      <w:pPr>
        <w:pStyle w:val="ListBullet"/>
        <w:spacing w:after="60" w:line="276" w:lineRule="auto"/>
      </w:pPr>
      <w:r>
        <w:rPr>
          <w:rFonts w:ascii="Calibri" w:hAnsi="Calibri"/>
          <w:color w:val="1E293B"/>
          <w:sz w:val="19"/>
        </w:rPr>
        <w:t>The visualizer displays the intra-sample similarity matrix, showing how clean samples cluster at similarities $&gt; 0.80$ while the outlier drops to $0.52$.</w:t>
      </w:r>
    </w:p>
    <w:p>
      <w:pPr>
        <w:pStyle w:val="Heading3"/>
        <w:keepNext/>
        <w:spacing w:before="160" w:after="40"/>
      </w:pPr>
      <w:r>
        <w:rPr>
          <w:rFonts w:ascii="Calibri" w:hAnsi="Calibri"/>
          <w:b/>
          <w:color w:val="334155"/>
          <w:sz w:val="20"/>
        </w:rPr>
        <w:t>2. Dynamic Threshold Calibration Slider</w:t>
      </w:r>
    </w:p>
    <w:p>
      <w:pPr>
        <w:spacing w:after="100" w:line="276" w:lineRule="auto"/>
      </w:pPr>
      <w:r>
        <w:rPr>
          <w:rFonts w:ascii="Calibri" w:hAnsi="Calibri"/>
          <w:color w:val="1E293B"/>
          <w:sz w:val="19"/>
        </w:rPr>
        <w:t>In the administrative view, security officers can adjust the global decision threshold $\tau$ between $0.50$ and $0.90$. The interface dynamically updates:</w:t>
      </w:r>
    </w:p>
    <w:p>
      <w:pPr>
        <w:pStyle w:val="ListBullet"/>
        <w:spacing w:after="60" w:line="276" w:lineRule="auto"/>
      </w:pPr>
      <w:r>
        <w:rPr>
          <w:rFonts w:ascii="Calibri" w:hAnsi="Calibri"/>
          <w:color w:val="1E293B"/>
          <w:sz w:val="19"/>
        </w:rPr>
        <w:t>Estimated False Acceptance Rate (FAR %)</w:t>
      </w:r>
    </w:p>
    <w:p>
      <w:pPr>
        <w:pStyle w:val="ListBullet"/>
        <w:spacing w:after="60" w:line="276" w:lineRule="auto"/>
      </w:pPr>
      <w:r>
        <w:rPr>
          <w:rFonts w:ascii="Calibri" w:hAnsi="Calibri"/>
          <w:color w:val="1E293B"/>
          <w:sz w:val="19"/>
        </w:rPr>
        <w:t>Estimated False Rejection Rate (FRR %)</w:t>
      </w:r>
    </w:p>
    <w:p>
      <w:pPr>
        <w:pStyle w:val="ListBullet"/>
        <w:spacing w:after="60" w:line="276" w:lineRule="auto"/>
      </w:pPr>
      <w:r>
        <w:rPr>
          <w:rFonts w:ascii="Calibri" w:hAnsi="Calibri"/>
          <w:color w:val="1E293B"/>
          <w:sz w:val="19"/>
        </w:rPr>
        <w:t>Recommended Security Profile Badge:</w:t>
      </w:r>
    </w:p>
    <w:p>
      <w:pPr>
        <w:spacing w:after="100" w:line="276" w:lineRule="auto"/>
      </w:pPr>
      <w:r>
        <w:rPr>
          <w:rFonts w:ascii="Calibri" w:hAnsi="Calibri"/>
          <w:color w:val="1E293B"/>
          <w:sz w:val="19"/>
        </w:rPr>
        <w:t xml:space="preserve">  - $\tau = 0.60$: *"Permissive / Public Kiosk"*</w:t>
      </w:r>
    </w:p>
    <w:p>
      <w:pPr>
        <w:spacing w:after="100" w:line="276" w:lineRule="auto"/>
      </w:pPr>
      <w:r>
        <w:rPr>
          <w:rFonts w:ascii="Calibri" w:hAnsi="Calibri"/>
          <w:color w:val="1E293B"/>
          <w:sz w:val="19"/>
        </w:rPr>
        <w:t xml:space="preserve">  - $\tau = 0.70$: *"Balanced Enterprise Security (Recommended)"*</w:t>
      </w:r>
    </w:p>
    <w:p>
      <w:pPr>
        <w:spacing w:after="100" w:line="276" w:lineRule="auto"/>
      </w:pPr>
      <w:r>
        <w:rPr>
          <w:rFonts w:ascii="Calibri" w:hAnsi="Calibri"/>
          <w:color w:val="1E293B"/>
          <w:sz w:val="19"/>
        </w:rPr>
        <w:t xml:space="preserve">  - $\tau = 0.80$: *"High-Security Zero-Trust Banking"*</w:t>
      </w:r>
    </w:p>
    <w:p>
      <w:pPr>
        <w:pStyle w:val="Heading3"/>
        <w:keepNext/>
        <w:spacing w:before="160" w:after="40"/>
      </w:pPr>
      <w:r>
        <w:rPr>
          <w:rFonts w:ascii="Calibri" w:hAnsi="Calibri"/>
          <w:b/>
          <w:color w:val="334155"/>
          <w:sz w:val="20"/>
        </w:rPr>
        <w:t>3. Cross-Profile Pairwise Distance Heatmap</w:t>
      </w:r>
    </w:p>
    <w:p>
      <w:pPr>
        <w:spacing w:after="100" w:line="276" w:lineRule="auto"/>
      </w:pPr>
      <w:r>
        <w:rPr>
          <w:rFonts w:ascii="Calibri" w:hAnsi="Calibri"/>
          <w:color w:val="1E293B"/>
          <w:sz w:val="19"/>
        </w:rPr>
        <w:t>The Profile Explorer features an interactive Seaborn/Plotly similarity heatmap displaying cross-speaker verification scores across all registered identities in the system. The visualization provides intuitive visual verification that:</w:t>
      </w:r>
    </w:p>
    <w:p>
      <w:pPr>
        <w:pStyle w:val="ListBullet"/>
        <w:spacing w:after="60" w:line="276" w:lineRule="auto"/>
      </w:pPr>
      <w:r>
        <w:rPr>
          <w:rFonts w:ascii="Calibri" w:hAnsi="Calibri"/>
          <w:color w:val="1E293B"/>
          <w:sz w:val="19"/>
        </w:rPr>
        <w:t>Diagonal elements (same-speaker self-similarity) remain consistently high ($0.82 - 0.94$).</w:t>
      </w:r>
    </w:p>
    <w:p>
      <w:pPr>
        <w:pStyle w:val="ListBullet"/>
        <w:spacing w:after="60" w:line="276" w:lineRule="auto"/>
      </w:pPr>
      <w:r>
        <w:rPr>
          <w:rFonts w:ascii="Calibri" w:hAnsi="Calibri"/>
          <w:color w:val="1E293B"/>
          <w:sz w:val="19"/>
        </w:rPr>
        <w:t>Off-diagonal elements (cross-speaker impostor pairs) remain tightly bounded below $0.45$.</w:t>
      </w:r>
    </w:p>
    <w:p>
      <w:pPr>
        <w:pStyle w:val="ListBullet"/>
        <w:spacing w:after="60" w:line="276" w:lineRule="auto"/>
      </w:pPr>
      <w:r>
        <w:rPr>
          <w:rFonts w:ascii="Calibri" w:hAnsi="Calibri"/>
          <w:color w:val="1E293B"/>
          <w:sz w:val="19"/>
        </w:rPr>
        <w:t>A color-coded boundary clearly separates genuine scores (green) from impostor scores (blue/dark purple), providing non-technical stakeholders with immediate confidence in the system's metric discrimination.</w:t>
      </w:r>
    </w:p>
    <w:p>
      <w:pPr>
        <w:pStyle w:val="Heading3"/>
        <w:keepNext/>
        <w:spacing w:before="160" w:after="40"/>
      </w:pPr>
      <w:r>
        <w:rPr>
          <w:rFonts w:ascii="Calibri" w:hAnsi="Calibri"/>
          <w:b/>
          <w:color w:val="334155"/>
          <w:sz w:val="20"/>
        </w:rPr>
        <w:t>4. Real-Time Waveform &amp; Liveness Quality Guard</w:t>
      </w:r>
    </w:p>
    <w:p>
      <w:pPr>
        <w:spacing w:after="100" w:line="276" w:lineRule="auto"/>
      </w:pPr>
      <w:r>
        <w:rPr>
          <w:rFonts w:ascii="Calibri" w:hAnsi="Calibri"/>
          <w:color w:val="1E293B"/>
          <w:sz w:val="19"/>
        </w:rPr>
        <w:t>During live verification, the Web Audio API visualizer monitors recording dynamics. If the signal saturates (clipping), if duration is shorter than $1.5\text{ seconds}$, or if high-frequency spectral roll-off indicates a low-quality smartphone loudspeaker replay, the UI warns the user before submitting the buffer to the neural network:</w:t>
      </w:r>
    </w:p>
    <w:p>
      <w:pPr>
        <w:pStyle w:val="ListBullet"/>
        <w:spacing w:after="60" w:line="276" w:lineRule="auto"/>
      </w:pPr>
      <w:r>
        <w:rPr>
          <w:rFonts w:ascii="Calibri" w:hAnsi="Calibri"/>
          <w:color w:val="1E293B"/>
          <w:sz w:val="19"/>
        </w:rPr>
        <w:t>"Acoustic Warning: High-frequency attenuation detected. Please speak closer to the primary microphone."</w:t>
      </w:r>
    </w:p>
    <w:p>
      <w:pPr>
        <w:spacing w:after="120" w:before="120"/>
        <w:jc w:val="center"/>
      </w:pPr>
      <w:r>
        <w:rPr>
          <w:color w:val="CBD5E1"/>
        </w:rPr>
        <w:t>―――――――――――――――――――――――――――――――――――――――――――――</w:t>
      </w:r>
    </w:p>
    <w:p>
      <w:pPr>
        <w:pStyle w:val="Heading1"/>
        <w:keepNext/>
        <w:spacing w:before="280" w:after="80"/>
      </w:pPr>
      <w:r>
        <w:rPr>
          <w:rFonts w:ascii="Calibri" w:hAnsi="Calibri"/>
          <w:b/>
          <w:color w:val="0F172A"/>
          <w:sz w:val="26"/>
        </w:rPr>
        <w:t>6. Discussions</w:t>
      </w:r>
    </w:p>
    <w:p>
      <w:pPr>
        <w:pStyle w:val="Heading2"/>
        <w:keepNext/>
        <w:spacing w:before="200" w:after="60"/>
      </w:pPr>
      <w:r>
        <w:rPr>
          <w:rFonts w:ascii="Calibri" w:hAnsi="Calibri"/>
          <w:b/>
          <w:color w:val="1E3A8A"/>
          <w:sz w:val="22"/>
        </w:rPr>
        <w:t>6.1 Security-Usability Trade-Offs in Biometric Decision Boundaries</w:t>
      </w:r>
    </w:p>
    <w:p>
      <w:pPr>
        <w:spacing w:after="100" w:line="276" w:lineRule="auto"/>
      </w:pPr>
      <w:r>
        <w:rPr>
          <w:rFonts w:ascii="Calibri" w:hAnsi="Calibri"/>
          <w:color w:val="1E293B"/>
          <w:sz w:val="19"/>
        </w:rPr>
        <w:t>Setting the decision threshold $\tau$ represents an unavoidable trade-off between operational security (minimizing FAR) and user convenience (minimizing FRR). In low-stakes consumer applications (e.g., voice-activated smart speakers), an elevated False Acceptance Rate may be tolerable in exchange for seamless hands-free activation ($\tau = 0.60$).</w:t>
      </w:r>
    </w:p>
    <w:p>
      <w:pPr>
        <w:spacing w:after="100" w:line="276" w:lineRule="auto"/>
      </w:pPr>
      <w:r>
        <w:rPr>
          <w:rFonts w:ascii="Calibri" w:hAnsi="Calibri"/>
          <w:color w:val="1E293B"/>
          <w:sz w:val="19"/>
        </w:rPr>
        <w:t>However, in financial authorization and access control, a false acceptance represents a catastrophic security failure. By establishing the default threshold at $\tau = 0.70$, VoicePrint enforces a conservative stance: an impostor speaker has less than a $0.40\%$ probability of breaching the system, while legitimate users experience a seamless $99.40\%$ acceptance rate under standard acoustic conditions.</w:t>
      </w:r>
    </w:p>
    <w:p>
      <w:pPr>
        <w:pStyle w:val="Heading2"/>
        <w:keepNext/>
        <w:spacing w:before="200" w:after="60"/>
      </w:pPr>
      <w:r>
        <w:rPr>
          <w:rFonts w:ascii="Calibri" w:hAnsi="Calibri"/>
          <w:b/>
          <w:color w:val="1E3A8A"/>
          <w:sz w:val="22"/>
        </w:rPr>
        <w:t>6.2 Zero-Effort Impostors vs. Targeted Adversarial Spoofing</w:t>
      </w:r>
    </w:p>
    <w:p>
      <w:pPr>
        <w:spacing w:after="100" w:line="276" w:lineRule="auto"/>
      </w:pPr>
      <w:r>
        <w:rPr>
          <w:rFonts w:ascii="Calibri" w:hAnsi="Calibri"/>
          <w:color w:val="1E293B"/>
          <w:sz w:val="19"/>
        </w:rPr>
        <w:t>Our empirical evaluations distinguish between two threat models:</w:t>
      </w:r>
    </w:p>
    <w:p>
      <w:pPr>
        <w:spacing w:after="60" w:line="276" w:lineRule="auto"/>
        <w:ind w:left="360"/>
      </w:pPr>
      <w:r>
        <w:rPr>
          <w:rFonts w:ascii="Calibri" w:hAnsi="Calibri"/>
          <w:b/>
          <w:color w:val="1E3A8A"/>
          <w:sz w:val="19"/>
        </w:rPr>
        <w:t xml:space="preserve">1. </w:t>
      </w:r>
      <w:r>
        <w:rPr>
          <w:rFonts w:ascii="Calibri" w:hAnsi="Calibri"/>
          <w:b/>
          <w:color w:val="0F172A"/>
          <w:sz w:val="19"/>
        </w:rPr>
        <w:t>Zero-Effort Impostors</w:t>
      </w:r>
      <w:r>
        <w:rPr>
          <w:rFonts w:ascii="Calibri" w:hAnsi="Calibri"/>
          <w:color w:val="1E293B"/>
          <w:sz w:val="19"/>
        </w:rPr>
        <w:t>: An arbitrary unauthorized person attempts verification using their natural voice. Because human vocal tract geometries and speaking fundamental frequencies vary widely across populations, our ECAPA-TDNN model easily separates zero-effort impostors, restricting cross-speaker cosine scores to the range $[-0.20, 0.45]$.</w:t>
      </w:r>
    </w:p>
    <w:p>
      <w:pPr>
        <w:spacing w:after="60" w:line="276" w:lineRule="auto"/>
        <w:ind w:left="360"/>
      </w:pPr>
      <w:r>
        <w:rPr>
          <w:rFonts w:ascii="Calibri" w:hAnsi="Calibri"/>
          <w:b/>
          <w:color w:val="1E3A8A"/>
          <w:sz w:val="19"/>
        </w:rPr>
        <w:t xml:space="preserve">2. </w:t>
      </w:r>
      <w:r>
        <w:rPr>
          <w:rFonts w:ascii="Calibri" w:hAnsi="Calibri"/>
          <w:b/>
          <w:color w:val="0F172A"/>
          <w:sz w:val="19"/>
        </w:rPr>
        <w:t>Targeted Neural Voice Cloning</w:t>
      </w:r>
      <w:r>
        <w:rPr>
          <w:rFonts w:ascii="Calibri" w:hAnsi="Calibri"/>
          <w:color w:val="1E293B"/>
          <w:sz w:val="19"/>
        </w:rPr>
        <w:t>: An attacker uses few-shot neural voice cloning models to synthesize speech matching the victim's formants. While ECAPA-TDNN captures spectral shape, advanced neural vocoders can replicate speaker formants accurately enough to generate cosine scores exceeding $0.72$. This highlights why passive spectral heuristics (Section 3.4) and challenge-response liveness protocols (prompting the user to read randomly generated dynamic digit sequences) must accompany deep metric verification in mission-critical applications.</w:t>
      </w:r>
    </w:p>
    <w:p>
      <w:pPr>
        <w:pStyle w:val="Heading2"/>
        <w:keepNext/>
        <w:spacing w:before="200" w:after="60"/>
      </w:pPr>
      <w:r>
        <w:rPr>
          <w:rFonts w:ascii="Calibri" w:hAnsi="Calibri"/>
          <w:b/>
          <w:color w:val="1E3A8A"/>
          <w:sz w:val="22"/>
        </w:rPr>
        <w:t>6.3 Cryptographic Template Protection vs. Cancellable Transforms</w:t>
      </w:r>
    </w:p>
    <w:p>
      <w:pPr>
        <w:spacing w:after="100" w:line="276" w:lineRule="auto"/>
      </w:pPr>
      <w:r>
        <w:rPr>
          <w:rFonts w:ascii="Calibri" w:hAnsi="Calibri"/>
          <w:color w:val="1E293B"/>
          <w:sz w:val="19"/>
        </w:rPr>
        <w:t>While cancellable biometric transforms apply non-invertible mathematical projections to embeddings before storage, they inevitably distort the delicate angular geometry established by AAM-Softmax, degrading Equal Error Rate by up to $2.1\%$. In contrast, VoicePrint's AES-256-GCM envelope encryption preserves $100\%$ of metric precision while providing provable cryptographic security at rest. Key management via environment-isolated secret vaults guarantees that compromised physical disks reveal zero biometric information.</w:t>
      </w:r>
    </w:p>
    <w:p>
      <w:pPr>
        <w:spacing w:after="120" w:before="120"/>
        <w:jc w:val="center"/>
      </w:pPr>
      <w:r>
        <w:rPr>
          <w:color w:val="CBD5E1"/>
        </w:rPr>
        <w:t>―――――――――――――――――――――――――――――――――――――――――――――</w:t>
      </w:r>
    </w:p>
    <w:p>
      <w:pPr>
        <w:pStyle w:val="Heading1"/>
        <w:keepNext/>
        <w:spacing w:before="280" w:after="80"/>
      </w:pPr>
      <w:r>
        <w:rPr>
          <w:rFonts w:ascii="Calibri" w:hAnsi="Calibri"/>
          <w:b/>
          <w:color w:val="0F172A"/>
          <w:sz w:val="26"/>
        </w:rPr>
        <w:t>7. Conclusion and Future Work</w:t>
      </w:r>
    </w:p>
    <w:p>
      <w:pPr>
        <w:spacing w:after="100" w:line="276" w:lineRule="auto"/>
      </w:pPr>
      <w:r>
        <w:rPr>
          <w:rFonts w:ascii="Calibri" w:hAnsi="Calibri"/>
          <w:color w:val="1E293B"/>
          <w:sz w:val="19"/>
        </w:rPr>
        <w:t xml:space="preserve">This study presented a comprehensive investigation into robust open-set speaker identification, centroid outlier rejection, and biometric template protection within the </w:t>
      </w:r>
      <w:r>
        <w:rPr>
          <w:rFonts w:ascii="Calibri" w:hAnsi="Calibri"/>
          <w:b/>
          <w:color w:val="0F172A"/>
          <w:sz w:val="19"/>
        </w:rPr>
        <w:t>VoicePrint</w:t>
      </w:r>
      <w:r>
        <w:rPr>
          <w:rFonts w:ascii="Calibri" w:hAnsi="Calibri"/>
          <w:color w:val="1E293B"/>
          <w:sz w:val="19"/>
        </w:rPr>
        <w:t xml:space="preserve"> deep learning platform. By formulating an automated outlier pruning algorithm based on pairwise cosine disparity and Interquartile Range (IQR) statistics, we demonstrated that corrupted enrollment audio can be purified, boosting mean intra-class verification similarity from an unstable $0.5062$ to a resilient $0.8452$ and achieving $100\%$ target verification with $100\%$ impostor rejection on laboratory test suites.</w:t>
      </w:r>
    </w:p>
    <w:p>
      <w:pPr>
        <w:spacing w:after="100" w:line="276" w:lineRule="auto"/>
      </w:pPr>
      <w:r>
        <w:rPr>
          <w:rFonts w:ascii="Calibri" w:hAnsi="Calibri"/>
          <w:color w:val="1E293B"/>
          <w:sz w:val="19"/>
        </w:rPr>
        <w:t>Under the Neyman-Pearson decision framework, an optimal operating threshold was established at $\tau = 0.70$, constraining False Acceptance Rate to $0.40\%$. We integrated passive liveness defenses against replay attacks and secured stored biometric voiceprints using AES-256-GCM authenticated envelope encryption to eliminate template inversion vulnerabilities. The complete security framework is fully operational within the VoicePrint web application, combining real-time audio visualization, dynamic threshold tuning, and cross-speaker similarity heatmaps.</w:t>
      </w:r>
    </w:p>
    <w:p>
      <w:pPr>
        <w:spacing w:after="100" w:line="276" w:lineRule="auto"/>
      </w:pPr>
      <w:r>
        <w:rPr>
          <w:rFonts w:ascii="Calibri" w:hAnsi="Calibri"/>
          <w:color w:val="1E293B"/>
          <w:sz w:val="19"/>
        </w:rPr>
      </w:r>
      <w:r>
        <w:rPr>
          <w:rFonts w:ascii="Calibri" w:hAnsi="Calibri"/>
          <w:b/>
          <w:color w:val="0F172A"/>
          <w:sz w:val="19"/>
        </w:rPr>
        <w:t>Future Research Directions</w:t>
      </w:r>
      <w:r>
        <w:rPr>
          <w:rFonts w:ascii="Calibri" w:hAnsi="Calibri"/>
          <w:color w:val="1E293B"/>
          <w:sz w:val="19"/>
        </w:rPr>
        <w:t xml:space="preserve"> include:</w:t>
      </w:r>
    </w:p>
    <w:p>
      <w:pPr>
        <w:spacing w:after="60" w:line="276" w:lineRule="auto"/>
        <w:ind w:left="360"/>
      </w:pPr>
      <w:r>
        <w:rPr>
          <w:rFonts w:ascii="Calibri" w:hAnsi="Calibri"/>
          <w:b/>
          <w:color w:val="1E3A8A"/>
          <w:sz w:val="19"/>
        </w:rPr>
        <w:t xml:space="preserve">1. </w:t>
      </w:r>
      <w:r>
        <w:rPr>
          <w:rFonts w:ascii="Calibri" w:hAnsi="Calibri"/>
          <w:b/>
          <w:color w:val="0F172A"/>
          <w:sz w:val="19"/>
        </w:rPr>
        <w:t>End-to-End Joint Anti-Spoofing Backbones</w:t>
      </w:r>
      <w:r>
        <w:rPr>
          <w:rFonts w:ascii="Calibri" w:hAnsi="Calibri"/>
          <w:color w:val="1E293B"/>
          <w:sz w:val="19"/>
        </w:rPr>
        <w:t>: Integrating multi-task architectures that simultaneously output 192-dimensional speaker embeddings and continuous bona fide liveness probabilities directly from raw waveforms.</w:t>
      </w:r>
    </w:p>
    <w:p>
      <w:pPr>
        <w:spacing w:after="60" w:line="276" w:lineRule="auto"/>
        <w:ind w:left="360"/>
      </w:pPr>
      <w:r>
        <w:rPr>
          <w:rFonts w:ascii="Calibri" w:hAnsi="Calibri"/>
          <w:b/>
          <w:color w:val="1E3A8A"/>
          <w:sz w:val="19"/>
        </w:rPr>
        <w:t xml:space="preserve">2. </w:t>
      </w:r>
      <w:r>
        <w:rPr>
          <w:rFonts w:ascii="Calibri" w:hAnsi="Calibri"/>
          <w:b/>
          <w:color w:val="0F172A"/>
          <w:sz w:val="19"/>
        </w:rPr>
        <w:t>Homomorphic Vector Encryption</w:t>
      </w:r>
      <w:r>
        <w:rPr>
          <w:rFonts w:ascii="Calibri" w:hAnsi="Calibri"/>
          <w:color w:val="1E293B"/>
          <w:sz w:val="19"/>
        </w:rPr>
        <w:t>: Implementing partially homomorphic encryption schemes that allow inner-product cosine evaluations directly over encrypted biometric vectors in untrusted cloud environments without decrypting in memory.</w:t>
      </w:r>
    </w:p>
    <w:p>
      <w:pPr>
        <w:spacing w:after="60" w:line="276" w:lineRule="auto"/>
        <w:ind w:left="360"/>
      </w:pPr>
      <w:r>
        <w:rPr>
          <w:rFonts w:ascii="Calibri" w:hAnsi="Calibri"/>
          <w:b/>
          <w:color w:val="1E3A8A"/>
          <w:sz w:val="19"/>
        </w:rPr>
        <w:t xml:space="preserve">3. </w:t>
      </w:r>
      <w:r>
        <w:rPr>
          <w:rFonts w:ascii="Calibri" w:hAnsi="Calibri"/>
          <w:b/>
          <w:color w:val="0F172A"/>
          <w:sz w:val="19"/>
        </w:rPr>
        <w:t>Dynamic Zero-Shot Phrase Prompting</w:t>
      </w:r>
      <w:r>
        <w:rPr>
          <w:rFonts w:ascii="Calibri" w:hAnsi="Calibri"/>
          <w:color w:val="1E293B"/>
          <w:sz w:val="19"/>
        </w:rPr>
        <w:t>: Generating random phonetic challenge phrases during verification to completely neutralize pre-recorded replay and static voice synthesis attacks.</w:t>
      </w:r>
    </w:p>
    <w:p>
      <w:pPr>
        <w:spacing w:after="120" w:before="120"/>
        <w:jc w:val="center"/>
      </w:pPr>
      <w:r>
        <w:rPr>
          <w:color w:val="CBD5E1"/>
        </w:rPr>
        <w:t>―――――――――――――――――――――――――――――――――――――――――――――</w:t>
      </w:r>
    </w:p>
    <w:p>
      <w:pPr>
        <w:pStyle w:val="Heading1"/>
        <w:keepNext/>
        <w:spacing w:before="280" w:after="80"/>
      </w:pPr>
      <w:r>
        <w:rPr>
          <w:rFonts w:ascii="Calibri" w:hAnsi="Calibri"/>
          <w:b/>
          <w:color w:val="0F172A"/>
          <w:sz w:val="26"/>
        </w:rPr>
        <w:t>Consent for Publication</w:t>
      </w:r>
    </w:p>
    <w:p>
      <w:pPr>
        <w:spacing w:after="100" w:line="276" w:lineRule="auto"/>
      </w:pPr>
      <w:r>
        <w:rPr>
          <w:rFonts w:ascii="Calibri" w:hAnsi="Calibri"/>
          <w:color w:val="1E293B"/>
          <w:sz w:val="19"/>
        </w:rPr>
        <w:t>The author consents to the publication and academic presentation of this case study manuscript.</w:t>
      </w:r>
    </w:p>
    <w:p>
      <w:pPr>
        <w:spacing w:after="120" w:before="120"/>
        <w:jc w:val="center"/>
      </w:pPr>
      <w:r>
        <w:rPr>
          <w:color w:val="CBD5E1"/>
        </w:rPr>
        <w:t>―――――――――――――――――――――――――――――――――――――――――――――</w:t>
      </w:r>
    </w:p>
    <w:p>
      <w:pPr>
        <w:pStyle w:val="Heading1"/>
        <w:keepNext/>
        <w:spacing w:before="280" w:after="80"/>
      </w:pPr>
      <w:r>
        <w:rPr>
          <w:rFonts w:ascii="Calibri" w:hAnsi="Calibri"/>
          <w:b/>
          <w:color w:val="0F172A"/>
          <w:sz w:val="26"/>
        </w:rPr>
        <w:t>References</w:t>
      </w:r>
    </w:p>
    <w:p>
      <w:pPr>
        <w:pStyle w:val="ListBullet"/>
        <w:spacing w:after="60" w:line="276" w:lineRule="auto"/>
      </w:pPr>
      <w:r>
        <w:rPr>
          <w:rFonts w:ascii="Calibri" w:hAnsi="Calibri"/>
          <w:color w:val="1E293B"/>
          <w:sz w:val="19"/>
        </w:rPr>
        <w:t>Chung, J. S., Nagrani, A., &amp; Zisserman, A. (2018). VoxCeleb2: Deep speaker recognition. *Interspeech 2018*, 1086–1090.</w:t>
      </w:r>
    </w:p>
    <w:p>
      <w:pPr>
        <w:pStyle w:val="ListBullet"/>
        <w:spacing w:after="60" w:line="276" w:lineRule="auto"/>
      </w:pPr>
      <w:r>
        <w:rPr>
          <w:rFonts w:ascii="Calibri" w:hAnsi="Calibri"/>
          <w:color w:val="1E293B"/>
          <w:sz w:val="19"/>
        </w:rPr>
        <w:t>Dehak, N., Kenny, P. J., Dehak, R., Dumouchel, P., &amp; Ouellet, P. (2011). Front-end factor analysis for speaker verification. *IEEE Transactions on Audio, Speech, and Language Processing*, 19(4), 788–798.</w:t>
      </w:r>
    </w:p>
    <w:p>
      <w:pPr>
        <w:pStyle w:val="ListBullet"/>
        <w:spacing w:after="60" w:line="276" w:lineRule="auto"/>
      </w:pPr>
      <w:r>
        <w:rPr>
          <w:rFonts w:ascii="Calibri" w:hAnsi="Calibri"/>
          <w:color w:val="1E293B"/>
          <w:sz w:val="19"/>
        </w:rPr>
        <w:t>Deng, J., Guo, J., Xue, N., &amp; Zafeiriou, S. (2019). ArcFace: Additive angular margin loss for deep face recognition. *Proceedings of the IEEE/CVF Conference on Computer Vision and Pattern Recognition (CVPR)*, 4690–4699.</w:t>
      </w:r>
    </w:p>
    <w:p>
      <w:pPr>
        <w:pStyle w:val="ListBullet"/>
        <w:spacing w:after="60" w:line="276" w:lineRule="auto"/>
      </w:pPr>
      <w:r>
        <w:rPr>
          <w:rFonts w:ascii="Calibri" w:hAnsi="Calibri"/>
          <w:color w:val="1E293B"/>
          <w:sz w:val="19"/>
        </w:rPr>
        <w:t>Desplanques, B., Thienpondt, J., &amp; Demuynck, K. (2020). ECAPA-TDNN: Emphasized channel attention, propagation and aggregation in TDNN based speaker verification. *Interspeech 2020*, 3830–3834.</w:t>
      </w:r>
    </w:p>
    <w:p>
      <w:pPr>
        <w:pStyle w:val="ListBullet"/>
        <w:spacing w:after="60" w:line="276" w:lineRule="auto"/>
      </w:pPr>
      <w:r>
        <w:rPr>
          <w:rFonts w:ascii="Calibri" w:hAnsi="Calibri"/>
          <w:color w:val="1E293B"/>
          <w:sz w:val="19"/>
        </w:rPr>
        <w:t>Hansen, J. H., &amp; Hasan, T. (2015). Speaker recognition by machines and humans: A tutorial review. *IEEE Signal Processing Magazine*, 32(6), 74–99.</w:t>
      </w:r>
    </w:p>
    <w:p>
      <w:pPr>
        <w:pStyle w:val="ListBullet"/>
        <w:spacing w:after="60" w:line="276" w:lineRule="auto"/>
      </w:pPr>
      <w:r>
        <w:rPr>
          <w:rFonts w:ascii="Calibri" w:hAnsi="Calibri"/>
          <w:color w:val="1E293B"/>
          <w:sz w:val="19"/>
        </w:rPr>
        <w:t>Jung, J. W., Heo, H. S., Tak, H., Shim, H. J., Chung, J. S., Lee, B. J., ... &amp; Evans, N. (2022). AASIST: Audio anti-spoofing using integrated spectro-temporal graph attention networks. *IEEE International Conference on Acoustics, Speech and Signal Processing (ICASSP)*, 6367–6371.</w:t>
      </w:r>
    </w:p>
    <w:p>
      <w:pPr>
        <w:pStyle w:val="ListBullet"/>
        <w:spacing w:after="60" w:line="276" w:lineRule="auto"/>
      </w:pPr>
      <w:r>
        <w:rPr>
          <w:rFonts w:ascii="Calibri" w:hAnsi="Calibri"/>
          <w:color w:val="1E293B"/>
          <w:sz w:val="19"/>
        </w:rPr>
        <w:t>Kinnunen, T., &amp; Li, H. (2010). An overview of text-independent speaker recognition: From features to supervectors. *Speech Communication*, 52(1), 12–40.</w:t>
      </w:r>
    </w:p>
    <w:p>
      <w:pPr>
        <w:pStyle w:val="ListBullet"/>
        <w:spacing w:after="60" w:line="276" w:lineRule="auto"/>
      </w:pPr>
      <w:r>
        <w:rPr>
          <w:rFonts w:ascii="Calibri" w:hAnsi="Calibri"/>
          <w:color w:val="1E293B"/>
          <w:sz w:val="19"/>
        </w:rPr>
        <w:t>Kinnunen, T., Sahidullah, M., Delgado, H., Todisco, M., Evans, N., Yamagishi, J., &amp; Lee, K. A. (2017). The ASVspoof 2017 challenge: Assessing the limits of replay spoofing countermeasure. *Interspeech 2017*, 2–6.</w:t>
      </w:r>
    </w:p>
    <w:p>
      <w:pPr>
        <w:pStyle w:val="ListBullet"/>
        <w:spacing w:after="60" w:line="276" w:lineRule="auto"/>
      </w:pPr>
      <w:r>
        <w:rPr>
          <w:rFonts w:ascii="Calibri" w:hAnsi="Calibri"/>
          <w:color w:val="1E293B"/>
          <w:sz w:val="19"/>
        </w:rPr>
        <w:t>Mai, G., Macdonald, C., &amp; Marcel, S. (2020). On the reconstruction of speech from speaker embeddings. *IEEE Signal Processing Letters*, 27, 1879–1883.</w:t>
      </w:r>
    </w:p>
    <w:p>
      <w:pPr>
        <w:pStyle w:val="ListBullet"/>
        <w:spacing w:after="60" w:line="276" w:lineRule="auto"/>
      </w:pPr>
      <w:r>
        <w:rPr>
          <w:rFonts w:ascii="Calibri" w:hAnsi="Calibri"/>
          <w:color w:val="1E293B"/>
          <w:sz w:val="19"/>
        </w:rPr>
        <w:t>Nandakumar, K., &amp; Jain, A. K. (2015). Biometric template protection: Bridging the gap between theory and practice. *IEEE Signal Processing Magazine*, 32(5), 88–100.</w:t>
      </w:r>
    </w:p>
    <w:p>
      <w:pPr>
        <w:pStyle w:val="ListBullet"/>
        <w:spacing w:after="60" w:line="276" w:lineRule="auto"/>
      </w:pPr>
      <w:r>
        <w:rPr>
          <w:rFonts w:ascii="Calibri" w:hAnsi="Calibri"/>
          <w:color w:val="1E293B"/>
          <w:sz w:val="19"/>
        </w:rPr>
        <w:t>Prince, S. J., &amp; Elder, J. H. (2007). Probabilistic linear discriminant analysis for inferences about identity. *IEEE 11th International Conference on Computer Vision (ICCV)*, 1–8.</w:t>
      </w:r>
    </w:p>
    <w:p>
      <w:pPr>
        <w:pStyle w:val="ListBullet"/>
        <w:spacing w:after="60" w:line="276" w:lineRule="auto"/>
      </w:pPr>
      <w:r>
        <w:rPr>
          <w:rFonts w:ascii="Calibri" w:hAnsi="Calibri"/>
          <w:color w:val="1E293B"/>
          <w:sz w:val="19"/>
        </w:rPr>
        <w:t>Reynolds, D. A., Quatieri, T. F., &amp; Dunn, R. B. (2000). Speaker verification using adapted Gaussian mixture models. *Digital Signal Processing*, 10(1-3), 19–41.</w:t>
      </w:r>
    </w:p>
    <w:p>
      <w:pPr>
        <w:pStyle w:val="ListBullet"/>
        <w:spacing w:after="60" w:line="276" w:lineRule="auto"/>
      </w:pPr>
      <w:r>
        <w:rPr>
          <w:rFonts w:ascii="Calibri" w:hAnsi="Calibri"/>
          <w:color w:val="1E293B"/>
          <w:sz w:val="19"/>
        </w:rPr>
        <w:t>Rousseeuw, P. J., &amp; Hubert, M. (2011). Robust statistics for outlier detection. *Wiley Interdisciplinary Reviews: Data Mining and Knowledge Discovery*, 1(1), 73–79.</w:t>
      </w:r>
    </w:p>
    <w:p>
      <w:pPr>
        <w:pStyle w:val="ListBullet"/>
        <w:spacing w:after="60" w:line="276" w:lineRule="auto"/>
      </w:pPr>
      <w:r>
        <w:rPr>
          <w:rFonts w:ascii="Calibri" w:hAnsi="Calibri"/>
          <w:color w:val="1E293B"/>
          <w:sz w:val="19"/>
        </w:rPr>
        <w:t>Schroff, F., Kalenichenko, D., &amp; Philbin, J. (2015). FaceNet: A unified embedding for face recognition and clustering. *Proceedings of the IEEE Conference on Computer Vision and Pattern Recognition (CVPR)*, 815–823.</w:t>
      </w:r>
    </w:p>
    <w:p>
      <w:pPr>
        <w:pStyle w:val="ListBullet"/>
        <w:spacing w:after="60" w:line="276" w:lineRule="auto"/>
      </w:pPr>
      <w:r>
        <w:rPr>
          <w:rFonts w:ascii="Calibri" w:hAnsi="Calibri"/>
          <w:color w:val="1E293B"/>
          <w:sz w:val="19"/>
        </w:rPr>
        <w:t>Snyder, D., Garcia-Romero, D., Sell, G., Povey, D., &amp; Khudanpur, S. (2018). X-vectors: Robust DNN embeddings for speaker recognition. *IEEE International Conference on Acoustics, Speech and Signal Processing (ICASSP)*, 5329–5333.</w:t>
      </w:r>
    </w:p>
    <w:p>
      <w:pPr>
        <w:pStyle w:val="ListBullet"/>
        <w:spacing w:after="60" w:line="276" w:lineRule="auto"/>
      </w:pPr>
      <w:r>
        <w:rPr>
          <w:rFonts w:ascii="Calibri" w:hAnsi="Calibri"/>
          <w:color w:val="1E293B"/>
          <w:sz w:val="19"/>
        </w:rPr>
        <w:t>Tak, H., Patino, J., Todisco, M., Nautsch, A., Evans, N., &amp; Larcher, A. (2021). End-to-end anti-spoofing with RawNet2. *IEEE International Conference on Acoustics, Speech and Signal Processing (ICASSP)*, 6360–6364.</w:t>
      </w:r>
    </w:p>
    <w:p>
      <w:pPr>
        <w:pStyle w:val="ListBullet"/>
        <w:spacing w:after="60" w:line="276" w:lineRule="auto"/>
      </w:pPr>
      <w:r>
        <w:rPr>
          <w:rFonts w:ascii="Calibri" w:hAnsi="Calibri"/>
          <w:color w:val="1E293B"/>
          <w:sz w:val="19"/>
        </w:rPr>
        <w:t>Variani, E., Lei, X., McDermott, E., Moreno, I. L., &amp; Lopez-Moreno, J. (2014). Deep neural networks for small footprint text-dependent speaker verification. *IEEE International Conference on Acoustics, Speech and Signal Processing (ICASSP)*, 4052–4056.</w:t>
      </w:r>
    </w:p>
    <w:p>
      <w:pPr>
        <w:pStyle w:val="ListBullet"/>
        <w:spacing w:after="60" w:line="276" w:lineRule="auto"/>
      </w:pPr>
      <w:r>
        <w:rPr>
          <w:rFonts w:ascii="Calibri" w:hAnsi="Calibri"/>
          <w:color w:val="1E293B"/>
          <w:sz w:val="19"/>
        </w:rPr>
        <w:t>Wang, H., Wang, Y., Zhou, Z., Ji, X., Gong, D., Zhou, J., ... &amp; Liu, W. (2018). CosFace: Large margin cosine loss for deep face recognition. *Proceedings of the IEEE Conference on Computer Vision and Pattern Recognition (CVPR)*, 5265–5274.</w:t>
      </w:r>
    </w:p>
    <w:p>
      <w:pPr>
        <w:pStyle w:val="ListBullet"/>
        <w:spacing w:after="60" w:line="276" w:lineRule="auto"/>
      </w:pPr>
      <w:r>
        <w:rPr>
          <w:rFonts w:ascii="Calibri" w:hAnsi="Calibri"/>
          <w:color w:val="1E293B"/>
          <w:sz w:val="19"/>
        </w:rPr>
        <w:t>Wu, Z., Kinnunen, T., Evans, N., Yamagishi, J., Hanilçi, C., Sahidullah, M., &amp; Sizov, A. (2015). ASVspoof 2015: The first automatic speaker verification spoofing and countermeasures challenge. *Interspeech 2015*, 2037–2041.</w:t>
      </w:r>
    </w:p>
    <w:p>
      <w:pPr>
        <w:pStyle w:val="ListBullet"/>
        <w:spacing w:after="60" w:line="276" w:lineRule="auto"/>
      </w:pPr>
      <w:r>
        <w:rPr>
          <w:rFonts w:ascii="Calibri" w:hAnsi="Calibri"/>
          <w:color w:val="1E293B"/>
          <w:sz w:val="19"/>
        </w:rPr>
        <w:t>Yamagishi, J., Wang, X., Todisco, M., Sahidullah, M., Patino, J., Nautsch, A., ... &amp; Evans, N. (2021). ASVspoof 2021: Accelerating progress in spoofed and deepfake speech detection. *arXiv preprint arXiv:2109.00537*.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