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7370" w14:textId="77777777" w:rsidR="008A11BB" w:rsidRDefault="00000000">
      <w:pPr>
        <w:pStyle w:val="Heading1"/>
        <w:ind w:left="-5" w:right="0"/>
      </w:pPr>
      <w:r>
        <w:t xml:space="preserve">Chapter 1 </w:t>
      </w:r>
      <w:proofErr w:type="gramStart"/>
      <w:r>
        <w:t>Summary :</w:t>
      </w:r>
      <w:proofErr w:type="gramEnd"/>
      <w:r>
        <w:t xml:space="preserve"> Deep Work Is Valuable</w:t>
      </w:r>
    </w:p>
    <w:p w14:paraId="11B972AC" w14:textId="77777777" w:rsidR="008A11BB" w:rsidRDefault="00000000">
      <w:pPr>
        <w:spacing w:after="227" w:line="259" w:lineRule="auto"/>
        <w:ind w:left="0" w:right="0" w:firstLine="0"/>
      </w:pPr>
      <w:r>
        <w:rPr>
          <w:noProof/>
        </w:rPr>
        <w:drawing>
          <wp:inline distT="0" distB="0" distL="0" distR="0" wp14:anchorId="499F2A64" wp14:editId="7A2A0F66">
            <wp:extent cx="2556000" cy="25560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06" w:type="dxa"/>
        <w:tblInd w:w="-220" w:type="dxa"/>
        <w:tblCellMar>
          <w:top w:w="1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951"/>
        <w:gridCol w:w="7355"/>
      </w:tblGrid>
      <w:tr w:rsidR="008A11BB" w14:paraId="69E0FBF9" w14:textId="77777777">
        <w:trPr>
          <w:trHeight w:val="43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270E1F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lastRenderedPageBreak/>
              <w:t>Section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F988989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>Summary</w:t>
            </w:r>
          </w:p>
        </w:tc>
      </w:tr>
      <w:tr w:rsidR="008A11BB" w14:paraId="2DAEE72D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2F69ED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Introduction to Success in the</w:t>
            </w:r>
          </w:p>
          <w:p w14:paraId="70FFAD9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New Economy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B29947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Highlights success stories of individuals thriving in the digital economy, showcasing the impact of digital tech on </w:t>
            </w:r>
            <w:proofErr w:type="spellStart"/>
            <w:r>
              <w:rPr>
                <w:color w:val="000000"/>
                <w:sz w:val="20"/>
              </w:rPr>
              <w:t>labor</w:t>
            </w:r>
            <w:proofErr w:type="spellEnd"/>
            <w:r>
              <w:rPr>
                <w:color w:val="000000"/>
                <w:sz w:val="20"/>
              </w:rPr>
              <w:t xml:space="preserve"> markets.</w:t>
            </w:r>
          </w:p>
        </w:tc>
      </w:tr>
      <w:tr w:rsidR="008A11BB" w14:paraId="2D99C0F1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E76D89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Macro vs. Micro Perspectives on</w:t>
            </w:r>
          </w:p>
          <w:p w14:paraId="2E61DF7C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Success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C77328" w14:textId="77777777" w:rsidR="008A11B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color w:val="000000"/>
                <w:sz w:val="20"/>
              </w:rPr>
              <w:t>Analyzes</w:t>
            </w:r>
            <w:proofErr w:type="spellEnd"/>
            <w:r>
              <w:rPr>
                <w:color w:val="000000"/>
                <w:sz w:val="20"/>
              </w:rPr>
              <w:t xml:space="preserve"> success from individual traits (micro) and overarching economic trends (macro) to identify rewarding work patterns.</w:t>
            </w:r>
          </w:p>
        </w:tc>
      </w:tr>
      <w:tr w:rsidR="008A11BB" w14:paraId="41CF5556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8B975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Great Restructuring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39005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Describes a transformative phase where tech advancement outpaces skill development, leading to job bifurcation.</w:t>
            </w:r>
          </w:p>
        </w:tc>
      </w:tr>
      <w:tr w:rsidR="008A11BB" w14:paraId="69466BD1" w14:textId="77777777">
        <w:trPr>
          <w:trHeight w:val="204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099983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Three Beneficiary Groups in the</w:t>
            </w:r>
          </w:p>
          <w:p w14:paraId="6D530530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New Economy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bottom"/>
          </w:tcPr>
          <w:p w14:paraId="24FAF109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    </w:t>
            </w:r>
          </w:p>
          <w:p w14:paraId="49FD9DA4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        High-Skilled Workers: Excel in data analysis and complex machines.</w:t>
            </w:r>
          </w:p>
          <w:p w14:paraId="21957F56" w14:textId="77777777" w:rsidR="008A11BB" w:rsidRDefault="00000000">
            <w:pPr>
              <w:spacing w:after="0" w:line="238" w:lineRule="auto"/>
              <w:ind w:left="0" w:right="499" w:firstLine="0"/>
              <w:jc w:val="both"/>
            </w:pPr>
            <w:r>
              <w:rPr>
                <w:color w:val="000000"/>
                <w:sz w:val="20"/>
              </w:rPr>
              <w:t xml:space="preserve">                    Superstars: Exceptional talents selected in a global talent marketplace.                     Owners of Capital: Investors like John Doerr benefiting from tech with minimal </w:t>
            </w:r>
            <w:proofErr w:type="spellStart"/>
            <w:r>
              <w:rPr>
                <w:color w:val="000000"/>
                <w:sz w:val="20"/>
              </w:rPr>
              <w:t>labor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  <w:p w14:paraId="7F42C926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    </w:t>
            </w:r>
          </w:p>
          <w:p w14:paraId="402BBEE0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</w:t>
            </w:r>
          </w:p>
        </w:tc>
      </w:tr>
      <w:tr w:rsidR="008A11BB" w14:paraId="63DEDB13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A325F7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Key Abilities for Thriving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6F443EF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Highlights mastery of complex skills and elite-level production as core abilities for success.</w:t>
            </w:r>
          </w:p>
        </w:tc>
      </w:tr>
      <w:tr w:rsidR="008A11BB" w14:paraId="376DBBA5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874B08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Importance of Deep Work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5657A9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Argues deep work is essential for developing key abilities by enabling focused engagement and valuable output.</w:t>
            </w:r>
          </w:p>
        </w:tc>
      </w:tr>
      <w:tr w:rsidR="008A11BB" w14:paraId="3E7862FD" w14:textId="77777777">
        <w:trPr>
          <w:trHeight w:val="181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C48D33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How Deep Work Enhances</w:t>
            </w:r>
          </w:p>
          <w:p w14:paraId="1A69925B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Learning and Productivity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bottom"/>
          </w:tcPr>
          <w:p w14:paraId="5F2062B5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    </w:t>
            </w:r>
          </w:p>
          <w:p w14:paraId="787795B0" w14:textId="77777777" w:rsidR="008A11BB" w:rsidRDefault="00000000">
            <w:pPr>
              <w:spacing w:after="0" w:line="238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        Facilitates Mastery: Enhances skill improvement through focused practice.                     Enables High Output: Optimizes productivity by concentrating on single tasks.</w:t>
            </w:r>
          </w:p>
          <w:p w14:paraId="1EB67C46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    </w:t>
            </w:r>
          </w:p>
          <w:p w14:paraId="59CA3C4E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            </w:t>
            </w:r>
          </w:p>
        </w:tc>
      </w:tr>
      <w:tr w:rsidR="008A11BB" w14:paraId="68EAA526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7A57E8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Counter-Example: Jack Dorsey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8B2A83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Examines Dorsey's success in distraction but notes he is an exception, emphasizing deep work's rarity and need.</w:t>
            </w:r>
          </w:p>
        </w:tc>
      </w:tr>
      <w:tr w:rsidR="008A11BB" w14:paraId="63D55D0D" w14:textId="77777777">
        <w:trPr>
          <w:trHeight w:val="43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CCEA08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DF179A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>Summary</w:t>
            </w:r>
          </w:p>
        </w:tc>
      </w:tr>
      <w:tr w:rsidR="008A11BB" w14:paraId="708BB5F1" w14:textId="77777777">
        <w:trPr>
          <w:trHeight w:val="660"/>
        </w:trPr>
        <w:tc>
          <w:tcPr>
            <w:tcW w:w="29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5FA3F4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Conclusion</w:t>
            </w:r>
          </w:p>
        </w:tc>
        <w:tc>
          <w:tcPr>
            <w:tcW w:w="73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F216E27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Positions deep work as essential for success in the modern economy, urging development of this skill amidst competition and automation.</w:t>
            </w:r>
          </w:p>
        </w:tc>
      </w:tr>
    </w:tbl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