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A1D8" w14:textId="77777777" w:rsidR="008A11BB" w:rsidRDefault="00000000">
      <w:pPr>
        <w:pStyle w:val="Heading1"/>
        <w:ind w:left="-5" w:right="0"/>
      </w:pPr>
      <w:r>
        <w:lastRenderedPageBreak/>
        <w:t xml:space="preserve">Chapter 2 </w:t>
      </w:r>
      <w:proofErr w:type="gramStart"/>
      <w:r>
        <w:t>Summary :</w:t>
      </w:r>
      <w:proofErr w:type="gramEnd"/>
      <w:r>
        <w:t xml:space="preserve"> Deep Work Is Rare</w:t>
      </w:r>
    </w:p>
    <w:p w14:paraId="189D94A4" w14:textId="77777777" w:rsidR="008A11BB" w:rsidRDefault="00000000">
      <w:pPr>
        <w:spacing w:after="227" w:line="259" w:lineRule="auto"/>
        <w:ind w:left="0" w:right="0" w:firstLine="0"/>
      </w:pPr>
      <w:r>
        <w:rPr>
          <w:noProof/>
        </w:rPr>
        <w:drawing>
          <wp:inline distT="0" distB="0" distL="0" distR="0" wp14:anchorId="09748497" wp14:editId="560F5285">
            <wp:extent cx="2556000" cy="255600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306" w:type="dxa"/>
        <w:tblInd w:w="-220" w:type="dxa"/>
        <w:tblCellMar>
          <w:top w:w="133" w:type="dxa"/>
          <w:left w:w="10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442"/>
        <w:gridCol w:w="7864"/>
      </w:tblGrid>
      <w:tr w:rsidR="008A11BB" w14:paraId="0D0BE5D1" w14:textId="77777777">
        <w:trPr>
          <w:trHeight w:val="43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5C21C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987E293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color w:val="000000"/>
                <w:sz w:val="20"/>
              </w:rPr>
              <w:t>Summary</w:t>
            </w:r>
          </w:p>
        </w:tc>
      </w:tr>
      <w:tr w:rsidR="008A11BB" w14:paraId="0841C2C9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7C302F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Introduction to Business</w:t>
            </w:r>
          </w:p>
          <w:p w14:paraId="635149D2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Trends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089F9D2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Three trends counteract deep work's value: open offices, instant messaging, and social media engagement, leading to distractions.</w:t>
            </w:r>
          </w:p>
        </w:tc>
      </w:tr>
      <w:tr w:rsidR="008A11BB" w14:paraId="4FF0BB7C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DA5629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Open Office Workspaces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28452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Open designs at companies like Facebook and Square, meant to boost collaboration, cause major distractions that reduce productivity.</w:t>
            </w:r>
          </w:p>
        </w:tc>
      </w:tr>
      <w:tr w:rsidR="008A11BB" w14:paraId="497BC182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555C3C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Instant Messaging Culture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C061FC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Instant messaging tools like IM lead to rapid responses but significantly interrupt deep work and extend task completion times.</w:t>
            </w:r>
          </w:p>
        </w:tc>
      </w:tr>
      <w:tr w:rsidR="008A11BB" w14:paraId="20982005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BB8493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Pressure for Social Media</w:t>
            </w:r>
          </w:p>
          <w:p w14:paraId="53D9C7E7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Presence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D6D437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Organizations like The New York Times pressure employees to engage on social media, detracting from their core work responsibilities.</w:t>
            </w:r>
          </w:p>
        </w:tc>
      </w:tr>
      <w:tr w:rsidR="008A11BB" w14:paraId="4DA9620E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1111B9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Paradox: Deep Work vs. Distraction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E198A3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Despite the need for deep work, workplace cultures </w:t>
            </w:r>
            <w:proofErr w:type="spellStart"/>
            <w:r>
              <w:rPr>
                <w:color w:val="000000"/>
                <w:sz w:val="20"/>
              </w:rPr>
              <w:t>favor</w:t>
            </w:r>
            <w:proofErr w:type="spellEnd"/>
            <w:r>
              <w:rPr>
                <w:color w:val="000000"/>
                <w:sz w:val="20"/>
              </w:rPr>
              <w:t xml:space="preserve"> distractions, highlighting a lack of organizational support for focused work.</w:t>
            </w:r>
          </w:p>
        </w:tc>
      </w:tr>
      <w:tr w:rsidR="008A11BB" w14:paraId="29EC688E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239FCE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Metric Black Hole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B6912E" w14:textId="77777777" w:rsidR="008A11BB" w:rsidRDefault="00000000">
            <w:pPr>
              <w:spacing w:after="0" w:line="259" w:lineRule="auto"/>
              <w:ind w:left="0" w:right="11" w:firstLine="0"/>
            </w:pPr>
            <w:r>
              <w:rPr>
                <w:color w:val="000000"/>
                <w:sz w:val="20"/>
              </w:rPr>
              <w:t>Organizations waste resources on trivial tasks without effectively measuring productivity tied to deep work.</w:t>
            </w:r>
          </w:p>
        </w:tc>
      </w:tr>
      <w:tr w:rsidR="008A11BB" w14:paraId="609F10EC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73D71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Principle of Least</w:t>
            </w:r>
          </w:p>
          <w:p w14:paraId="100E8BF5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Resistance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1BF552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 xml:space="preserve">A culture of rapid responses leads employees to </w:t>
            </w:r>
            <w:proofErr w:type="spellStart"/>
            <w:r>
              <w:rPr>
                <w:color w:val="000000"/>
                <w:sz w:val="20"/>
              </w:rPr>
              <w:t>favor</w:t>
            </w:r>
            <w:proofErr w:type="spellEnd"/>
            <w:r>
              <w:rPr>
                <w:color w:val="000000"/>
                <w:sz w:val="20"/>
              </w:rPr>
              <w:t xml:space="preserve"> constant communication over productivity, undermining satisfaction.</w:t>
            </w:r>
          </w:p>
        </w:tc>
      </w:tr>
      <w:tr w:rsidR="008A11BB" w14:paraId="3760BB18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59082C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Busyness as a Proxy for</w:t>
            </w:r>
          </w:p>
          <w:p w14:paraId="5F9B630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Productivity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33556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Employees often mistake visible activity (busyness) for effectiveness, sacrificing deep work for constant communication and meetings.</w:t>
            </w:r>
          </w:p>
        </w:tc>
      </w:tr>
      <w:tr w:rsidR="008A11BB" w14:paraId="5FB136D6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F65DA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Cult of the Internet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740358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Internet's influence leads employees to adopt counterproductive practices, further devaluing deep work despite its importance.</w:t>
            </w:r>
          </w:p>
        </w:tc>
      </w:tr>
      <w:tr w:rsidR="008A11BB" w14:paraId="0A3AB72F" w14:textId="77777777">
        <w:trPr>
          <w:trHeight w:val="660"/>
        </w:trPr>
        <w:tc>
          <w:tcPr>
            <w:tcW w:w="24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C9190DA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lastRenderedPageBreak/>
              <w:t>Conclusion: Embracing</w:t>
            </w:r>
          </w:p>
          <w:p w14:paraId="676EBE41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Deep Work</w:t>
            </w:r>
          </w:p>
        </w:tc>
        <w:tc>
          <w:tcPr>
            <w:tcW w:w="78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E85B342" w14:textId="77777777" w:rsidR="008A11BB" w:rsidRDefault="00000000">
            <w:pPr>
              <w:spacing w:after="0" w:line="259" w:lineRule="auto"/>
              <w:ind w:left="0" w:right="0" w:firstLine="0"/>
            </w:pPr>
            <w:r>
              <w:rPr>
                <w:color w:val="000000"/>
                <w:sz w:val="20"/>
              </w:rPr>
              <w:t>The scarcity of deep work due to neglect adds to its personal value; individuals can excel by developing a deep work ethic.</w:t>
            </w:r>
          </w:p>
        </w:tc>
      </w:tr>
    </w:tbl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