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2F23" w14:textId="77777777" w:rsidR="008A11BB" w:rsidRDefault="00000000">
      <w:pPr>
        <w:spacing w:after="56" w:line="265" w:lineRule="auto"/>
        <w:ind w:left="-5" w:right="12"/>
      </w:pPr>
      <w:r>
        <w:rPr>
          <w:b/>
        </w:rPr>
        <w:t>Chapter 2 Summary: When Deep Work is</w:t>
      </w:r>
    </w:p>
    <w:p w14:paraId="482719DF" w14:textId="77777777" w:rsidR="008A11BB" w:rsidRDefault="00000000">
      <w:pPr>
        <w:spacing w:after="1190" w:line="265" w:lineRule="auto"/>
        <w:ind w:left="-5" w:right="12"/>
      </w:pPr>
      <w:r>
        <w:rPr>
          <w:b/>
        </w:rPr>
        <w:t>Diminished by Business Trends</w:t>
      </w:r>
    </w:p>
    <w:p w14:paraId="1F1856C8" w14:textId="77777777" w:rsidR="008A11BB" w:rsidRDefault="00000000">
      <w:pPr>
        <w:spacing w:after="623" w:line="265" w:lineRule="auto"/>
        <w:ind w:left="-5" w:right="12"/>
      </w:pPr>
      <w:r>
        <w:rPr>
          <w:b/>
        </w:rPr>
        <w:t>Introduction to Business Trends</w:t>
      </w:r>
    </w:p>
    <w:p w14:paraId="03C5F72C" w14:textId="77777777" w:rsidR="008A11BB" w:rsidRDefault="00000000">
      <w:pPr>
        <w:spacing w:after="567" w:line="294" w:lineRule="auto"/>
        <w:ind w:left="-5" w:right="11"/>
      </w:pPr>
      <w:r>
        <w:t>In the evolving landscape of business, three notable trends have emerged that contradict the value of deep work: the shift to open office environments, the rise of instant messaging, and the necessity for content producers to engage actively on social media. Though these trends aim to enhance collaboration and productivity, they often have the opposite effect, leading to distractions that undermine deep work.</w:t>
      </w:r>
    </w:p>
    <w:p w14:paraId="5CA81585" w14:textId="77777777" w:rsidR="008A11BB" w:rsidRDefault="00000000">
      <w:pPr>
        <w:spacing w:after="623" w:line="265" w:lineRule="auto"/>
        <w:ind w:left="-5" w:right="12"/>
      </w:pPr>
      <w:r>
        <w:rPr>
          <w:b/>
        </w:rPr>
        <w:t>Open Office Workspaces</w:t>
      </w:r>
    </w:p>
    <w:p w14:paraId="374E748C" w14:textId="77777777" w:rsidR="008A11BB" w:rsidRDefault="00000000">
      <w:pPr>
        <w:spacing w:after="567" w:line="294" w:lineRule="auto"/>
        <w:ind w:left="-5" w:right="11"/>
      </w:pPr>
      <w:r>
        <w:t>Facebook and Square have adopted expansive open office designs to facilitate collaboration among employees. However, studies indicate that such environments lead to significant distractions, impacting concentration and productivity.</w:t>
      </w:r>
    </w:p>
    <w:p w14:paraId="57D9E18B" w14:textId="77777777" w:rsidR="008A11BB" w:rsidRDefault="00000000">
      <w:pPr>
        <w:spacing w:after="3" w:line="265" w:lineRule="auto"/>
        <w:ind w:left="-5" w:right="12"/>
      </w:pPr>
      <w:r>
        <w:rPr>
          <w:b/>
        </w:rPr>
        <w:lastRenderedPageBreak/>
        <w:t>Instant Messaging Culture</w:t>
      </w:r>
    </w:p>
    <w:p w14:paraId="5CAE84A9" w14:textId="77777777" w:rsidR="008A11BB" w:rsidRDefault="00000000">
      <w:pPr>
        <w:spacing w:after="567" w:line="294" w:lineRule="auto"/>
        <w:ind w:left="-5" w:right="11"/>
      </w:pPr>
      <w:r>
        <w:t>The growing reliance on tools like instant messaging (IM) in companies, like IBM and Hall, promotes rapid responses. Research suggests that interruptions from IM can severely delay task completion and hinder employees from engaging in deep work.</w:t>
      </w:r>
    </w:p>
    <w:p w14:paraId="2E242834" w14:textId="77777777" w:rsidR="008A11BB" w:rsidRDefault="00000000">
      <w:pPr>
        <w:spacing w:after="623" w:line="265" w:lineRule="auto"/>
        <w:ind w:left="-5" w:right="12"/>
      </w:pPr>
      <w:r>
        <w:rPr>
          <w:b/>
        </w:rPr>
        <w:t>Pressure for Social Media Presence</w:t>
      </w:r>
    </w:p>
    <w:p w14:paraId="3C272071" w14:textId="77777777" w:rsidR="008A11BB" w:rsidRDefault="00000000">
      <w:pPr>
        <w:spacing w:after="567" w:line="294" w:lineRule="auto"/>
        <w:ind w:left="-5" w:right="11"/>
      </w:pPr>
      <w:r>
        <w:t>Even traditional organizations like The New York Times are adopting a push for social media engagement, often diverting focus from meaningful work. Notable writers feel the pressure to be active online, which can detract from their core responsibilities.</w:t>
      </w:r>
    </w:p>
    <w:p w14:paraId="441468D1" w14:textId="77777777" w:rsidR="008A11BB" w:rsidRDefault="00000000">
      <w:pPr>
        <w:spacing w:after="623" w:line="265" w:lineRule="auto"/>
        <w:ind w:left="-5" w:right="12"/>
      </w:pPr>
      <w:r>
        <w:rPr>
          <w:b/>
        </w:rPr>
        <w:t>The Paradox: Deep Work vs. Distraction</w:t>
      </w:r>
    </w:p>
    <w:p w14:paraId="5E05E4A1" w14:textId="77777777" w:rsidR="008A11BB" w:rsidRDefault="00000000">
      <w:pPr>
        <w:spacing w:after="567" w:line="294" w:lineRule="auto"/>
        <w:ind w:left="-5" w:right="11"/>
      </w:pPr>
      <w:r>
        <w:t>Despite the increasing value of deep work in the modern economy, workplace cultures sustain trends that prioritize distractions over focused work. This discrepancy highlights a concerning lack of organizational support for deep work practices.</w:t>
      </w:r>
    </w:p>
    <w:p w14:paraId="2320D200" w14:textId="77777777" w:rsidR="008A11BB" w:rsidRDefault="00000000">
      <w:pPr>
        <w:spacing w:after="3" w:line="265" w:lineRule="auto"/>
        <w:ind w:left="-5" w:right="12"/>
      </w:pPr>
      <w:r>
        <w:rPr>
          <w:b/>
        </w:rPr>
        <w:t>The Metric Black Hole</w:t>
      </w:r>
    </w:p>
    <w:p w14:paraId="3D2517DA" w14:textId="77777777" w:rsidR="008A11BB" w:rsidRDefault="00000000">
      <w:pPr>
        <w:spacing w:after="567" w:line="294" w:lineRule="auto"/>
        <w:ind w:left="-5" w:right="82"/>
      </w:pPr>
      <w:r>
        <w:lastRenderedPageBreak/>
        <w:t>Attempts to quantify the impact of activities like excessive email have shown that organizations may be spending substantial resources on seemingly trivial tasks. With no clear measurement of productivity related to deep work, businesses struggle to recognize its importance.</w:t>
      </w:r>
    </w:p>
    <w:p w14:paraId="5310D578" w14:textId="77777777" w:rsidR="008A11BB" w:rsidRDefault="00000000">
      <w:pPr>
        <w:spacing w:after="623" w:line="265" w:lineRule="auto"/>
        <w:ind w:left="-5" w:right="12"/>
      </w:pPr>
      <w:r>
        <w:rPr>
          <w:b/>
        </w:rPr>
        <w:t>The Principle of Least Resistance</w:t>
      </w:r>
    </w:p>
    <w:p w14:paraId="47DA3D2D" w14:textId="77777777" w:rsidR="008A11BB" w:rsidRDefault="00000000">
      <w:pPr>
        <w:spacing w:after="567" w:line="294" w:lineRule="auto"/>
        <w:ind w:left="-5" w:right="11"/>
      </w:pPr>
      <w:r>
        <w:t xml:space="preserve">A culture of connectivity encourages employees to respond quickly to emails and engage in constant communication. This </w:t>
      </w:r>
      <w:proofErr w:type="spellStart"/>
      <w:r>
        <w:t>behavior</w:t>
      </w:r>
      <w:proofErr w:type="spellEnd"/>
      <w:r>
        <w:t xml:space="preserve"> dominates the workplace because it's perceived as easier, even though it ultimately hampers productivity and satisfaction.</w:t>
      </w:r>
    </w:p>
    <w:p w14:paraId="1A69C65C" w14:textId="77777777" w:rsidR="008A11BB" w:rsidRDefault="00000000">
      <w:pPr>
        <w:spacing w:after="623" w:line="265" w:lineRule="auto"/>
        <w:ind w:left="-5" w:right="12"/>
      </w:pPr>
      <w:r>
        <w:rPr>
          <w:b/>
        </w:rPr>
        <w:t>Busyness as a Proxy for Productivity</w:t>
      </w:r>
    </w:p>
    <w:p w14:paraId="66EB772F" w14:textId="77777777" w:rsidR="008A11BB" w:rsidRDefault="00000000">
      <w:pPr>
        <w:spacing w:after="567" w:line="294" w:lineRule="auto"/>
        <w:ind w:left="-5" w:right="11"/>
      </w:pPr>
      <w:r>
        <w:t xml:space="preserve">In the absence of clear indicators of productivity, employees often equate visible activity (busyness) with effectiveness, leading to </w:t>
      </w:r>
      <w:proofErr w:type="spellStart"/>
      <w:r>
        <w:t>behaviors</w:t>
      </w:r>
      <w:proofErr w:type="spellEnd"/>
      <w:r>
        <w:t xml:space="preserve"> such as constant email communication and frequent meetings at the expense of deep work.</w:t>
      </w:r>
    </w:p>
    <w:p w14:paraId="72483604" w14:textId="77777777" w:rsidR="008A11BB" w:rsidRDefault="00000000">
      <w:pPr>
        <w:spacing w:after="3" w:line="265" w:lineRule="auto"/>
        <w:ind w:left="-5" w:right="12"/>
      </w:pPr>
      <w:r>
        <w:rPr>
          <w:b/>
        </w:rPr>
        <w:t>The Cult of the Internet</w:t>
      </w:r>
    </w:p>
    <w:p w14:paraId="574D1F87" w14:textId="77777777" w:rsidR="008A11BB" w:rsidRDefault="008A11BB">
      <w:pPr>
        <w:sectPr w:rsidR="008A11BB">
          <w:footerReference w:type="even" r:id="rId121"/>
          <w:footerReference w:type="default" r:id="rId122"/>
          <w:footerReference w:type="first" r:id="rId123"/>
          <w:pgSz w:w="11906" w:h="16838"/>
          <w:pgMar w:top="907" w:right="1004" w:bottom="2351" w:left="1020" w:header="720" w:footer="720" w:gutter="0"/>
          <w:cols w:space="720"/>
          <w:titlePg/>
        </w:sectPr>
      </w:pPr>
    </w:p>
    <w:p w14:paraId="44BF636C" w14:textId="77777777" w:rsidR="008A11BB" w:rsidRDefault="00000000">
      <w:pPr>
        <w:spacing w:after="567" w:line="294" w:lineRule="auto"/>
        <w:ind w:left="-5" w:right="11"/>
      </w:pPr>
      <w:r>
        <w:lastRenderedPageBreak/>
        <w:t>The ideology surrounding the Internet drives employees to adopt modern practices that may be counterproductive to their primary roles. This mindset creates an environment where deep work is undervalued, despite its necessity for true professional accomplishment.</w:t>
      </w:r>
    </w:p>
    <w:p w14:paraId="7D55F6DB" w14:textId="77777777" w:rsidR="008A11BB" w:rsidRDefault="00000000">
      <w:pPr>
        <w:spacing w:after="623" w:line="265" w:lineRule="auto"/>
        <w:ind w:left="-5" w:right="12"/>
      </w:pPr>
      <w:r>
        <w:rPr>
          <w:b/>
        </w:rPr>
        <w:t>Conclusion: Embracing Deep Work</w:t>
      </w:r>
    </w:p>
    <w:p w14:paraId="65EC1A7B" w14:textId="77777777" w:rsidR="008A11BB" w:rsidRDefault="00000000">
      <w:pPr>
        <w:spacing w:line="294" w:lineRule="auto"/>
        <w:ind w:left="-5" w:right="11"/>
      </w:pPr>
      <w:r>
        <w:t>Although organizations overlook the importance of deep work, the resulting scarcity enhances its value for individuals. By cultivating a deep work ethic, individuals can distinguish themselves and capitalize on the paradox of contemporary business trends.</w:t>
      </w:r>
      <w:r>
        <w:br w:type="page"/>
      </w:r>
    </w:p>
    <w:p w14:paraId="2DC0C251" w14:textId="77777777" w:rsidR="008A11BB" w:rsidRDefault="008A11BB">
      <w:pPr>
        <w:spacing w:after="0" w:line="259" w:lineRule="auto"/>
        <w:ind w:left="-1020" w:right="10885" w:firstLine="0"/>
      </w:pPr>
    </w:p>
    <w:tbl>
      <w:tblPr>
        <w:tblStyle w:val="TableGrid"/>
        <w:tblW w:w="9865" w:type="dxa"/>
        <w:tblInd w:w="0" w:type="dxa"/>
        <w:tblCellMar>
          <w:top w:w="0" w:type="dxa"/>
          <w:left w:w="397" w:type="dxa"/>
          <w:bottom w:w="0" w:type="dxa"/>
          <w:right w:w="115" w:type="dxa"/>
        </w:tblCellMar>
        <w:tblLook w:val="04A0" w:firstRow="1" w:lastRow="0" w:firstColumn="1" w:lastColumn="0" w:noHBand="0" w:noVBand="1"/>
      </w:tblPr>
      <w:tblGrid>
        <w:gridCol w:w="9865"/>
      </w:tblGrid>
      <w:tr w:rsidR="008A11BB" w14:paraId="2070F2B7" w14:textId="77777777">
        <w:trPr>
          <w:trHeight w:val="1219"/>
        </w:trPr>
        <w:tc>
          <w:tcPr>
            <w:tcW w:w="9865" w:type="dxa"/>
            <w:tcBorders>
              <w:top w:val="nil"/>
              <w:left w:val="nil"/>
              <w:bottom w:val="nil"/>
              <w:right w:val="nil"/>
            </w:tcBorders>
            <w:shd w:val="clear" w:color="auto" w:fill="F2F0FC"/>
          </w:tcPr>
          <w:p w14:paraId="56EB6AE7" w14:textId="77777777" w:rsidR="008A11BB" w:rsidRDefault="00000000">
            <w:pPr>
              <w:spacing w:after="0" w:line="259" w:lineRule="auto"/>
              <w:ind w:left="0" w:right="0" w:firstLine="0"/>
            </w:pPr>
            <w:r>
              <w:rPr>
                <w:b/>
              </w:rPr>
              <w:t>Critical Thinking</w:t>
            </w:r>
          </w:p>
        </w:tc>
      </w:tr>
      <w:tr w:rsidR="008A11BB" w14:paraId="5ACFFE78" w14:textId="77777777">
        <w:trPr>
          <w:trHeight w:val="198"/>
        </w:trPr>
        <w:tc>
          <w:tcPr>
            <w:tcW w:w="9865" w:type="dxa"/>
            <w:tcBorders>
              <w:top w:val="nil"/>
              <w:left w:val="nil"/>
              <w:bottom w:val="nil"/>
              <w:right w:val="nil"/>
            </w:tcBorders>
            <w:shd w:val="clear" w:color="auto" w:fill="F2F0FC"/>
          </w:tcPr>
          <w:p w14:paraId="281C254F" w14:textId="77777777" w:rsidR="008A11BB" w:rsidRDefault="00000000">
            <w:pPr>
              <w:spacing w:after="0" w:line="259" w:lineRule="auto"/>
              <w:ind w:left="0" w:right="0" w:firstLine="0"/>
            </w:pPr>
            <w:r>
              <w:rPr>
                <w:color w:val="5B2EE2"/>
              </w:rPr>
              <w:t xml:space="preserve">Key </w:t>
            </w:r>
            <w:proofErr w:type="spellStart"/>
            <w:proofErr w:type="gramStart"/>
            <w:r>
              <w:rPr>
                <w:color w:val="5B2EE2"/>
              </w:rPr>
              <w:t>Point</w:t>
            </w:r>
            <w:r>
              <w:t>:The</w:t>
            </w:r>
            <w:proofErr w:type="spellEnd"/>
            <w:proofErr w:type="gramEnd"/>
            <w:r>
              <w:t xml:space="preserve"> underlying tension between modern</w:t>
            </w:r>
          </w:p>
        </w:tc>
      </w:tr>
      <w:tr w:rsidR="008A11BB" w14:paraId="6B3E2F65" w14:textId="77777777">
        <w:trPr>
          <w:trHeight w:val="340"/>
        </w:trPr>
        <w:tc>
          <w:tcPr>
            <w:tcW w:w="9865" w:type="dxa"/>
            <w:tcBorders>
              <w:top w:val="nil"/>
              <w:left w:val="nil"/>
              <w:bottom w:val="nil"/>
              <w:right w:val="nil"/>
            </w:tcBorders>
            <w:shd w:val="clear" w:color="auto" w:fill="F2F0FC"/>
          </w:tcPr>
          <w:p w14:paraId="78623953" w14:textId="77777777" w:rsidR="008A11BB" w:rsidRDefault="008A11BB">
            <w:pPr>
              <w:spacing w:after="160" w:line="259" w:lineRule="auto"/>
              <w:ind w:left="0" w:right="0" w:firstLine="0"/>
            </w:pPr>
          </w:p>
        </w:tc>
      </w:tr>
      <w:tr w:rsidR="008A11BB" w14:paraId="37A18B49" w14:textId="77777777">
        <w:trPr>
          <w:trHeight w:val="8391"/>
        </w:trPr>
        <w:tc>
          <w:tcPr>
            <w:tcW w:w="9865" w:type="dxa"/>
            <w:tcBorders>
              <w:top w:val="nil"/>
              <w:left w:val="nil"/>
              <w:bottom w:val="nil"/>
              <w:right w:val="nil"/>
            </w:tcBorders>
            <w:shd w:val="clear" w:color="auto" w:fill="F2F0FC"/>
          </w:tcPr>
          <w:p w14:paraId="4BAD147A" w14:textId="77777777" w:rsidR="008A11BB" w:rsidRDefault="00000000">
            <w:pPr>
              <w:spacing w:after="293" w:line="259" w:lineRule="auto"/>
              <w:ind w:left="0" w:right="0" w:firstLine="0"/>
            </w:pPr>
            <w:r>
              <w:t>business practices and the need for deep work.</w:t>
            </w:r>
          </w:p>
          <w:p w14:paraId="49F75D9E" w14:textId="77777777" w:rsidR="008A11BB" w:rsidRDefault="00000000">
            <w:pPr>
              <w:spacing w:after="0" w:line="294" w:lineRule="auto"/>
              <w:ind w:left="0" w:right="221" w:firstLine="0"/>
            </w:pPr>
            <w:r>
              <w:rPr>
                <w:color w:val="5B2EE2"/>
              </w:rPr>
              <w:t xml:space="preserve">Critical </w:t>
            </w:r>
            <w:proofErr w:type="spellStart"/>
            <w:proofErr w:type="gramStart"/>
            <w:r>
              <w:rPr>
                <w:color w:val="5B2EE2"/>
              </w:rPr>
              <w:t>Interpretation</w:t>
            </w:r>
            <w:r>
              <w:t>:Cal</w:t>
            </w:r>
            <w:proofErr w:type="spellEnd"/>
            <w:proofErr w:type="gramEnd"/>
            <w:r>
              <w:t xml:space="preserve"> Newport argues that current trends in business, such as open offices and instant messaging, actively undermine deep work, which is crucial for producing high-quality output. While Newport presents a compelling case regarding the prevalence of distractions, it is essential to question whether these trends are inherently negative or if they can be adapted to facilitate both collaboration and focus.</w:t>
            </w:r>
          </w:p>
          <w:p w14:paraId="31CF5350" w14:textId="77777777" w:rsidR="008A11BB" w:rsidRDefault="00000000">
            <w:pPr>
              <w:spacing w:after="66" w:line="259" w:lineRule="auto"/>
              <w:ind w:left="0" w:right="0" w:firstLine="0"/>
            </w:pPr>
            <w:r>
              <w:t>Critics, like Jason Fried in 'Remote: Office Not</w:t>
            </w:r>
          </w:p>
          <w:p w14:paraId="79BBE087" w14:textId="77777777" w:rsidR="008A11BB" w:rsidRDefault="00000000">
            <w:pPr>
              <w:spacing w:after="0" w:line="259" w:lineRule="auto"/>
              <w:ind w:left="0" w:right="0" w:firstLine="0"/>
            </w:pPr>
            <w:r>
              <w:t>Required', argue that the benefits of flexibility and teamwork may outweigh the detriments of these new practices, indicating that the real challenge is finding balance rather than entirely rejecting modern methods.</w:t>
            </w:r>
          </w:p>
        </w:tc>
      </w:tr>
    </w:tbl>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