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2945E" w14:textId="77777777" w:rsidR="00790C07" w:rsidRDefault="00790C07">
      <w:pPr>
        <w:pStyle w:val="chapter"/>
      </w:pPr>
      <w:r>
        <w:t xml:space="preserve">Chapter 8 </w:t>
      </w:r>
    </w:p>
    <w:p w14:paraId="5BD2B82F" w14:textId="77777777" w:rsidR="00790C07" w:rsidRDefault="00790C07">
      <w:pPr>
        <w:pStyle w:val="Title"/>
      </w:pPr>
      <w:bookmarkStart w:id="15" w:name="_Toc206067708"/>
      <w:r>
        <w:t>Nations in the dance</w:t>
      </w:r>
      <w:bookmarkEnd w:id="15"/>
    </w:p>
    <w:p w14:paraId="3DF0BB57" w14:textId="77777777" w:rsidR="00790C07" w:rsidRDefault="00790C07">
      <w:pPr>
        <w:pStyle w:val="Subtitle"/>
      </w:pPr>
      <w:r>
        <w:t>How Countries are Choreographing their Creative Futures</w:t>
      </w:r>
    </w:p>
    <w:p w14:paraId="574FD165" w14:textId="77777777" w:rsidR="00790C07" w:rsidRDefault="00790C07">
      <w:pPr>
        <w:pStyle w:val="para"/>
      </w:pPr>
      <w:r>
        <w:t xml:space="preserve">Individual creators can embrace AI tomorrow. Companies can transform their workflows next quarter. But what happens when entire nations recognise that creative collaboration with AI isn’t just another technological shift, but a fundamental reimagining of human potential? </w:t>
      </w:r>
    </w:p>
    <w:p w14:paraId="2C20F2E6" w14:textId="77777777" w:rsidR="00790C07" w:rsidRDefault="00790C07">
      <w:pPr>
        <w:pStyle w:val="para"/>
      </w:pPr>
      <w:r>
        <w:t>Around the world, governments are awakening to a profound realisation: in the 21st Century, a nation’s creative capacity may matter more than its natural resources. The countries that learn to choreograph this dance between human imagination and machine intelligence won’t just compete - they’ll help define what it means to be human in the age of AI. Let’s see how different cultures are approaching this civilisational moment.</w:t>
      </w:r>
    </w:p>
    <w:p w14:paraId="071327EB" w14:textId="77777777" w:rsidR="00790C07" w:rsidRDefault="00790C07">
      <w:pPr>
        <w:pStyle w:val="para"/>
      </w:pPr>
      <w:r>
        <w:lastRenderedPageBreak/>
        <w:t xml:space="preserve">In 2017, the </w:t>
      </w:r>
      <w:r>
        <w:rPr>
          <w:rFonts w:ascii="Adobe Garamond Pro Bold" w:hAnsi="Adobe Garamond Pro Bold" w:cs="Adobe Garamond Pro Bold"/>
          <w:b/>
          <w:bCs/>
        </w:rPr>
        <w:t>United Arab Emirates (UAE)</w:t>
      </w:r>
      <w:r>
        <w:t xml:space="preserve"> did something unprecedented. They appointed Omar Al Olama as the world’s first Minister of State for Artificial Intelligence. He was 27 years old. The message was clear: AI wasn’t just another technology to regulate; it was a transformation requiring cabinet-level leadership.</w:t>
      </w:r>
    </w:p>
    <w:p w14:paraId="04EF04FE" w14:textId="77777777" w:rsidR="00790C07" w:rsidRDefault="00790C07">
      <w:pPr>
        <w:pStyle w:val="para"/>
      </w:pPr>
      <w:r>
        <w:t>Seven years later, the global landscape reveals a fascinating patchwork of national strategies, each reflecting different cultural values, economic priorities, and creative ambitions. Some nations are orchestrating comprehensive transformations; others are taking tentative first steps. What emerges is a picture of humanity collectively grappling with how to harness AI not just for efficiency or security, but for creative efflorescence.</w:t>
      </w:r>
    </w:p>
    <w:p w14:paraId="609F349A" w14:textId="77777777" w:rsidR="00790C07" w:rsidRDefault="00790C07">
      <w:pPr>
        <w:pStyle w:val="Subtitle"/>
      </w:pPr>
      <w:r>
        <w:t>The Pioneer Nations: Comprehensive Strategies</w:t>
      </w:r>
    </w:p>
    <w:p w14:paraId="56B1D7DA" w14:textId="77777777" w:rsidR="00790C07" w:rsidRDefault="00790C07">
      <w:pPr>
        <w:pStyle w:val="para"/>
      </w:pPr>
      <w:r>
        <w:t xml:space="preserve">The </w:t>
      </w:r>
      <w:r>
        <w:rPr>
          <w:rFonts w:ascii="Adobe Garamond Pro Bold" w:hAnsi="Adobe Garamond Pro Bold" w:cs="Adobe Garamond Pro Bold"/>
          <w:b/>
          <w:bCs/>
        </w:rPr>
        <w:t>UAE’s</w:t>
      </w:r>
      <w:r>
        <w:t xml:space="preserve"> appointment of an AI Minister was just the beginning. The country has since launched its National AI Strategy 2031, explicitly linking AI development to creative industries. The strategy includes establishing AI creativity labs in universities, funding AI-assisted film production, and creating regulatory sandboxes where artists can experiment with AI tools without legal uncertainty. Dubai’s Museum of the Future showcases AI-generated art and architecture, positioning the emirate as a hub for tech-enabled creativity.</w:t>
      </w:r>
    </w:p>
    <w:p w14:paraId="7FB2B336" w14:textId="77777777" w:rsidR="00790C07" w:rsidRDefault="00790C07">
      <w:pPr>
        <w:pStyle w:val="para"/>
      </w:pPr>
      <w:r>
        <w:lastRenderedPageBreak/>
        <w:t>Singapore’s National AI Strategy takes a different but equally comprehensive approach. Their focus on becoming a “Smart Nation” includes specific provisions for creative industries. The Infocomm Media Development Authority provides grants for AI-creative projects, from interactive digital art installations to AI-assisted music composition. Their “AI for Everyone” programme ensures that creative professionals, not just technologists, understand and can leverage these tools.</w:t>
      </w:r>
    </w:p>
    <w:p w14:paraId="059229D6" w14:textId="77777777" w:rsidR="00790C07" w:rsidRDefault="00790C07">
      <w:pPr>
        <w:pStyle w:val="para"/>
      </w:pPr>
      <w:r>
        <w:rPr>
          <w:rFonts w:ascii="Adobe Garamond Pro Bold" w:hAnsi="Adobe Garamond Pro Bold" w:cs="Adobe Garamond Pro Bold"/>
          <w:b/>
          <w:bCs/>
        </w:rPr>
        <w:t xml:space="preserve">China’s </w:t>
      </w:r>
      <w:r>
        <w:t>approach is perhaps the most ambitious in scale. The “New Generation Artificial Intelligence Development Plan” explicitly identifies creative industries as a key application area. Chinese schools are mandating AI education from primary level, including creative applications like AI-assisted storytelling and digital art. Companies like Baidu and Alibaba are creating AI tools specifically designed for Chinese creative traditions, from calligraphy to classical music composition.</w:t>
      </w:r>
    </w:p>
    <w:p w14:paraId="535BBD19" w14:textId="77777777" w:rsidR="00790C07" w:rsidRDefault="00790C07">
      <w:pPr>
        <w:pStyle w:val="para"/>
      </w:pPr>
      <w:r>
        <w:rPr>
          <w:rFonts w:ascii="Adobe Garamond Pro Bold" w:hAnsi="Adobe Garamond Pro Bold" w:cs="Adobe Garamond Pro Bold"/>
          <w:b/>
          <w:bCs/>
        </w:rPr>
        <w:t>Finland</w:t>
      </w:r>
      <w:r>
        <w:t xml:space="preserve"> takes a uniquely democratic approach, exemplified by its “Elements of AI” course, which is available free to all citizens. The initial goal was for 1% of the population to gain AI literacy, a target chosen strategically to create a critical mass of people who could innovate and spread their understanding throughout society, giving the nation a competitive advantage without trying to make everyone a programmer. This core strategy is supported by special programmes for artists and designers and by funding for cultural institutions to </w:t>
      </w:r>
      <w:r>
        <w:lastRenderedPageBreak/>
        <w:t>experiment with AI in fields from game design to architecture.</w:t>
      </w:r>
    </w:p>
    <w:p w14:paraId="0172576E" w14:textId="77777777" w:rsidR="00790C07" w:rsidRDefault="00790C07">
      <w:pPr>
        <w:pStyle w:val="Subtitle"/>
      </w:pPr>
      <w:r>
        <w:t>The Creative Focus: Nations Prioritising Cultural Innovation</w:t>
      </w:r>
    </w:p>
    <w:p w14:paraId="1A90C74B" w14:textId="77777777" w:rsidR="00790C07" w:rsidRDefault="00790C07">
      <w:pPr>
        <w:pStyle w:val="para"/>
      </w:pPr>
      <w:r>
        <w:rPr>
          <w:rFonts w:ascii="Adobe Garamond Pro Bold" w:hAnsi="Adobe Garamond Pro Bold" w:cs="Adobe Garamond Pro Bold"/>
          <w:b/>
          <w:bCs/>
        </w:rPr>
        <w:t>South Korea</w:t>
      </w:r>
      <w:r>
        <w:t xml:space="preserve"> stands out for its explicit focus on AI in creative industries. The Ministry of Culture, Sports and Tourism launched “Culture+AI” initiatives that fund K-pop producers experimenting with AI composition, filmmakers using AI for visual effects, and game developers creating AI-driven narratives. Given Korea’s global cultural influence through the Hallyu wave, this positions them to export AI-enhanced creativity worldwide.</w:t>
      </w:r>
    </w:p>
    <w:p w14:paraId="3F3A41CB" w14:textId="77777777" w:rsidR="00790C07" w:rsidRDefault="00790C07">
      <w:pPr>
        <w:pStyle w:val="para"/>
      </w:pPr>
      <w:r>
        <w:rPr>
          <w:rFonts w:ascii="Adobe Garamond Pro Bold" w:hAnsi="Adobe Garamond Pro Bold" w:cs="Adobe Garamond Pro Bold"/>
          <w:b/>
          <w:bCs/>
        </w:rPr>
        <w:t>France’s</w:t>
      </w:r>
      <w:r>
        <w:t xml:space="preserve"> “AI for Humanity” strategy includes significant provisions for cultural preservation and innovation. The Bibliothèque Nationale de France uses AI to digitise and make searchable centuries of French literature and art. French film subsidies now include provisions for AI-assisted production, while maintaining requirements for human creative control. It’s a balance between embracing innovation and protecting cultural authenticity.</w:t>
      </w:r>
    </w:p>
    <w:p w14:paraId="38FADAE8" w14:textId="77777777" w:rsidR="00790C07" w:rsidRDefault="00790C07">
      <w:pPr>
        <w:pStyle w:val="para"/>
      </w:pPr>
      <w:r>
        <w:rPr>
          <w:rFonts w:ascii="Adobe Garamond Pro Bold" w:hAnsi="Adobe Garamond Pro Bold" w:cs="Adobe Garamond Pro Bold"/>
          <w:b/>
          <w:bCs/>
        </w:rPr>
        <w:t>Japan’s</w:t>
      </w:r>
      <w:r>
        <w:t xml:space="preserve"> Society 5.0 vision integrates AI throughout society, with particular emphasis on creative applications that respect Japanese aesthetics and values. From AI that can generate haiku following traditional rules to systems </w:t>
      </w:r>
      <w:r>
        <w:lastRenderedPageBreak/>
        <w:t>that assist in manga production while preserving artistic style, Japan seeks to enhance rather than replace its creative traditions.</w:t>
      </w:r>
    </w:p>
    <w:p w14:paraId="0AACC376" w14:textId="77777777" w:rsidR="00790C07" w:rsidRDefault="00790C07">
      <w:pPr>
        <w:pStyle w:val="para"/>
      </w:pPr>
      <w:r>
        <w:rPr>
          <w:rFonts w:ascii="Adobe Garamond Pro Bold" w:hAnsi="Adobe Garamond Pro Bold" w:cs="Adobe Garamond Pro Bold"/>
          <w:b/>
          <w:bCs/>
        </w:rPr>
        <w:t>Canada’s Pan-Canadian AI Strategy</w:t>
      </w:r>
      <w:r>
        <w:t xml:space="preserve"> includes significant investment in creative applications through organisations like the Canadian Institute for Advanced Research (CIFAR). The National Film Board of Canada experiments with AI-driven interactive documentaries, while the Canada Council for the Arts funds artists exploring AI collaboration.</w:t>
      </w:r>
    </w:p>
    <w:p w14:paraId="20D33CCB" w14:textId="77777777" w:rsidR="00790C07" w:rsidRDefault="00790C07">
      <w:pPr>
        <w:pStyle w:val="Subtitle"/>
      </w:pPr>
      <w:r>
        <w:t>The Education Revolutionaries</w:t>
      </w:r>
    </w:p>
    <w:p w14:paraId="62CFF0B1" w14:textId="77777777" w:rsidR="00790C07" w:rsidRDefault="00790C07">
      <w:pPr>
        <w:pStyle w:val="para"/>
      </w:pPr>
      <w:r>
        <w:t xml:space="preserve">Several nations are reimagining education specifically around AI and creativity. </w:t>
      </w:r>
      <w:r>
        <w:rPr>
          <w:rFonts w:ascii="Adobe Garamond Pro Bold" w:hAnsi="Adobe Garamond Pro Bold" w:cs="Adobe Garamond Pro Bold"/>
          <w:b/>
          <w:bCs/>
        </w:rPr>
        <w:t>Estonia</w:t>
      </w:r>
      <w:r>
        <w:t>, already a digital pioneer, has introduced AI and robotics education from age 7, with creative problem-solving at its core. Students learn not just to use AI tools but to think creatively about their applications.</w:t>
      </w:r>
    </w:p>
    <w:p w14:paraId="5E5191F0" w14:textId="77777777" w:rsidR="00790C07" w:rsidRDefault="00790C07">
      <w:pPr>
        <w:pStyle w:val="para"/>
      </w:pPr>
      <w:r>
        <w:rPr>
          <w:rFonts w:ascii="Adobe Garamond Pro Bold" w:hAnsi="Adobe Garamond Pro Bold" w:cs="Adobe Garamond Pro Bold"/>
          <w:b/>
          <w:bCs/>
        </w:rPr>
        <w:t>Rwanda’s</w:t>
      </w:r>
      <w:r>
        <w:t xml:space="preserve"> partnership with the African Institute for Mathematical Sciences includes AI education focused on solving African challenges creatively. Students use AI to design solutions for agriculture, healthcare, and urban planning, blending technical skills with creative thinking.</w:t>
      </w:r>
    </w:p>
    <w:p w14:paraId="7A5883A5" w14:textId="77777777" w:rsidR="00790C07" w:rsidRDefault="00790C07">
      <w:pPr>
        <w:pStyle w:val="para"/>
      </w:pPr>
      <w:r>
        <w:rPr>
          <w:rFonts w:ascii="Adobe Garamond Pro Bold" w:hAnsi="Adobe Garamond Pro Bold" w:cs="Adobe Garamond Pro Bold"/>
          <w:b/>
          <w:bCs/>
        </w:rPr>
        <w:t>New Zealand’s</w:t>
      </w:r>
      <w:r>
        <w:t xml:space="preserve"> “Curriculum Refresh” explicitly incorporates AI literacy and creative thinking as core competencies. Their approach emphasises using AI to enhance Māori creative traditions, from digital </w:t>
      </w:r>
      <w:r>
        <w:lastRenderedPageBreak/>
        <w:t>storytelling to contemporary art.</w:t>
      </w:r>
    </w:p>
    <w:p w14:paraId="30BF3A84" w14:textId="77777777" w:rsidR="00790C07" w:rsidRDefault="00790C07">
      <w:pPr>
        <w:pStyle w:val="Subtitle"/>
      </w:pPr>
      <w:r>
        <w:t>The Measured Approaches</w:t>
      </w:r>
    </w:p>
    <w:p w14:paraId="3334B13F" w14:textId="77777777" w:rsidR="00790C07" w:rsidRDefault="00790C07">
      <w:pPr>
        <w:pStyle w:val="para"/>
      </w:pPr>
      <w:r>
        <w:t xml:space="preserve">Not all nations are moving at the same pace, and some deliberately so. </w:t>
      </w:r>
      <w:r>
        <w:rPr>
          <w:rFonts w:ascii="Adobe Garamond Pro Bold" w:hAnsi="Adobe Garamond Pro Bold" w:cs="Adobe Garamond Pro Bold"/>
          <w:b/>
          <w:bCs/>
        </w:rPr>
        <w:t xml:space="preserve">Germany’s </w:t>
      </w:r>
      <w:r>
        <w:t>AI strategy emphasises ethical considerations and worker protections, including for creative professionals. Their approach seeks to ensure AI enhances rather than replaces human creativity, with strong unions advocating for creative workers’ rights.</w:t>
      </w:r>
    </w:p>
    <w:p w14:paraId="078088D2" w14:textId="77777777" w:rsidR="00790C07" w:rsidRDefault="00790C07">
      <w:pPr>
        <w:pStyle w:val="para"/>
      </w:pPr>
      <w:r>
        <w:t xml:space="preserve">The </w:t>
      </w:r>
      <w:r>
        <w:rPr>
          <w:rFonts w:ascii="Adobe Garamond Pro Bold" w:hAnsi="Adobe Garamond Pro Bold" w:cs="Adobe Garamond Pro Bold"/>
          <w:b/>
          <w:bCs/>
        </w:rPr>
        <w:t>Nordic countries</w:t>
      </w:r>
      <w:r>
        <w:t xml:space="preserve"> (beyond Finland) take a characteristically balanced approach. Denmark’s “National Strategy for Artificial Intelligence” includes provisions for creative industries but emphasises human agency. Sweden funds research into AI’s impact on creative work, ensuring evidence-based policy. Norway uses its sovereign wealth fund to invest in AI education that maintains their tradition of democratic participation.</w:t>
      </w:r>
    </w:p>
    <w:p w14:paraId="690D85FA" w14:textId="77777777" w:rsidR="00790C07" w:rsidRDefault="00790C07">
      <w:pPr>
        <w:pStyle w:val="para"/>
      </w:pPr>
      <w:r>
        <w:t xml:space="preserve">The </w:t>
      </w:r>
      <w:r>
        <w:rPr>
          <w:rFonts w:ascii="Adobe Garamond Pro Bold" w:hAnsi="Adobe Garamond Pro Bold" w:cs="Adobe Garamond Pro Bold"/>
          <w:b/>
          <w:bCs/>
        </w:rPr>
        <w:t>United Kingdom’s</w:t>
      </w:r>
      <w:r>
        <w:t xml:space="preserve"> National AI Strategy includes creative industries as a key sector, but implementation has been gradual. The Creative Industries Council works with government to ensure AI adoption doesn’t undermine the UK’s creative economy. Initiatives like the Creative Industries Policy and Evidence Centre research how AI can enhance rather than threaten creative work.</w:t>
      </w:r>
    </w:p>
    <w:p w14:paraId="46D9AFAC" w14:textId="77777777" w:rsidR="00790C07" w:rsidRDefault="00790C07">
      <w:pPr>
        <w:pStyle w:val="para"/>
        <w:rPr>
          <w:w w:val="99"/>
        </w:rPr>
      </w:pPr>
      <w:r>
        <w:rPr>
          <w:w w:val="99"/>
        </w:rPr>
        <w:t xml:space="preserve">Despite being home to leading AI companies like OpenAI, Google, and Meta, the </w:t>
      </w:r>
      <w:r>
        <w:rPr>
          <w:rFonts w:ascii="Adobe Garamond Pro Bold" w:hAnsi="Adobe Garamond Pro Bold" w:cs="Adobe Garamond Pro Bold"/>
          <w:b/>
          <w:bCs/>
          <w:w w:val="99"/>
        </w:rPr>
        <w:t>United States</w:t>
      </w:r>
      <w:r>
        <w:rPr>
          <w:w w:val="99"/>
        </w:rPr>
        <w:t xml:space="preserve"> ranks surprisingly low in global AI adoption indices - often </w:t>
      </w:r>
      <w:r>
        <w:rPr>
          <w:w w:val="99"/>
        </w:rPr>
        <w:lastRenderedPageBreak/>
        <w:t>outside the top 10 in implementation metrics. While the US leads in AI research, development, and venture capital investment, it lags behind countries like Singapore, Denmark, and South Korea in actual deployment across industries and government services. This gap between innovation and implementation reflects regulatory uncertainty, legacy system entrenchment, and a more fragmented approach compared to countries with national AI strategies. The US excels at creating breakthrough AI technologies but struggles with the systematic integration that smaller, more coordinated nations achieve.</w:t>
      </w:r>
    </w:p>
    <w:p w14:paraId="283529E2" w14:textId="77777777" w:rsidR="00790C07" w:rsidRDefault="00790C07">
      <w:pPr>
        <w:pStyle w:val="para"/>
        <w:rPr>
          <w:rFonts w:ascii="Adobe Garamond Pro Bold" w:hAnsi="Adobe Garamond Pro Bold" w:cs="Adobe Garamond Pro Bold"/>
          <w:b/>
          <w:bCs/>
        </w:rPr>
      </w:pPr>
      <w:r>
        <w:t>The world, with AI, is changing.</w:t>
      </w:r>
    </w:p>
    <w:p w14:paraId="1A94991F" w14:textId="77777777" w:rsidR="00790C07" w:rsidRDefault="00790C07">
      <w:pPr>
        <w:pStyle w:val="Subtitle"/>
      </w:pPr>
      <w:r>
        <w:t>The Challenges Ahead</w:t>
      </w:r>
    </w:p>
    <w:p w14:paraId="51C301D1" w14:textId="77777777" w:rsidR="00790C07" w:rsidRDefault="00790C07">
      <w:pPr>
        <w:pStyle w:val="para"/>
      </w:pPr>
      <w:r>
        <w:t>This global adoption isn’t without its tensions. Nations must balance several competing priorities:</w:t>
      </w:r>
    </w:p>
    <w:p w14:paraId="41299AAC" w14:textId="77777777" w:rsidR="00790C07" w:rsidRDefault="00790C07">
      <w:pPr>
        <w:pStyle w:val="para"/>
      </w:pPr>
      <w:r>
        <w:rPr>
          <w:rFonts w:ascii="Adobe Garamond Pro Bold" w:hAnsi="Adobe Garamond Pro Bold" w:cs="Adobe Garamond Pro Bold"/>
          <w:b/>
          <w:bCs/>
        </w:rPr>
        <w:t>Cultural Authenticity vs Global Competitiveness</w:t>
      </w:r>
      <w:r>
        <w:t>: Countries with strong creative traditions worry about AI homogenising their unique cultural expressions. The challenge is using AI to amplify rather than dilute cultural identity.</w:t>
      </w:r>
    </w:p>
    <w:p w14:paraId="741F99F7" w14:textId="77777777" w:rsidR="00790C07" w:rsidRDefault="00790C07">
      <w:pPr>
        <w:pStyle w:val="para"/>
      </w:pPr>
      <w:r>
        <w:rPr>
          <w:rFonts w:ascii="Adobe Garamond Pro Bold" w:hAnsi="Adobe Garamond Pro Bold" w:cs="Adobe Garamond Pro Bold"/>
          <w:b/>
          <w:bCs/>
        </w:rPr>
        <w:t>Economic Opportunity vs Worker Protection</w:t>
      </w:r>
      <w:r>
        <w:t>: While AI can democratise creativity, it also threatens traditional creative jobs. Nations must navigate between embracing efficiency and protecting livelihoods.</w:t>
      </w:r>
    </w:p>
    <w:p w14:paraId="7B627EA1" w14:textId="77777777" w:rsidR="00790C07" w:rsidRDefault="00790C07">
      <w:pPr>
        <w:pStyle w:val="para"/>
      </w:pPr>
      <w:r>
        <w:rPr>
          <w:rFonts w:ascii="Adobe Garamond Pro Bold" w:hAnsi="Adobe Garamond Pro Bold" w:cs="Adobe Garamond Pro Bold"/>
          <w:b/>
          <w:bCs/>
        </w:rPr>
        <w:t>Access vs Excellence</w:t>
      </w:r>
      <w:r>
        <w:t>: Should countries focus on giving everyone basic AI creative tools or on developing cutting-</w:t>
      </w:r>
      <w:r>
        <w:lastRenderedPageBreak/>
        <w:t>edge capabilities for specialists? Different nations are making different choices.</w:t>
      </w:r>
    </w:p>
    <w:p w14:paraId="0CA0E7E5" w14:textId="77777777" w:rsidR="00790C07" w:rsidRDefault="00790C07">
      <w:pPr>
        <w:pStyle w:val="para"/>
      </w:pPr>
      <w:r>
        <w:rPr>
          <w:rFonts w:ascii="Adobe Garamond Pro Bold" w:hAnsi="Adobe Garamond Pro Bold" w:cs="Adobe Garamond Pro Bold"/>
          <w:b/>
          <w:bCs/>
        </w:rPr>
        <w:t xml:space="preserve">Regulation vs Innovation: </w:t>
      </w:r>
      <w:r>
        <w:t>Too much regulation stifles creative experimentation; too little risks ethical problems and cultural damage. Finding the balance is proving difficult globally and raises fundamental questions about who should govern a technology that transcends borders.</w:t>
      </w:r>
    </w:p>
    <w:p w14:paraId="13ECE3FB" w14:textId="77777777" w:rsidR="00790C07" w:rsidRDefault="00790C07">
      <w:pPr>
        <w:pStyle w:val="para"/>
      </w:pPr>
      <w:r>
        <w:t>Should there be a global “RegulAItor”? The idea has appeal - a unified body setting standards for training data, ethical use, and creative rights. But whose values would it embody? What works for Silicon Valley might stifle innovation in Shenzhen or feel culturally tone-deaf in São Paulo. The internet never received a global governor, and perhaps that’s why it flourished.</w:t>
      </w:r>
    </w:p>
    <w:p w14:paraId="01F2D8F9" w14:textId="77777777" w:rsidR="00790C07" w:rsidRDefault="00790C07">
      <w:pPr>
        <w:pStyle w:val="para"/>
      </w:pPr>
      <w:r>
        <w:t>National approaches reflect cultural priorities. The EU’s AI Act emphasises citizen protection and rights. China focuses on social stability and industrial leadership. The US relies more on market forces and voluntary guidelines. The UK positions itself as the sensible middle ground. Each approach has merit; none is complete.</w:t>
      </w:r>
    </w:p>
    <w:p w14:paraId="5C7A7231" w14:textId="77777777" w:rsidR="00790C07" w:rsidRDefault="00790C07">
      <w:pPr>
        <w:pStyle w:val="para"/>
      </w:pPr>
      <w:r>
        <w:t>Perhaps the answer isn’t a single regulator but a coalition of standards bodies - like how the internet evolved through consortiums such as W3C. An “AI Standards Agency” could establish technical benchmarks without imposing cultural values. Think ISO standards for AI: not exciting but effective.</w:t>
      </w:r>
    </w:p>
    <w:p w14:paraId="607BA24F" w14:textId="77777777" w:rsidR="00790C07" w:rsidRDefault="00790C07">
      <w:pPr>
        <w:pStyle w:val="para"/>
      </w:pPr>
      <w:r>
        <w:t xml:space="preserve">The wild card is whether AIs could self-regulate. Not in </w:t>
      </w:r>
      <w:r>
        <w:lastRenderedPageBreak/>
        <w:t>some science-fiction sense of machines governing themselves, but through technical architectures that build in ethical constraints. Models that refuse to generate harmful content, that watermark their creations, that track provenance automatically. The regulation embedded in the code itself.</w:t>
      </w:r>
    </w:p>
    <w:p w14:paraId="020E9FBF" w14:textId="77777777" w:rsidR="00790C07" w:rsidRDefault="00790C07">
      <w:pPr>
        <w:pStyle w:val="para"/>
      </w:pPr>
      <w:r>
        <w:t xml:space="preserve">Most likely, we’ll muddle through with a patchwork - some international agreements on the worst abuses, national laws reflecting local values, industry self-regulation where it works, and technical standards that become de facto rules. </w:t>
      </w:r>
    </w:p>
    <w:p w14:paraId="06131D36" w14:textId="77777777" w:rsidR="00790C07" w:rsidRDefault="00790C07">
      <w:pPr>
        <w:pStyle w:val="Subtitle"/>
      </w:pPr>
      <w:r>
        <w:t>What Success Looks Like</w:t>
      </w:r>
    </w:p>
    <w:p w14:paraId="2654444A" w14:textId="77777777" w:rsidR="00790C07" w:rsidRDefault="00790C07">
      <w:pPr>
        <w:pStyle w:val="para"/>
      </w:pPr>
      <w:r>
        <w:t>The most successful national approaches share certain characteristics:</w:t>
      </w:r>
    </w:p>
    <w:p w14:paraId="09CC80AD" w14:textId="77777777" w:rsidR="00790C07" w:rsidRDefault="00790C07">
      <w:pPr>
        <w:pStyle w:val="para"/>
      </w:pPr>
      <w:r>
        <w:rPr>
          <w:rFonts w:ascii="Adobe Garamond Pro Bold" w:hAnsi="Adobe Garamond Pro Bold" w:cs="Adobe Garamond Pro Bold"/>
          <w:b/>
          <w:bCs/>
        </w:rPr>
        <w:t>Leadership Recognition</w:t>
      </w:r>
      <w:r>
        <w:t>: Whether through ministers, strategies, or significant funding, successful nations treat AI creativity as a priority.</w:t>
      </w:r>
    </w:p>
    <w:p w14:paraId="0571211D" w14:textId="77777777" w:rsidR="00790C07" w:rsidRDefault="00790C07">
      <w:pPr>
        <w:pStyle w:val="para"/>
      </w:pPr>
      <w:r>
        <w:rPr>
          <w:rFonts w:ascii="Adobe Garamond Pro Bold" w:hAnsi="Adobe Garamond Pro Bold" w:cs="Adobe Garamond Pro Bold"/>
          <w:b/>
          <w:bCs/>
        </w:rPr>
        <w:t>Educational Integration</w:t>
      </w:r>
      <w:r>
        <w:t>: Countries seeing real transformation are teaching AI creativity from early ages, not just to specialists.</w:t>
      </w:r>
    </w:p>
    <w:p w14:paraId="60101077" w14:textId="77777777" w:rsidR="00790C07" w:rsidRDefault="00790C07">
      <w:pPr>
        <w:pStyle w:val="para"/>
      </w:pPr>
      <w:r>
        <w:rPr>
          <w:rFonts w:ascii="Adobe Garamond Pro Bold" w:hAnsi="Adobe Garamond Pro Bold" w:cs="Adobe Garamond Pro Bold"/>
          <w:b/>
          <w:bCs/>
        </w:rPr>
        <w:t>Cultural Sensitivity</w:t>
      </w:r>
      <w:r>
        <w:t>: The best strategies enhance local creative traditions rather than replacing them with global defaults.</w:t>
      </w:r>
    </w:p>
    <w:p w14:paraId="63548CE4" w14:textId="77777777" w:rsidR="00790C07" w:rsidRDefault="00790C07">
      <w:pPr>
        <w:pStyle w:val="para"/>
      </w:pPr>
      <w:r>
        <w:rPr>
          <w:rFonts w:ascii="Adobe Garamond Pro Bold" w:hAnsi="Adobe Garamond Pro Bold" w:cs="Adobe Garamond Pro Bold"/>
          <w:b/>
          <w:bCs/>
        </w:rPr>
        <w:t>Democratic Access</w:t>
      </w:r>
      <w:r>
        <w:t xml:space="preserve">: Nations creating broad-based creative revival ensure AI tools reach all citizens, not just </w:t>
      </w:r>
      <w:r>
        <w:lastRenderedPageBreak/>
        <w:t>elites.</w:t>
      </w:r>
    </w:p>
    <w:p w14:paraId="3DADFF50" w14:textId="77777777" w:rsidR="00790C07" w:rsidRDefault="00790C07">
      <w:pPr>
        <w:pStyle w:val="para"/>
        <w:rPr>
          <w:rFonts w:ascii="Adobe Garamond Pro Bold" w:hAnsi="Adobe Garamond Pro Bold" w:cs="Adobe Garamond Pro Bold"/>
          <w:b/>
          <w:bCs/>
        </w:rPr>
      </w:pPr>
      <w:r>
        <w:rPr>
          <w:rFonts w:ascii="Adobe Garamond Pro Bold" w:hAnsi="Adobe Garamond Pro Bold" w:cs="Adobe Garamond Pro Bold"/>
          <w:b/>
          <w:bCs/>
        </w:rPr>
        <w:t>Ethical Frameworks</w:t>
      </w:r>
      <w:r>
        <w:t>: Successful adoption includes protections for creative workers and respect for intellectual property.</w:t>
      </w:r>
    </w:p>
    <w:p w14:paraId="57287CE6" w14:textId="77777777" w:rsidR="00790C07" w:rsidRDefault="00790C07">
      <w:pPr>
        <w:pStyle w:val="para"/>
      </w:pPr>
      <w:r>
        <w:rPr>
          <w:rFonts w:ascii="Adobe Garamond Pro Bold" w:hAnsi="Adobe Garamond Pro Bold" w:cs="Adobe Garamond Pro Bold"/>
          <w:b/>
          <w:bCs/>
        </w:rPr>
        <w:t>The Global Creative Renaissance</w:t>
      </w:r>
    </w:p>
    <w:p w14:paraId="474C5F6B" w14:textId="77777777" w:rsidR="00790C07" w:rsidRDefault="00790C07">
      <w:pPr>
        <w:pStyle w:val="para"/>
      </w:pPr>
      <w:r>
        <w:t>What strikes me most about this global adoption is its diversity. There’s no single model being imposed worldwide. Instead, each nation is finding its own dance with AI, reflecting its values, strengths, and creative traditions.</w:t>
      </w:r>
    </w:p>
    <w:p w14:paraId="57F559DF" w14:textId="77777777" w:rsidR="00790C07" w:rsidRDefault="00790C07">
      <w:pPr>
        <w:pStyle w:val="para"/>
      </w:pPr>
      <w:r>
        <w:t>This diversity drives optimism. Rather than AI creating a homogenised global culture, we’re seeing it amplify the unique creative voice of each nation. Korean AI doesn’t look like Finnish AI; Emirati applications differ from Japanese ones. The technology is universal, but its creative application remains beautifully, necessarily local.</w:t>
      </w:r>
    </w:p>
    <w:p w14:paraId="7A859D38" w14:textId="77777777" w:rsidR="00790C07" w:rsidRDefault="00790C07">
      <w:pPr>
        <w:pStyle w:val="para"/>
      </w:pPr>
      <w:r>
        <w:t>We’re witnessing something unprecedented: a coordinated yet diverse global effort to enhance human creativity through technology. Not every nation will succeed equally, and there will be setbacks and corrections. But the direction is clear. Countries worldwide recognise that in the age of AI, creativity isn’t just a nice-to-have; it’s essential for economic competitiveness, cultural vitality, and human flourishing.</w:t>
      </w:r>
    </w:p>
    <w:p w14:paraId="72ED6C0B" w14:textId="77777777" w:rsidR="00790C07" w:rsidRDefault="00790C07">
      <w:pPr>
        <w:pStyle w:val="para"/>
      </w:pPr>
      <w:r>
        <w:t xml:space="preserve">The billions of creative pulses I’ve celebrated throughout this book aren’t just individual heartbeats. </w:t>
      </w:r>
      <w:r>
        <w:lastRenderedPageBreak/>
        <w:t>They’re organised into nations, each finding its own rhythm in the dance with AI. And in that global choreography lies perhaps our greatest hope: that AI will not flatten human creativity into sameness, but help each culture sing its unique song more powerfully than ever before.</w:t>
      </w:r>
    </w:p>
    <w:p w14:paraId="1956E832" w14:textId="77777777" w:rsidR="00790C07" w:rsidRDefault="00790C07">
      <w:pPr>
        <w:pStyle w:val="para"/>
        <w:rPr>
          <w:rFonts w:ascii="Adobe Garamond Pro Bold" w:hAnsi="Adobe Garamond Pro Bold" w:cs="Adobe Garamond Pro Bold"/>
          <w:b/>
          <w:bCs/>
        </w:rPr>
      </w:pPr>
    </w:p>
    <w:p w14:paraId="361685EE" w14:textId="77777777" w:rsidR="00F8398F" w:rsidRDefault="00F8398F">
      <w:pPr>
        <w:pStyle w:val="chapter"/>
        <w:rPr>
          <w:lang w:val="en-IN"/>
        </w:rPr>
      </w:pPr>
      <w:r>
        <w:rPr>
          <w:lang w:val="en-IN"/>
        </w:rPr>
        <w:br w:type="page"/>
      </w:r>
    </w:p>
    <w:p w14:paraId="191CC50B" w14:textId="77777777" w:rsidR="00F8398F" w:rsidRDefault="00F8398F">
      <w:pPr>
        <w:pStyle w:val="chapter"/>
        <w:rPr>
          <w:lang w:val="en-IN"/>
        </w:rPr>
      </w:pPr>
    </w:p>
    <w:p w14:paraId="7FBFF8B4" w14:textId="77777777" w:rsidR="00F8398F" w:rsidRDefault="00F8398F">
      <w:pPr>
        <w:pStyle w:val="chapter"/>
        <w:rPr>
          <w:lang w:val="en-IN"/>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