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A4962A" w14:textId="77777777" w:rsidR="00790C07" w:rsidRDefault="00790C07">
      <w:pPr>
        <w:pStyle w:val="Title"/>
        <w:spacing w:after="0"/>
      </w:pPr>
      <w:bookmarkStart w:id="21" w:name="_Toc206067714"/>
      <w:r>
        <w:t>Further Reading</w:t>
      </w:r>
      <w:bookmarkEnd w:id="21"/>
    </w:p>
    <w:p w14:paraId="2321B7B4" w14:textId="77777777" w:rsidR="00790C07" w:rsidRDefault="00790C07">
      <w:pPr>
        <w:pStyle w:val="Title"/>
        <w:spacing w:after="0"/>
      </w:pPr>
    </w:p>
    <w:p w14:paraId="5F914456" w14:textId="77777777" w:rsidR="00790C07" w:rsidRDefault="00790C07">
      <w:pPr>
        <w:pStyle w:val="Subtitle"/>
      </w:pPr>
      <w:r>
        <w:t>Books</w:t>
      </w:r>
    </w:p>
    <w:p w14:paraId="62F7902D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Amabile, Teresa. </w:t>
      </w:r>
      <w:r>
        <w:rPr>
          <w:i/>
          <w:iCs/>
          <w:sz w:val="20"/>
          <w:szCs w:val="20"/>
        </w:rPr>
        <w:t>Creativity in Context: Update to the Social Psychology of Creativity</w:t>
      </w:r>
      <w:r>
        <w:rPr>
          <w:sz w:val="20"/>
          <w:szCs w:val="20"/>
        </w:rPr>
        <w:t>. Westview Press, 1996.</w:t>
      </w:r>
    </w:p>
    <w:p w14:paraId="4E62EEA1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Bender, Emily M., </w:t>
      </w:r>
      <w:r>
        <w:rPr>
          <w:i/>
          <w:iCs/>
          <w:sz w:val="20"/>
          <w:szCs w:val="20"/>
        </w:rPr>
        <w:t>et al.</w:t>
      </w:r>
      <w:r>
        <w:rPr>
          <w:sz w:val="20"/>
          <w:szCs w:val="20"/>
        </w:rPr>
        <w:t xml:space="preserve"> “On the Dangers of Stochastic Parrots: Can Language Models Be Too Big?” </w:t>
      </w:r>
      <w:r>
        <w:rPr>
          <w:i/>
          <w:iCs/>
          <w:sz w:val="20"/>
          <w:szCs w:val="20"/>
        </w:rPr>
        <w:t>Proceedings of the 2021 ACM Conference on Fairness, Accountability, and Transparency (FAccT ‘21)</w:t>
      </w:r>
      <w:r>
        <w:rPr>
          <w:sz w:val="20"/>
          <w:szCs w:val="20"/>
        </w:rPr>
        <w:t>, 2021.</w:t>
      </w:r>
    </w:p>
    <w:p w14:paraId="44697FFD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Bender, Emily M. </w:t>
      </w:r>
      <w:r>
        <w:rPr>
          <w:i/>
          <w:iCs/>
          <w:sz w:val="20"/>
          <w:szCs w:val="20"/>
        </w:rPr>
        <w:t>AI Con</w:t>
      </w:r>
      <w:r>
        <w:rPr>
          <w:sz w:val="20"/>
          <w:szCs w:val="20"/>
        </w:rPr>
        <w:t>. Princeton University Press, 2024.</w:t>
      </w:r>
    </w:p>
    <w:p w14:paraId="1E5FDD29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Booker, Christopher. </w:t>
      </w:r>
      <w:r>
        <w:rPr>
          <w:i/>
          <w:iCs/>
          <w:sz w:val="20"/>
          <w:szCs w:val="20"/>
        </w:rPr>
        <w:t>The Seven Basic Plots: Why We Tell Stories</w:t>
      </w:r>
      <w:r>
        <w:rPr>
          <w:sz w:val="20"/>
          <w:szCs w:val="20"/>
        </w:rPr>
        <w:t>. Continuum, 2004.</w:t>
      </w:r>
    </w:p>
    <w:p w14:paraId="5EB435F9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Bradbury, Ray. </w:t>
      </w:r>
      <w:r>
        <w:rPr>
          <w:i/>
          <w:iCs/>
          <w:sz w:val="20"/>
          <w:szCs w:val="20"/>
        </w:rPr>
        <w:t>Zen in the Art of Writing</w:t>
      </w:r>
      <w:r>
        <w:rPr>
          <w:sz w:val="20"/>
          <w:szCs w:val="20"/>
        </w:rPr>
        <w:t>. Joshua Odell Editions, 1990.</w:t>
      </w:r>
    </w:p>
    <w:p w14:paraId="4287879E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Campbell, Joseph. </w:t>
      </w:r>
      <w:r>
        <w:rPr>
          <w:i/>
          <w:iCs/>
          <w:sz w:val="20"/>
          <w:szCs w:val="20"/>
        </w:rPr>
        <w:t>The Hero with a Thousand Faces</w:t>
      </w:r>
      <w:r>
        <w:rPr>
          <w:sz w:val="20"/>
          <w:szCs w:val="20"/>
        </w:rPr>
        <w:t>. Pantheon Books, 1949.</w:t>
      </w:r>
    </w:p>
    <w:p w14:paraId="646AA365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Cave, Nick. </w:t>
      </w:r>
      <w:r>
        <w:rPr>
          <w:i/>
          <w:iCs/>
          <w:sz w:val="20"/>
          <w:szCs w:val="20"/>
        </w:rPr>
        <w:t>The Red Hand Files</w:t>
      </w:r>
      <w:r>
        <w:rPr>
          <w:sz w:val="20"/>
          <w:szCs w:val="20"/>
        </w:rPr>
        <w:t xml:space="preserve">. Online publication at </w:t>
      </w:r>
      <w:hyperlink r:id="rId9" w:history="1">
        <w:r>
          <w:rPr>
            <w:sz w:val="20"/>
            <w:szCs w:val="20"/>
          </w:rPr>
          <w:t>www.theredhandfiles.com</w:t>
        </w:r>
      </w:hyperlink>
    </w:p>
    <w:p w14:paraId="6A0B4237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Csikszentmihalyi, Mihaly. </w:t>
      </w:r>
      <w:r>
        <w:rPr>
          <w:i/>
          <w:iCs/>
          <w:sz w:val="20"/>
          <w:szCs w:val="20"/>
        </w:rPr>
        <w:t>Flow: The Psychology of Optimal Experience</w:t>
      </w:r>
      <w:r>
        <w:rPr>
          <w:sz w:val="20"/>
          <w:szCs w:val="20"/>
        </w:rPr>
        <w:t>. Harper &amp; Row, 1990.</w:t>
      </w:r>
    </w:p>
    <w:p w14:paraId="4CF820BB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Darling-Hammond, Linda. </w:t>
      </w:r>
      <w:r>
        <w:rPr>
          <w:i/>
          <w:iCs/>
          <w:sz w:val="20"/>
          <w:szCs w:val="20"/>
        </w:rPr>
        <w:t>The Flat World and Education: How America’s Commitment to Equity Will Determine Our Future</w:t>
      </w:r>
      <w:r>
        <w:rPr>
          <w:sz w:val="20"/>
          <w:szCs w:val="20"/>
        </w:rPr>
        <w:t>. Teachers College Press, 2010.</w:t>
      </w:r>
    </w:p>
    <w:p w14:paraId="660C7D39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>Doctorow, Cory. Various essays on “enshittification” and the attention economy. Available at pluralistic.net</w:t>
      </w:r>
    </w:p>
    <w:p w14:paraId="082CE501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Gardner, Howard. </w:t>
      </w:r>
      <w:r>
        <w:rPr>
          <w:i/>
          <w:iCs/>
          <w:sz w:val="20"/>
          <w:szCs w:val="20"/>
        </w:rPr>
        <w:t>Frames of Mind: The Theory of Multiple Intelligences</w:t>
      </w:r>
      <w:r>
        <w:rPr>
          <w:sz w:val="20"/>
          <w:szCs w:val="20"/>
        </w:rPr>
        <w:t>. Basic Books, 1983.</w:t>
      </w:r>
    </w:p>
    <w:p w14:paraId="3D59FD0D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Guilford, J. P. “Creativity.” </w:t>
      </w:r>
      <w:r>
        <w:rPr>
          <w:i/>
          <w:iCs/>
          <w:sz w:val="20"/>
          <w:szCs w:val="20"/>
        </w:rPr>
        <w:t>American Psychologist</w:t>
      </w:r>
      <w:r>
        <w:rPr>
          <w:sz w:val="20"/>
          <w:szCs w:val="20"/>
        </w:rPr>
        <w:t>, vol. 5, no. 9, 1950, pp. 444-454.</w:t>
      </w:r>
    </w:p>
    <w:p w14:paraId="404DC393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Kahneman, Daniel. </w:t>
      </w:r>
      <w:r>
        <w:rPr>
          <w:i/>
          <w:iCs/>
          <w:sz w:val="20"/>
          <w:szCs w:val="20"/>
        </w:rPr>
        <w:t>Thinking, Fast and Slow</w:t>
      </w:r>
      <w:r>
        <w:rPr>
          <w:sz w:val="20"/>
          <w:szCs w:val="20"/>
        </w:rPr>
        <w:t>. Farrar, Straus and Giroux, 2011.</w:t>
      </w:r>
    </w:p>
    <w:p w14:paraId="0254AECE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Kaufman, Scott Barry and Carolyn Gregoire. </w:t>
      </w:r>
      <w:r>
        <w:rPr>
          <w:i/>
          <w:iCs/>
          <w:sz w:val="20"/>
          <w:szCs w:val="20"/>
        </w:rPr>
        <w:t>Wired to Create: Unraveling the Mysteries of the Creative Mind</w:t>
      </w:r>
      <w:r>
        <w:rPr>
          <w:sz w:val="20"/>
          <w:szCs w:val="20"/>
        </w:rPr>
        <w:t>. Perigee Books, 2015.</w:t>
      </w:r>
    </w:p>
    <w:p w14:paraId="05C2C47F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Lanier, Jaron. </w:t>
      </w:r>
      <w:r>
        <w:rPr>
          <w:i/>
          <w:iCs/>
          <w:sz w:val="20"/>
          <w:szCs w:val="20"/>
        </w:rPr>
        <w:t>Who Owns the Future?</w:t>
      </w:r>
      <w:r>
        <w:rPr>
          <w:sz w:val="20"/>
          <w:szCs w:val="20"/>
        </w:rPr>
        <w:t xml:space="preserve"> Simon &amp; Schuster, 2013.</w:t>
      </w:r>
    </w:p>
    <w:p w14:paraId="1BF8DD56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Locke, John. </w:t>
      </w:r>
      <w:r>
        <w:rPr>
          <w:i/>
          <w:iCs/>
          <w:sz w:val="20"/>
          <w:szCs w:val="20"/>
        </w:rPr>
        <w:t>An Essay Concerning Human Understanding</w:t>
      </w:r>
      <w:r>
        <w:rPr>
          <w:sz w:val="20"/>
          <w:szCs w:val="20"/>
        </w:rPr>
        <w:t>. 1689.</w:t>
      </w:r>
    </w:p>
    <w:p w14:paraId="354FE242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>Manovich, Lev. “Artificial Subjectivity.” Essay, 2025.</w:t>
      </w:r>
    </w:p>
    <w:p w14:paraId="54A7C725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Marcus, Gary and Ernest Davis. </w:t>
      </w:r>
      <w:r>
        <w:rPr>
          <w:i/>
          <w:iCs/>
          <w:sz w:val="20"/>
          <w:szCs w:val="20"/>
        </w:rPr>
        <w:t>Rebooting AI: Building Artificial Intelligence We Can Trust</w:t>
      </w:r>
      <w:r>
        <w:rPr>
          <w:sz w:val="20"/>
          <w:szCs w:val="20"/>
        </w:rPr>
        <w:t>. Pantheon Books, 2019.</w:t>
      </w:r>
    </w:p>
    <w:p w14:paraId="438FAB5F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May, Rollo. </w:t>
      </w:r>
      <w:r>
        <w:rPr>
          <w:i/>
          <w:iCs/>
          <w:sz w:val="20"/>
          <w:szCs w:val="20"/>
        </w:rPr>
        <w:t>The Courage to Create</w:t>
      </w:r>
      <w:r>
        <w:rPr>
          <w:sz w:val="20"/>
          <w:szCs w:val="20"/>
        </w:rPr>
        <w:t>. W. W. Norton, 1975.</w:t>
      </w:r>
    </w:p>
    <w:p w14:paraId="79AE4442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Mitra, Sugata. </w:t>
      </w:r>
      <w:r>
        <w:rPr>
          <w:i/>
          <w:iCs/>
          <w:sz w:val="20"/>
          <w:szCs w:val="20"/>
        </w:rPr>
        <w:t>Beyond the Hole in the Wall: Discover the Power of Self-Organized Learning</w:t>
      </w:r>
      <w:r>
        <w:rPr>
          <w:sz w:val="20"/>
          <w:szCs w:val="20"/>
        </w:rPr>
        <w:t>. TED Books, 2012.</w:t>
      </w:r>
    </w:p>
    <w:p w14:paraId="2D7D95A2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Mollick, Ethan. </w:t>
      </w:r>
      <w:r>
        <w:rPr>
          <w:i/>
          <w:iCs/>
          <w:sz w:val="20"/>
          <w:szCs w:val="20"/>
        </w:rPr>
        <w:t>Co-Intelligence: Living and Working with AI</w:t>
      </w:r>
      <w:r>
        <w:rPr>
          <w:sz w:val="20"/>
          <w:szCs w:val="20"/>
        </w:rPr>
        <w:t>. Portfolio, 2024.</w:t>
      </w:r>
    </w:p>
    <w:p w14:paraId="45E232DB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>Robinson, Ken. “Do Schools Kill Creativity?” TED Talk, 2006.</w:t>
      </w:r>
    </w:p>
    <w:p w14:paraId="11C5CE95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Rogers, Carl. </w:t>
      </w:r>
      <w:r>
        <w:rPr>
          <w:i/>
          <w:iCs/>
          <w:sz w:val="20"/>
          <w:szCs w:val="20"/>
        </w:rPr>
        <w:t>On Becoming a Person: A Therapist’s View of Psychotherapy</w:t>
      </w:r>
      <w:r>
        <w:rPr>
          <w:sz w:val="20"/>
          <w:szCs w:val="20"/>
        </w:rPr>
        <w:t>. Houghton Mifflin, 1961.</w:t>
      </w:r>
    </w:p>
    <w:p w14:paraId="6C92E77E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Rushkoff, Douglas. </w:t>
      </w:r>
      <w:r>
        <w:rPr>
          <w:i/>
          <w:iCs/>
          <w:sz w:val="20"/>
          <w:szCs w:val="20"/>
        </w:rPr>
        <w:t>Survival of the Richest: Escape Fantasies of the Tech Billionaires</w:t>
      </w:r>
      <w:r>
        <w:rPr>
          <w:sz w:val="20"/>
          <w:szCs w:val="20"/>
        </w:rPr>
        <w:t>. W. W. Norton, 2022.</w:t>
      </w:r>
    </w:p>
    <w:p w14:paraId="5AC7C3E8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Sadek, Nadim. </w:t>
      </w:r>
      <w:r>
        <w:rPr>
          <w:i/>
          <w:iCs/>
          <w:sz w:val="20"/>
          <w:szCs w:val="20"/>
        </w:rPr>
        <w:t>Shimmer, don’t Shake: How Publishing Can Embrace AI</w:t>
      </w:r>
      <w:r>
        <w:rPr>
          <w:sz w:val="20"/>
          <w:szCs w:val="20"/>
        </w:rPr>
        <w:t>. Forbes Books, 2023 and Mensch Publishing, 2025.</w:t>
      </w:r>
    </w:p>
    <w:p w14:paraId="3CB3944A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du Sautoy, Marcus. </w:t>
      </w:r>
      <w:r>
        <w:rPr>
          <w:i/>
          <w:iCs/>
          <w:sz w:val="20"/>
          <w:szCs w:val="20"/>
        </w:rPr>
        <w:t>The Creativity Code: How AI Is Learning to Write, Paint and Think</w:t>
      </w:r>
      <w:r>
        <w:rPr>
          <w:sz w:val="20"/>
          <w:szCs w:val="20"/>
        </w:rPr>
        <w:t>. Fourth Estate, 2019.</w:t>
      </w:r>
    </w:p>
    <w:p w14:paraId="504CC222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Scaman, Zoe. Newsletter essays. Available at </w:t>
      </w:r>
      <w:hyperlink r:id="rId10" w:history="1">
        <w:r>
          <w:rPr>
            <w:sz w:val="20"/>
            <w:szCs w:val="20"/>
          </w:rPr>
          <w:t>https://zoescaman.substack.com/</w:t>
        </w:r>
      </w:hyperlink>
    </w:p>
    <w:p w14:paraId="2BC077BB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Simonton, Dean Keith. </w:t>
      </w:r>
      <w:r>
        <w:rPr>
          <w:i/>
          <w:iCs/>
          <w:sz w:val="20"/>
          <w:szCs w:val="20"/>
        </w:rPr>
        <w:t>Origins of Genius: Darwinian Perspectives on Creativity</w:t>
      </w:r>
      <w:r>
        <w:rPr>
          <w:sz w:val="20"/>
          <w:szCs w:val="20"/>
        </w:rPr>
        <w:t>. Oxford University Press, 1999.</w:t>
      </w:r>
    </w:p>
    <w:p w14:paraId="11BE118F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Sternberg, Robert J., ed. </w:t>
      </w:r>
      <w:r>
        <w:rPr>
          <w:i/>
          <w:iCs/>
          <w:sz w:val="20"/>
          <w:szCs w:val="20"/>
        </w:rPr>
        <w:t>Handbook of Creativity</w:t>
      </w:r>
      <w:r>
        <w:rPr>
          <w:sz w:val="20"/>
          <w:szCs w:val="20"/>
        </w:rPr>
        <w:t>. Cambridge University Press, 1999.</w:t>
      </w:r>
    </w:p>
    <w:p w14:paraId="43B45F82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Suleyman, Mustafa with Michael Bhaskar. </w:t>
      </w:r>
      <w:r>
        <w:rPr>
          <w:i/>
          <w:iCs/>
          <w:sz w:val="20"/>
          <w:szCs w:val="20"/>
        </w:rPr>
        <w:t>The Coming Wave: Technology, Power, and the Twenty-first Century’s Greatest Dilemma</w:t>
      </w:r>
      <w:r>
        <w:rPr>
          <w:sz w:val="20"/>
          <w:szCs w:val="20"/>
        </w:rPr>
        <w:t>. Crown, 2023.</w:t>
      </w:r>
    </w:p>
    <w:p w14:paraId="79C0DFC8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Tharp, Twyla with Mark Reiter. </w:t>
      </w:r>
      <w:r>
        <w:rPr>
          <w:i/>
          <w:iCs/>
          <w:sz w:val="20"/>
          <w:szCs w:val="20"/>
        </w:rPr>
        <w:t>The Creative Habit: Learn It and Use It for Life</w:t>
      </w:r>
      <w:r>
        <w:rPr>
          <w:sz w:val="20"/>
          <w:szCs w:val="20"/>
        </w:rPr>
        <w:t>. Simon &amp; Schuster, 2003.</w:t>
      </w:r>
    </w:p>
    <w:p w14:paraId="7755E886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Torrance, E. Paul. </w:t>
      </w:r>
      <w:r>
        <w:rPr>
          <w:i/>
          <w:iCs/>
          <w:sz w:val="20"/>
          <w:szCs w:val="20"/>
        </w:rPr>
        <w:t>Torrance Tests of Creative Thinking</w:t>
      </w:r>
      <w:r>
        <w:rPr>
          <w:sz w:val="20"/>
          <w:szCs w:val="20"/>
        </w:rPr>
        <w:t>. Personnel Press, 1966.</w:t>
      </w:r>
    </w:p>
    <w:p w14:paraId="35C65A09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Turkle, Sherry. </w:t>
      </w:r>
      <w:r>
        <w:rPr>
          <w:i/>
          <w:iCs/>
          <w:sz w:val="20"/>
          <w:szCs w:val="20"/>
        </w:rPr>
        <w:t>Reclaiming Conversation: The Power of Talk in a Digital Age</w:t>
      </w:r>
      <w:r>
        <w:rPr>
          <w:sz w:val="20"/>
          <w:szCs w:val="20"/>
        </w:rPr>
        <w:t>. Penguin Press, 2015.</w:t>
      </w:r>
    </w:p>
    <w:p w14:paraId="1578E0C4" w14:textId="77777777" w:rsidR="00790C07" w:rsidRDefault="00790C07">
      <w:pPr>
        <w:pStyle w:val="para"/>
        <w:spacing w:after="227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Zhao, Yong. </w:t>
      </w:r>
      <w:r>
        <w:rPr>
          <w:i/>
          <w:iCs/>
          <w:sz w:val="20"/>
          <w:szCs w:val="20"/>
        </w:rPr>
        <w:t>Who’s Afraid of the Big Bad Dragon? Why China Has the Best (and Worst) Education System in the World</w:t>
      </w:r>
      <w:r>
        <w:rPr>
          <w:sz w:val="20"/>
          <w:szCs w:val="20"/>
        </w:rPr>
        <w:t>. Jossey-Bass, 2014.</w:t>
      </w:r>
    </w:p>
    <w:p w14:paraId="59537C58" w14:textId="77777777" w:rsidR="00790C07" w:rsidRDefault="00790C07">
      <w:pPr>
        <w:pStyle w:val="para"/>
        <w:spacing w:after="170"/>
        <w:ind w:firstLine="0"/>
        <w:rPr>
          <w:rFonts w:ascii="Adobe Garamond Pro Bold" w:hAnsi="Adobe Garamond Pro Bold" w:cs="Adobe Garamond Pro Bold"/>
          <w:b/>
          <w:bCs/>
          <w:sz w:val="20"/>
          <w:szCs w:val="20"/>
        </w:rPr>
      </w:pPr>
      <w:r>
        <w:rPr>
          <w:rFonts w:ascii="Adobe Garamond Pro Bold" w:hAnsi="Adobe Garamond Pro Bold" w:cs="Adobe Garamond Pro Bold"/>
          <w:b/>
          <w:bCs/>
          <w:sz w:val="20"/>
          <w:szCs w:val="20"/>
        </w:rPr>
        <w:t>Key Papers and Articles</w:t>
      </w:r>
    </w:p>
    <w:p w14:paraId="72D61E32" w14:textId="77777777" w:rsidR="00790C07" w:rsidRDefault="00790C07">
      <w:pPr>
        <w:pStyle w:val="para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Binz, Marcel and Eric Schulz. “A Foundation Model to Predict and Capture Human Cognition.” </w:t>
      </w:r>
      <w:r>
        <w:rPr>
          <w:i/>
          <w:iCs/>
          <w:sz w:val="20"/>
          <w:szCs w:val="20"/>
        </w:rPr>
        <w:t>Nature</w:t>
      </w:r>
      <w:r>
        <w:rPr>
          <w:sz w:val="20"/>
          <w:szCs w:val="20"/>
        </w:rPr>
        <w:t>, 2025.</w:t>
      </w:r>
    </w:p>
    <w:p w14:paraId="1B516964" w14:textId="77777777" w:rsidR="00790C07" w:rsidRDefault="00790C07">
      <w:pPr>
        <w:pStyle w:val="para"/>
        <w:ind w:firstLine="0"/>
      </w:pPr>
      <w:r>
        <w:rPr>
          <w:sz w:val="20"/>
          <w:szCs w:val="20"/>
        </w:rPr>
        <w:t>Lemoine, Blake. Various interviews and writings on LaMDA consciousness, 2022.</w:t>
      </w:r>
    </w:p>
    <w:p w14:paraId="1D44D34F" w14:textId="77777777" w:rsidR="00790C07" w:rsidRDefault="00790C07">
      <w:pPr>
        <w:pStyle w:val="para"/>
        <w:rPr>
          <w:rFonts w:ascii="Adobe Garamond Pro Bold" w:hAnsi="Adobe Garamond Pro Bold" w:cs="Adobe Garamond Pro Bold"/>
          <w:b/>
          <w:bCs/>
        </w:rPr>
      </w:pPr>
    </w:p>
    <w:p w14:paraId="746B3717" w14:textId="77777777" w:rsidR="0037480D" w:rsidRDefault="0037480D">
      <w:pPr>
        <w:pStyle w:val="Title"/>
      </w:pPr>
      <w:r>
        <w:br w:type="page"/>
      </w:r>
    </w:p>
    <w:p w14:paraId="502D72CD" w14:textId="77777777" w:rsidR="0037480D" w:rsidRDefault="0037480D">
      <w:pPr>
        <w:pStyle w:val="Title"/>
      </w:pPr>
    </w:p>
    <w:p w14:paraId="7A9A0FA4" w14:textId="77777777" w:rsidR="0037480D" w:rsidRDefault="0037480D">
      <w:pPr>
        <w:pStyle w:val="Title"/>
      </w:pPr>
    </w:p>
    <w:sectPr w:rsidR="00790C07">
      <w:pgSz w:w="7286" w:h="11246"/>
      <w:pgMar w:top="1361" w:right="907" w:bottom="1134" w:left="79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8DD032" w14:textId="77777777" w:rsidR="00983EB5" w:rsidRDefault="00983EB5" w:rsidP="00015024">
      <w:pPr>
        <w:spacing w:after="0" w:line="240" w:lineRule="auto"/>
      </w:pPr>
      <w:r>
        <w:separator/>
      </w:r>
    </w:p>
  </w:endnote>
  <w:endnote w:type="continuationSeparator" w:id="0">
    <w:p w14:paraId="6372622D" w14:textId="77777777" w:rsidR="00983EB5" w:rsidRDefault="00983EB5" w:rsidP="00015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dobe Garamond Pro">
    <w:altName w:val="Georgia"/>
    <w:panose1 w:val="00000000000000000000"/>
    <w:charset w:val="00"/>
    <w:family w:val="roman"/>
    <w:notTrueType/>
    <w:pitch w:val="variable"/>
    <w:sig w:usb0="00000001" w:usb1="00000001" w:usb2="00000000" w:usb3="00000000" w:csb0="0000009B" w:csb1="00000000"/>
  </w:font>
  <w:font w:name="Optima LT Std">
    <w:altName w:val="Sans Serif Collection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Adobe Garamond Pro Bold">
    <w:altName w:val="Constantia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Larken Medium">
    <w:altName w:val="Arial"/>
    <w:panose1 w:val="00000000000000000000"/>
    <w:charset w:val="00"/>
    <w:family w:val="modern"/>
    <w:notTrueType/>
    <w:pitch w:val="variable"/>
    <w:sig w:usb0="00000001" w:usb1="4000207A" w:usb2="00000000" w:usb3="00000000" w:csb0="00000083" w:csb1="00000000"/>
  </w:font>
  <w:font w:name="Larken">
    <w:altName w:val="Arial"/>
    <w:panose1 w:val="00000000000000000000"/>
    <w:charset w:val="00"/>
    <w:family w:val="modern"/>
    <w:notTrueType/>
    <w:pitch w:val="variable"/>
    <w:sig w:usb0="00000001" w:usb1="4000207A" w:usb2="00000000" w:usb3="00000000" w:csb0="00000083" w:csb1="00000000"/>
  </w:font>
  <w:font w:name="Larken Light">
    <w:altName w:val="Arial"/>
    <w:panose1 w:val="00000000000000000000"/>
    <w:charset w:val="00"/>
    <w:family w:val="modern"/>
    <w:notTrueType/>
    <w:pitch w:val="variable"/>
    <w:sig w:usb0="00000001" w:usb1="4000207A" w:usb2="00000000" w:usb3="00000000" w:csb0="00000083" w:csb1="00000000"/>
  </w:font>
  <w:font w:name="Larken Bold">
    <w:altName w:val="Arial"/>
    <w:panose1 w:val="00000000000000000000"/>
    <w:charset w:val="00"/>
    <w:family w:val="modern"/>
    <w:notTrueType/>
    <w:pitch w:val="variable"/>
    <w:sig w:usb0="00000001" w:usb1="4000207A" w:usb2="00000000" w:usb3="00000000" w:csb0="00000083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07D70A" w14:textId="77777777" w:rsidR="00983EB5" w:rsidRDefault="00983EB5" w:rsidP="00015024">
      <w:pPr>
        <w:spacing w:after="0" w:line="240" w:lineRule="auto"/>
      </w:pPr>
      <w:r>
        <w:separator/>
      </w:r>
    </w:p>
  </w:footnote>
  <w:footnote w:type="continuationSeparator" w:id="0">
    <w:p w14:paraId="3ACA137E" w14:textId="77777777" w:rsidR="00983EB5" w:rsidRDefault="00983EB5" w:rsidP="000150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autoHyphenation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86B"/>
    <w:rsid w:val="000009E1"/>
    <w:rsid w:val="00015024"/>
    <w:rsid w:val="00045474"/>
    <w:rsid w:val="0008374D"/>
    <w:rsid w:val="00271C88"/>
    <w:rsid w:val="002C23C1"/>
    <w:rsid w:val="002F77A4"/>
    <w:rsid w:val="0037480D"/>
    <w:rsid w:val="003E1C4C"/>
    <w:rsid w:val="00436E8E"/>
    <w:rsid w:val="00452F4D"/>
    <w:rsid w:val="004B352A"/>
    <w:rsid w:val="00516DE5"/>
    <w:rsid w:val="00675A5E"/>
    <w:rsid w:val="006F1640"/>
    <w:rsid w:val="006F272C"/>
    <w:rsid w:val="00747FAE"/>
    <w:rsid w:val="00771346"/>
    <w:rsid w:val="00790C07"/>
    <w:rsid w:val="00797A71"/>
    <w:rsid w:val="007D5AF6"/>
    <w:rsid w:val="00851F17"/>
    <w:rsid w:val="008752E6"/>
    <w:rsid w:val="00943678"/>
    <w:rsid w:val="00954624"/>
    <w:rsid w:val="009620B5"/>
    <w:rsid w:val="00983EB5"/>
    <w:rsid w:val="0099435E"/>
    <w:rsid w:val="009C6E9E"/>
    <w:rsid w:val="00A9563B"/>
    <w:rsid w:val="00AF72D8"/>
    <w:rsid w:val="00D7586B"/>
    <w:rsid w:val="00DB5E1F"/>
    <w:rsid w:val="00E64DAD"/>
    <w:rsid w:val="00E90772"/>
    <w:rsid w:val="00F1409E"/>
    <w:rsid w:val="00F47DE5"/>
    <w:rsid w:val="00F8398F"/>
    <w:rsid w:val="00F8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03F7B1"/>
  <w14:defaultImageDpi w14:val="0"/>
  <w15:docId w15:val="{3AC49857-625F-4A1D-9895-FF54CD326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Times New Roman" w:hAnsi="Aptos" w:cs="Times New Roman"/>
        <w:lang w:val="en-US" w:eastAsia="en-US" w:bidi="ta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rFonts w:cs="Latha"/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5A5E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A5E"/>
    <w:pPr>
      <w:keepNext/>
      <w:spacing w:before="240" w:after="60"/>
      <w:outlineLvl w:val="1"/>
    </w:pPr>
    <w:rPr>
      <w:rFonts w:ascii="Aptos Display" w:hAnsi="Aptos Display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A5E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75A5E"/>
    <w:rPr>
      <w:rFonts w:ascii="Aptos Display" w:eastAsia="Times New Roman" w:hAnsi="Aptos Display" w:cs="Latha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675A5E"/>
    <w:rPr>
      <w:rFonts w:ascii="Aptos Display" w:eastAsia="Times New Roman" w:hAnsi="Aptos Display" w:cs="Latha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675A5E"/>
    <w:rPr>
      <w:rFonts w:ascii="Aptos Display" w:eastAsia="Times New Roman" w:hAnsi="Aptos Display" w:cs="Latha"/>
      <w:b/>
      <w:bCs/>
      <w:sz w:val="26"/>
      <w:szCs w:val="26"/>
    </w:rPr>
  </w:style>
  <w:style w:type="paragraph" w:customStyle="1" w:styleId="NoParagraphStyle">
    <w:name w:val="[No Paragraph Style]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paragraph" w:customStyle="1" w:styleId="BasicParagraph">
    <w:name w:val="[Basic Paragraph]"/>
    <w:basedOn w:val="NoParagraphStyle"/>
    <w:uiPriority w:val="99"/>
  </w:style>
  <w:style w:type="paragraph" w:customStyle="1" w:styleId="para">
    <w:name w:val="para"/>
    <w:basedOn w:val="BasicParagraph"/>
    <w:uiPriority w:val="99"/>
    <w:pPr>
      <w:suppressAutoHyphens/>
      <w:spacing w:after="113" w:line="300" w:lineRule="atLeast"/>
      <w:ind w:firstLine="227"/>
      <w:jc w:val="both"/>
    </w:pPr>
    <w:rPr>
      <w:rFonts w:ascii="Adobe Garamond Pro" w:hAnsi="Adobe Garamond Pro" w:cs="Adobe Garamond Pro"/>
      <w:sz w:val="22"/>
      <w:szCs w:val="22"/>
    </w:rPr>
  </w:style>
  <w:style w:type="paragraph" w:styleId="Title">
    <w:name w:val="Title"/>
    <w:basedOn w:val="para"/>
    <w:link w:val="TitleChar"/>
    <w:uiPriority w:val="99"/>
    <w:qFormat/>
    <w:pPr>
      <w:spacing w:after="227" w:line="360" w:lineRule="atLeast"/>
      <w:ind w:firstLine="0"/>
      <w:jc w:val="center"/>
    </w:pPr>
    <w:rPr>
      <w:rFonts w:ascii="Optima LT Std" w:hAnsi="Optima LT Std" w:cs="Optima LT Std"/>
      <w:b/>
      <w:bCs/>
      <w:sz w:val="28"/>
      <w:szCs w:val="28"/>
    </w:rPr>
  </w:style>
  <w:style w:type="character" w:customStyle="1" w:styleId="TitleChar">
    <w:name w:val="Title Char"/>
    <w:link w:val="Title"/>
    <w:uiPriority w:val="10"/>
    <w:rPr>
      <w:rFonts w:ascii="Aptos Display" w:eastAsia="Times New Roman" w:hAnsi="Aptos Display" w:cs="Latha"/>
      <w:b/>
      <w:bCs/>
      <w:kern w:val="28"/>
      <w:sz w:val="32"/>
      <w:szCs w:val="32"/>
    </w:rPr>
  </w:style>
  <w:style w:type="paragraph" w:customStyle="1" w:styleId="chapter">
    <w:name w:val="chapter"/>
    <w:basedOn w:val="NoParagraphStyle"/>
    <w:next w:val="NoParagraphStyle"/>
    <w:uiPriority w:val="99"/>
    <w:pPr>
      <w:spacing w:after="113"/>
      <w:jc w:val="center"/>
    </w:pPr>
    <w:rPr>
      <w:rFonts w:ascii="Optima LT Std" w:hAnsi="Optima LT Std" w:cs="Optima LT Std"/>
      <w:b/>
      <w:bCs/>
      <w:sz w:val="22"/>
      <w:szCs w:val="22"/>
    </w:rPr>
  </w:style>
  <w:style w:type="paragraph" w:customStyle="1" w:styleId="Subtitle">
    <w:name w:val="Sub title"/>
    <w:basedOn w:val="para"/>
    <w:uiPriority w:val="99"/>
    <w:pPr>
      <w:spacing w:before="170" w:after="170"/>
      <w:ind w:firstLine="0"/>
      <w:jc w:val="left"/>
    </w:pPr>
    <w:rPr>
      <w:rFonts w:ascii="Adobe Garamond Pro Bold" w:hAnsi="Adobe Garamond Pro Bold" w:cs="Adobe Garamond Pro Bold"/>
      <w:b/>
      <w:bCs/>
      <w:sz w:val="24"/>
      <w:szCs w:val="24"/>
    </w:rPr>
  </w:style>
  <w:style w:type="character" w:styleId="Strong">
    <w:name w:val="Strong"/>
    <w:uiPriority w:val="99"/>
    <w:qFormat/>
    <w:rPr>
      <w:rFonts w:cs="Times New Roman"/>
      <w:b/>
      <w:bCs/>
      <w:color w:val="000000"/>
      <w:w w:val="100"/>
    </w:rPr>
  </w:style>
  <w:style w:type="character" w:customStyle="1" w:styleId="Bold">
    <w:name w:val="Bold"/>
    <w:uiPriority w:val="99"/>
    <w:rPr>
      <w:rFonts w:ascii="Minion Pro" w:hAnsi="Minion Pro"/>
      <w:b/>
    </w:rPr>
  </w:style>
  <w:style w:type="character" w:styleId="Emphasis">
    <w:name w:val="Emphasis"/>
    <w:uiPriority w:val="99"/>
    <w:qFormat/>
    <w:rPr>
      <w:rFonts w:ascii="Times New Roman" w:hAnsi="Times New Roman" w:cs="Times New Roman"/>
      <w:i/>
      <w:iCs/>
      <w:color w:val="000000"/>
      <w:w w:val="100"/>
    </w:rPr>
  </w:style>
  <w:style w:type="character" w:customStyle="1" w:styleId="Regular">
    <w:name w:val="Regular"/>
    <w:uiPriority w:val="99"/>
    <w:rPr>
      <w:rFonts w:ascii="Minion Pro" w:hAnsi="Minion Pro"/>
    </w:rPr>
  </w:style>
  <w:style w:type="character" w:customStyle="1" w:styleId="Italics">
    <w:name w:val="Italics"/>
    <w:uiPriority w:val="99"/>
    <w:rPr>
      <w:rFonts w:ascii="Minion Pro" w:hAnsi="Minion Pro"/>
      <w:i/>
    </w:rPr>
  </w:style>
  <w:style w:type="paragraph" w:styleId="TOC1">
    <w:name w:val="toc 1"/>
    <w:basedOn w:val="Normal"/>
    <w:next w:val="Normal"/>
    <w:autoRedefine/>
    <w:uiPriority w:val="39"/>
    <w:unhideWhenUsed/>
    <w:rsid w:val="00675A5E"/>
  </w:style>
  <w:style w:type="character" w:styleId="Hyperlink">
    <w:name w:val="Hyperlink"/>
    <w:uiPriority w:val="99"/>
    <w:unhideWhenUsed/>
    <w:rsid w:val="00675A5E"/>
    <w:rPr>
      <w:rFonts w:cs="Times New Roman"/>
      <w:color w:val="467886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50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5024"/>
    <w:rPr>
      <w:rFonts w:cs="Latha"/>
      <w:kern w:val="2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150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5024"/>
    <w:rPr>
      <w:rFonts w:cs="Latha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hyperlink" Target="https://zoescaman.substack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theredhandfil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48C7F-28E6-4804-8579-BB549F6C5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43972</Words>
  <Characters>250645</Characters>
  <Application>Microsoft Office Word</Application>
  <DocSecurity>0</DocSecurity>
  <Lines>2088</Lines>
  <Paragraphs>588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sadhanandham s</dc:creator>
  <cp:keywords/>
  <dc:description/>
  <cp:lastModifiedBy>rahini@ailaysa.com</cp:lastModifiedBy>
  <cp:revision>4</cp:revision>
  <dcterms:created xsi:type="dcterms:W3CDTF">2025-09-23T12:33:00Z</dcterms:created>
  <dcterms:modified xsi:type="dcterms:W3CDTF">2025-10-13T09:07:00Z</dcterms:modified>
</cp:coreProperties>
</file>