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76" w:lineRule="auto"/>
        <w:ind w:right="280" w:firstLine="216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bookmarkStart w:id="3" w:name="bookmark=id.sm75eb22ftla" w:colFirst="0" w:colLast="0"/>
      <w:bookmarkEnd w:id="3"/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lastRenderedPageBreak/>
        <w:t>Money is the medium by which earthly suc-cess is measured.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79" w:lineRule="auto"/>
        <w:ind w:right="280" w:firstLine="144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Money makes possible the enjoyment of the best the earth affords.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79" w:lineRule="auto"/>
        <w:ind w:right="260" w:firstLine="144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Money is plentiful for those who understand the simple laws which govern its acquisition.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4" w:lineRule="auto"/>
        <w:ind w:firstLine="144"/>
        <w:jc w:val="both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sectPr w:rsidR="002941D2">
          <w:pgSz w:w="7540" w:h="10800"/>
          <w:pgMar w:top="1429" w:right="1340" w:bottom="1440" w:left="14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Money is governed today by the same laws wh ich con tr olled it wh en pr os per ou s m en thronged the streets of Babylon, six thousand years ago.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