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20"/>
        <w:jc w:val="center"/>
        <w:rPr>
          <w:rFonts w:ascii="Times New Roman" w:eastAsia="Times New Roman" w:hAnsi="Times New Roman" w:cs="Times New Roman"/>
          <w:b/>
          <w:bCs/>
          <w:i/>
          <w:iCs/>
          <w:sz w:val="40"/>
          <w:szCs w:val="40"/>
        </w:rPr>
      </w:pPr>
      <w:bookmarkStart w:id="150" w:name="bookmark=id.dn4yds6700yj" w:colFirst="0" w:colLast="0"/>
      <w:bookmarkEnd w:id="150"/>
      <w:r>
        <w:rPr>
          <w:rFonts w:ascii="Times New Roman" w:eastAsia="Times New Roman" w:hAnsi="Times New Roman" w:cs="Times New Roman"/>
          <w:b/>
          <w:bCs/>
          <w:i/>
          <w:iCs/>
          <w:sz w:val="40"/>
          <w:szCs w:val="40"/>
        </w:rPr>
        <w:lastRenderedPageBreak/>
        <w:t>The Luckiest Man in</w:t>
      </w:r>
    </w:p>
    <w:p w:rsidR="002941D2" w:rsidRDefault="002941D2">
      <w:pPr>
        <w:rPr>
          <w:rFonts w:ascii="Times New Roman" w:eastAsia="Times New Roman" w:hAnsi="Times New Roman" w:cs="Times New Roman"/>
        </w:rPr>
      </w:pPr>
    </w:p>
    <w:p w:rsidR="002941D2" w:rsidRDefault="004730A5">
      <w:pPr>
        <w:ind w:right="2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4"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the head of his caravan, proudly rode Sharru Nada, the merchant prince of Babylon. He liked fine cloth and wore rich and becoming robes. He liked fine animals and sat easily upon his spirited Arabian stallion. To look at him one would hardly have guessed his advanced years. Certainly they would not have suspected that he was inwardly troubled.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journey from Damascus is long and the hard-ships of the desert many. These he minded not. The Arab tribes are fierce and eager to loot rich caravans. These he feared not for his many fleet mounted guards were a safe protection.</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sectPr w:rsidR="002941D2">
          <w:pgSz w:w="7540" w:h="10800"/>
          <w:pgMar w:top="1397" w:right="1060" w:bottom="1440" w:left="1260" w:header="0" w:footer="0" w:gutter="0"/>
          <w:cols w:space="720"/>
        </w:sectPr>
      </w:pPr>
      <w:r>
        <w:rPr>
          <w:rFonts w:ascii="Times New Roman" w:eastAsia="Times New Roman" w:hAnsi="Times New Roman" w:cs="Times New Roman"/>
          <w:sz w:val="22"/>
          <w:szCs w:val="22"/>
        </w:rPr>
        <w:t>About the youth at his side, whom he was bringing from Damascus, was he disturbed. This was Hadan Gula, the grandson of his partner of other years, Arad Gula, to whom he felt he owed a debt of grati-tude which could never be repaid. He would like to do something for this grandson, but the more he considered this, the more difficult it seemed because of the youth himself.</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