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(0451)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9" w:lineRule="auto"/>
        <w:ind w:right="20"/>
        <w:jc w:val="center"/>
        <w:rPr>
          <w:rFonts w:ascii="Times New Roman" w:eastAsia="Times New Roman" w:hAnsi="Times New Roman" w:cs="Times New Roman"/>
          <w:b/>
          <w:bCs/>
          <w:i/>
          <w:i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b/>
          <w:bCs/>
          <w:i/>
          <w:iCs/>
          <w:sz w:val="31"/>
          <w:szCs w:val="31"/>
        </w:rPr>
        <w:t>OUND</w:t>
      </w: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i/>
          <w:iCs/>
          <w:sz w:val="31"/>
          <w:szCs w:val="31"/>
        </w:rPr>
        <w:t>INANCIAL</w:t>
      </w: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i/>
          <w:iCs/>
          <w:sz w:val="31"/>
          <w:szCs w:val="31"/>
        </w:rPr>
        <w:t>DVICE FOR</w:t>
      </w: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 xml:space="preserve"> E</w:t>
      </w:r>
      <w:r>
        <w:rPr>
          <w:rFonts w:ascii="Times New Roman" w:eastAsia="Times New Roman" w:hAnsi="Times New Roman" w:cs="Times New Roman"/>
          <w:b/>
          <w:bCs/>
          <w:i/>
          <w:iCs/>
          <w:sz w:val="31"/>
          <w:szCs w:val="31"/>
        </w:rPr>
        <w:t>VERYONE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T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HE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C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OMPLETE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E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STATE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P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LANNING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 xml:space="preserve"> G</w:t>
      </w:r>
      <w:r>
        <w:rPr>
          <w:rFonts w:ascii="Helvetica Neue" w:eastAsia="Helvetica Neue" w:hAnsi="Helvetica Neue" w:cs="Helvetica Neue"/>
          <w:b/>
          <w:bCs/>
          <w:sz w:val="23"/>
          <w:szCs w:val="23"/>
        </w:rPr>
        <w:t>UIDE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>:</w:t>
      </w:r>
    </w:p>
    <w:p w:rsidR="002941D2" w:rsidRDefault="004730A5">
      <w:pPr>
        <w:spacing w:line="227" w:lineRule="auto"/>
        <w:ind w:left="220"/>
        <w:rPr>
          <w:rFonts w:ascii="Helvetica Neue" w:eastAsia="Helvetica Neue" w:hAnsi="Helvetica Neue" w:cs="Helvetica Neue"/>
          <w:i/>
          <w:iCs/>
        </w:rPr>
      </w:pPr>
      <w:r>
        <w:rPr>
          <w:rFonts w:ascii="Helvetica Neue" w:eastAsia="Helvetica Neue" w:hAnsi="Helvetica Neue" w:cs="Helvetica Neue"/>
          <w:i/>
          <w:iCs/>
        </w:rPr>
        <w:t>Revised</w:t>
      </w:r>
      <w:r>
        <w:rPr>
          <w:rFonts w:ascii="Helvetica Neue" w:eastAsia="Helvetica Neue" w:hAnsi="Helvetica Neue" w:cs="Helvetica Neue"/>
        </w:rPr>
        <w:t xml:space="preserve"> </w:t>
      </w:r>
      <w:proofErr w:type="gramStart"/>
      <w:r>
        <w:rPr>
          <w:rFonts w:ascii="Helvetica Neue" w:eastAsia="Helvetica Neue" w:hAnsi="Helvetica Neue" w:cs="Helvetica Neue"/>
        </w:rPr>
        <w:t xml:space="preserve">&amp;  </w:t>
      </w:r>
      <w:r>
        <w:rPr>
          <w:rFonts w:ascii="Helvetica Neue" w:eastAsia="Helvetica Neue" w:hAnsi="Helvetica Neue" w:cs="Helvetica Neue"/>
          <w:i/>
          <w:iCs/>
        </w:rPr>
        <w:t>Updated</w:t>
      </w:r>
      <w:proofErr w:type="gramEnd"/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Kathleen Adams, C.F.P., and Robert Brosterman Whether you're just starting out, building success, or planning for retirement, this definitive guide tells you how to set up a longrange to lifetime financial program that wili safeguard your assets, provide security, and benefit your heirs.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628764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