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560"/>
        <w:rPr>
          <w:rFonts w:ascii="Times New Roman" w:eastAsia="Times New Roman" w:hAnsi="Times New Roman" w:cs="Times New Roman"/>
          <w:i/>
          <w:iCs/>
          <w:sz w:val="22"/>
          <w:szCs w:val="22"/>
        </w:rPr>
      </w:pPr>
      <w:bookmarkStart w:id="22" w:name="bookmark=id.th4b87r0bxnu" w:colFirst="0" w:colLast="0"/>
      <w:bookmarkEnd w:id="22"/>
      <w:r>
        <w:rPr>
          <w:rFonts w:ascii="Times New Roman" w:eastAsia="Times New Roman" w:hAnsi="Times New Roman" w:cs="Times New Roman"/>
          <w:i/>
          <w:iCs/>
          <w:sz w:val="22"/>
          <w:szCs w:val="22"/>
        </w:rPr>
        <w:lastRenderedPageBreak/>
        <w:t>The Man Who Desired Gold 7</w:t>
      </w:r>
    </w:p>
    <w:p w:rsidR="002941D2" w:rsidRDefault="002941D2">
      <w:pPr>
        <w:rPr>
          <w:rFonts w:ascii="Times New Roman" w:eastAsia="Times New Roman" w:hAnsi="Times New Roman" w:cs="Times New Roman"/>
        </w:rPr>
      </w:pPr>
    </w:p>
    <w:p w:rsidR="002941D2" w:rsidRDefault="004730A5">
      <w:pPr>
        <w:spacing w:line="251"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forth, day after day, year after year. Naught of happi-ness to look forward to. Beds of straw upon which to sleep—hard grain porridge to eat. Pity the poor brutes, </w:t>
      </w:r>
      <w:proofErr w:type="gramStart"/>
      <w:r>
        <w:rPr>
          <w:rFonts w:ascii="Times New Roman" w:eastAsia="Times New Roman" w:hAnsi="Times New Roman" w:cs="Times New Roman"/>
          <w:sz w:val="22"/>
          <w:szCs w:val="22"/>
        </w:rPr>
        <w:t>Kobbi !</w:t>
      </w:r>
      <w:proofErr w:type="gramEnd"/>
      <w:r>
        <w:rPr>
          <w:rFonts w:ascii="Times New Roman" w:eastAsia="Times New Roman" w:hAnsi="Times New Roman" w:cs="Times New Roman"/>
          <w:sz w:val="22"/>
          <w:szCs w:val="22"/>
        </w:rPr>
        <w:t>"</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"Pity them I do. Yet, thou dost make me see how lit tle be tt e r of f a r e w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f r e e m e n t h o ug h w e c a l l ourselves."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"That is truth, Kobbi, unpleasant thought though it be. We do not wish to go on year after year living slavish lives. Working, working, working! Getting nowhere."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"Might we not find out how others acquire gold and do as they do?" Kobbi inquired.</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"Perhaps there is some secret we might learn if we but sought from those who kne w," replie d Bansir thoughtfully.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very day," suggested Kobbi, "I did pass our old friend, Arkad, riding in his golden chariot. This I will say, he did not look over my humble head as many in his station might consider his right. Instead, he did wa ve his ha nd that all onlookers might see him pay greetings and bestow his smile of friendship upon Kobbi, the musician."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is claimed to be the richest man in all Baby-lon," Bansir mused.</w:t>
      </w: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rich the king is said to seek his golden aid in affairs of the treasury," Kobbi replied.</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rich," Bansir interrupted, "I fear if I should meet him in the darkness of the night, I should lay my hands upon his fat wallet."</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"Nonsense," reproved Kobbi, "a man's wealth is not in the purse he carries. A fat purse quickly emp-ties if there be no golden stream to refill it. Arkad has an income that constantly keeps his purse full, no matter how liberally he spends."</w:t>
      </w:r>
    </w:p>
    <w:p w:rsidR="002941D2" w:rsidRDefault="002941D2">
      <w:pPr>
        <w:rPr>
          <w:rFonts w:ascii="Times New Roman" w:eastAsia="Times New Roman" w:hAnsi="Times New Roman" w:cs="Times New Roman"/>
        </w:rPr>
      </w:pPr>
    </w:p>
    <w:p w:rsidR="002941D2" w:rsidRDefault="004730A5">
      <w:pPr>
        <w:ind w:left="120"/>
        <w:rPr>
          <w:rFonts w:ascii="Times New Roman" w:eastAsia="Times New Roman" w:hAnsi="Times New Roman" w:cs="Times New Roman"/>
          <w:sz w:val="21"/>
          <w:szCs w:val="21"/>
        </w:rPr>
        <w:sectPr w:rsidR="002941D2">
          <w:pgSz w:w="7540" w:h="10800"/>
          <w:pgMar w:top="343" w:right="1000" w:bottom="626" w:left="1080" w:header="0" w:footer="0" w:gutter="0"/>
          <w:cols w:space="720"/>
        </w:sectPr>
      </w:pPr>
      <w:r>
        <w:rPr>
          <w:rFonts w:ascii="Times New Roman" w:eastAsia="Times New Roman" w:hAnsi="Times New Roman" w:cs="Times New Roman"/>
          <w:sz w:val="21"/>
          <w:szCs w:val="21"/>
        </w:rPr>
        <w:t xml:space="preserve">" I nc om </w:t>
      </w:r>
      <w:proofErr w:type="gramStart"/>
      <w:r>
        <w:rPr>
          <w:rFonts w:ascii="Times New Roman" w:eastAsia="Times New Roman" w:hAnsi="Times New Roman" w:cs="Times New Roman"/>
          <w:sz w:val="21"/>
          <w:szCs w:val="21"/>
        </w:rPr>
        <w:t>e ,</w:t>
      </w:r>
      <w:proofErr w:type="gramEnd"/>
      <w:r>
        <w:rPr>
          <w:rFonts w:ascii="Times New Roman" w:eastAsia="Times New Roman" w:hAnsi="Times New Roman" w:cs="Times New Roman"/>
          <w:sz w:val="21"/>
          <w:szCs w:val="21"/>
        </w:rPr>
        <w:t xml:space="preserve"> th a t is t h e t h in g, " e j a c ula te d Ba ns i r . " I</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