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right="200"/>
        <w:jc w:val="center"/>
        <w:rPr>
          <w:rFonts w:ascii="Times New Roman" w:eastAsia="Times New Roman" w:hAnsi="Times New Roman" w:cs="Times New Roman"/>
          <w:sz w:val="22"/>
          <w:szCs w:val="22"/>
        </w:rPr>
        <w:sectPr w:rsidR="002941D2">
          <w:type w:val="continuous"/>
          <w:pgSz w:w="7540" w:h="10800"/>
          <w:pgMar w:top="645" w:right="1200" w:bottom="1440" w:left="1260" w:header="0" w:footer="0" w:gutter="0"/>
          <w:cols w:space="720"/>
        </w:sectPr>
      </w:pPr>
      <w:r>
        <w:rPr>
          <w:rFonts w:ascii="Times New Roman" w:eastAsia="Times New Roman" w:hAnsi="Times New Roman" w:cs="Times New Roman"/>
          <w:sz w:val="22"/>
          <w:szCs w:val="22"/>
        </w:rPr>
        <w:t>9</w:t>
      </w:r>
    </w:p>
    <w:p w:rsidR="002941D2" w:rsidRDefault="004730A5">
      <w:pPr>
        <w:numPr>
          <w:ilvl w:val="0"/>
          <w:numId w:val="2"/>
        </w:numPr>
        <w:tabs>
          <w:tab w:val="left" w:pos="360"/>
        </w:tabs>
        <w:ind w:left="360" w:hanging="298"/>
        <w:rPr>
          <w:rFonts w:ascii="Times New Roman" w:eastAsia="Times New Roman" w:hAnsi="Times New Roman" w:cs="Times New Roman"/>
          <w:sz w:val="22"/>
          <w:szCs w:val="22"/>
        </w:rPr>
      </w:pPr>
      <w:bookmarkStart w:id="29" w:name="bookmark=id.i9zn81msu2ho" w:colFirst="0" w:colLast="0"/>
      <w:bookmarkEnd w:id="29"/>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tentment. And I realized that wealth increased the potency of all these.</w:t>
      </w:r>
    </w:p>
    <w:p w:rsidR="002941D2" w:rsidRDefault="002941D2">
      <w:pPr>
        <w:rPr>
          <w:rFonts w:ascii="Times New Roman" w:eastAsia="Times New Roman" w:hAnsi="Times New Roman" w:cs="Times New Roman"/>
        </w:rPr>
      </w:pPr>
    </w:p>
    <w:p w:rsidR="002941D2" w:rsidRDefault="004730A5">
      <w:pPr>
        <w:ind w:right="26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"Wealth is a power. With wealth many things are possible.</w:t>
      </w:r>
    </w:p>
    <w:p w:rsidR="002941D2" w:rsidRDefault="004730A5">
      <w:pPr>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"One may ornament the home with the richest of furnishings.</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"One may sail the distant seas.</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"One may feast on the delicacies of far lands.</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"One may buy the ornaments of the gold worker and the stone polisher.</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"One may even build mighty temples for the Gods.</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 may do all these things and many others in which there is delight for the senses and gratification for the soul.</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when I realized all this, I decided to myself that I would claim my share of the good things of life. I would not be one of those who stand afar off, enviously watching others enjoy. I would not be con</w:t>
      </w:r>
      <w:proofErr w:type="gramStart"/>
      <w:r>
        <w:rPr>
          <w:rFonts w:ascii="Times New Roman" w:eastAsia="Times New Roman" w:hAnsi="Times New Roman" w:cs="Times New Roman"/>
          <w:sz w:val="22"/>
          <w:szCs w:val="22"/>
        </w:rPr>
        <w:t>- .</w:t>
      </w:r>
      <w:proofErr w:type="gramEnd"/>
      <w:r>
        <w:rPr>
          <w:rFonts w:ascii="Times New Roman" w:eastAsia="Times New Roman" w:hAnsi="Times New Roman" w:cs="Times New Roman"/>
          <w:sz w:val="22"/>
          <w:szCs w:val="22"/>
        </w:rPr>
        <w:t xml:space="preserve"> tent to clothe myself in the cheapest raiment that looked respectable. I would not be satisfied-with the lot of a poor man. On the contrary, I would make myself a guest at this banquet of good things.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"Being, as you know, the son of a humble mer-chant, one of a large family with no hope of an inher-itance, and not being endowed, as you have so frankly said, with superior powers or wisdom, I de-cided that if I was to achieve what I desired, time and study would be required.</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"As for time, all men have it in abundance. You, each of you, have let slip by sufficient time to have made yourselves wealthy. Yet, you admit, you have nothing to show except your good families, of which you can be justly proud.</w:t>
      </w:r>
    </w:p>
    <w:p w:rsidR="002941D2" w:rsidRDefault="002941D2">
      <w:pPr>
        <w:rPr>
          <w:rFonts w:ascii="Times New Roman" w:eastAsia="Times New Roman" w:hAnsi="Times New Roman" w:cs="Times New Roman"/>
        </w:rPr>
      </w:pPr>
    </w:p>
    <w:p w:rsidR="002941D2" w:rsidRDefault="004730A5">
      <w:pPr>
        <w:ind w:left="100"/>
        <w:rPr>
          <w:rFonts w:ascii="Times New Roman" w:eastAsia="Times New Roman" w:hAnsi="Times New Roman" w:cs="Times New Roman"/>
          <w:sz w:val="22"/>
          <w:szCs w:val="22"/>
        </w:rPr>
        <w:sectPr w:rsidR="002941D2">
          <w:pgSz w:w="7540" w:h="10800"/>
          <w:pgMar w:top="350" w:right="1200" w:bottom="819" w:left="1200" w:header="0" w:footer="0" w:gutter="0"/>
          <w:cols w:space="720"/>
        </w:sectPr>
      </w:pPr>
      <w:r>
        <w:rPr>
          <w:rFonts w:ascii="Times New Roman" w:eastAsia="Times New Roman" w:hAnsi="Times New Roman" w:cs="Times New Roman"/>
          <w:sz w:val="22"/>
          <w:szCs w:val="22"/>
        </w:rPr>
        <w:lastRenderedPageBreak/>
        <w:t>"As for study, did not our wise teac her teach us</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