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6" w:lineRule="auto"/>
        <w:ind w:left="7" w:right="240"/>
        <w:rPr>
          <w:rFonts w:ascii="Times New Roman" w:eastAsia="Times New Roman" w:hAnsi="Times New Roman" w:cs="Times New Roman"/>
          <w:sz w:val="22"/>
          <w:szCs w:val="22"/>
        </w:rPr>
      </w:pPr>
      <w:r>
        <w:rPr>
          <w:rFonts w:ascii="Times New Roman" w:eastAsia="Times New Roman" w:hAnsi="Times New Roman" w:cs="Times New Roman"/>
          <w:sz w:val="22"/>
          <w:szCs w:val="22"/>
        </w:rPr>
        <w:t>Most gratifying was it to have these sums return to my purse.</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tell you, my students, a man's wealth is not in the coins he carries in his purse; it is the income he buildeth, the golden stream that continually floweth into his purse and keepeth it always bulging. That is what every man desireth. That is what thou, each one of thee, desireth; an income that continueth to come whether thou work or travel.</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"Great income I have acquired. So great that I am called a very rich man. My loans to Aggar were my first training in profitable investment. Gaining wis-dom from this experience, I extended my loans and investments as my capital increased. From a few sources at first, from many sources later, flowed into my purse a golden stream of wealth available for such wise uses as I should decide.</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from my humble earnings I had begotten a hoard of golden slaves, each labouring and earning more gold. As they laboured for me, so their children also laboured and their children's children until great was the income from their combined efforts.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increaseth rapidly, when making reasonable e ar nings a s thou wilt s e e fr om the f ollowi n g: A farmer, when his first son was born, took ten pieces of silver to a money lender and asked him to keep it on rental for his son until he became twenty years of age. This the money lender did, and agreed the rental should be one-fourth of its value each four years. The farmer asked, because this sum he had set aside as belonging to his son, that the rental be added to the principal.</w:t>
      </w:r>
    </w:p>
    <w:p w:rsidR="002941D2" w:rsidRDefault="002941D2">
      <w:pPr>
        <w:rPr>
          <w:rFonts w:ascii="Times New Roman" w:eastAsia="Times New Roman" w:hAnsi="Times New Roman" w:cs="Times New Roman"/>
        </w:rPr>
      </w:pPr>
    </w:p>
    <w:p w:rsidR="002941D2" w:rsidRDefault="004730A5">
      <w:pPr>
        <w:numPr>
          <w:ilvl w:val="0"/>
          <w:numId w:val="42"/>
        </w:numPr>
        <w:tabs>
          <w:tab w:val="left" w:pos="334"/>
        </w:tabs>
        <w:spacing w:line="239" w:lineRule="auto"/>
        <w:ind w:left="7" w:right="20" w:firstLine="211"/>
        <w:jc w:val="both"/>
        <w:rPr>
          <w:rFonts w:ascii="Times New Roman" w:eastAsia="Times New Roman" w:hAnsi="Times New Roman" w:cs="Times New Roman"/>
          <w:sz w:val="22"/>
          <w:szCs w:val="22"/>
        </w:rPr>
        <w:sectPr w:rsidR="002941D2">
          <w:pgSz w:w="7540" w:h="10800"/>
          <w:pgMar w:top="350" w:right="1040" w:bottom="618" w:left="1133" w:header="0" w:footer="0" w:gutter="0"/>
          <w:cols w:space="720"/>
        </w:sectPr>
      </w:pPr>
      <w:r>
        <w:rPr>
          <w:rFonts w:ascii="Times New Roman" w:eastAsia="Times New Roman" w:hAnsi="Times New Roman" w:cs="Times New Roman"/>
          <w:sz w:val="22"/>
          <w:szCs w:val="22"/>
        </w:rPr>
        <w:t>Whe n the bo y ha d r e a c he d the a ge of tw e nty years, the farmer again went to the money lender to inquire about the silver. The money lender explained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