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280"/>
        <w:rPr>
          <w:rFonts w:ascii="Times New Roman" w:eastAsia="Times New Roman" w:hAnsi="Times New Roman" w:cs="Times New Roman"/>
          <w:sz w:val="22"/>
          <w:szCs w:val="22"/>
        </w:rPr>
      </w:pPr>
      <w:bookmarkStart w:id="54" w:name="bookmark=id.dk73s9cxt0be" w:colFirst="0" w:colLast="0"/>
      <w:bookmarkEnd w:id="54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Seven Cures for a Lean Purse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35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treasure from loss by investing only where thy principal is safe, where it may be reclaimed if desirable, and where thou will not fail to collect a fair rental. Consult with wise men. Secure the advice of those experienced in the profitable handling of gold. Let their wisdom protect thy treasure from unsafe investments."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IFTH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URE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6432" behindDoc="1" locked="0" layoutInCell="1" hidden="0" allowOverlap="1">
            <wp:simplePos x="0" y="0"/>
            <wp:positionH relativeFrom="column">
              <wp:posOffset>1553210</wp:posOffset>
            </wp:positionH>
            <wp:positionV relativeFrom="paragraph">
              <wp:posOffset>53975</wp:posOffset>
            </wp:positionV>
            <wp:extent cx="267970" cy="243840"/>
            <wp:effectExtent l="0" t="0" r="0" b="0"/>
            <wp:wrapNone/>
            <wp:docPr id="13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43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