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380"/>
        <w:rPr>
          <w:rFonts w:ascii="Times New Roman" w:eastAsia="Times New Roman" w:hAnsi="Times New Roman" w:cs="Times New Roman"/>
          <w:sz w:val="22"/>
          <w:szCs w:val="22"/>
        </w:rPr>
      </w:pPr>
      <w:bookmarkStart w:id="58" w:name="bookmark=id.pr9ve6bm8g3y" w:colFirst="0" w:colLast="0"/>
      <w:bookmarkEnd w:id="58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Seven Cures for a Lean Purse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39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5" w:lineRule="auto"/>
        <w:ind w:right="40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 b le a s n ug f or tu n e f o r the f a m il y of a m e m be r should he pass on.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8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"But because we live in our own day and not in the days which are to come, must we take advantage of those means and ways of accomplishing our pur-poses.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do I recommend to all men, that they, by wise and well thought out methods, do pro-vide against a lean purse in their mature years. For a lean purse to a man no longer able to earn or to a family without its head is a sore tragedy.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8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"This, then, is the sixth cure for a lean purse.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Pro-vide in advance for the needs of thy growing age and the protection of thy family."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60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EVENTH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C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URE</w:t>
      </w:r>
    </w:p>
    <w:p w:rsidR="002941D2" w:rsidRDefault="004730A5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68480" behindDoc="1" locked="0" layoutInCell="1" hidden="0" allowOverlap="1">
            <wp:simplePos x="0" y="0"/>
            <wp:positionH relativeFrom="column">
              <wp:posOffset>1423035</wp:posOffset>
            </wp:positionH>
            <wp:positionV relativeFrom="paragraph">
              <wp:posOffset>8255</wp:posOffset>
            </wp:positionV>
            <wp:extent cx="365760" cy="271145"/>
            <wp:effectExtent l="0" t="0" r="0" b="0"/>
            <wp:wrapNone/>
            <wp:docPr id="15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71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