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Meet the Goddess of</w:t>
      </w:r>
    </w:p>
    <w:p w:rsidR="002941D2" w:rsidRDefault="002941D2">
      <w:pPr>
        <w:rPr>
          <w:rFonts w:ascii="Times New Roman" w:eastAsia="Times New Roman" w:hAnsi="Times New Roman" w:cs="Times New Roman"/>
        </w:rPr>
      </w:pPr>
    </w:p>
    <w:p w:rsidR="002941D2" w:rsidRDefault="004730A5">
      <w:pPr>
        <w:ind w:right="8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Good Luck</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3"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"If a man be lucky, there is no foretelling the possible extent of his good fortune. Pitch him into the Euphrates and like as not he will swim out with a pearl in his hand."</w:t>
      </w:r>
    </w:p>
    <w:p w:rsidR="002941D2" w:rsidRDefault="002941D2">
      <w:pPr>
        <w:rPr>
          <w:rFonts w:ascii="Times New Roman" w:eastAsia="Times New Roman" w:hAnsi="Times New Roman" w:cs="Times New Roman"/>
        </w:rPr>
      </w:pPr>
    </w:p>
    <w:p w:rsidR="002941D2" w:rsidRDefault="004730A5">
      <w:pPr>
        <w:ind w:left="3320"/>
        <w:rPr>
          <w:rFonts w:ascii="Times New Roman" w:eastAsia="Times New Roman" w:hAnsi="Times New Roman" w:cs="Times New Roman"/>
          <w:i/>
          <w:iCs/>
          <w:sz w:val="22"/>
          <w:szCs w:val="22"/>
        </w:rPr>
      </w:pPr>
      <w:r>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Babylonian proverb</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desire to be lucky is universal. It was just as strong in the breasts of men four thousand years ago in ancient Babylon as it is in the hearts of men today. We all hope to be favoured by the whimsical Goddess of Good Luck. Is there some way we can meet her and attract, not only her favourable attention, but her generous favours?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Is there a way to attract good luck?</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a t i s j u s t w h a t t h e m e n o f a n c i e n t B a b y l o n wished to know. It is exactly what they decided to find out. They were shrewd men and keen thinkers. That explains why their city became the richest and most powerful city of their time.</w:t>
      </w:r>
    </w:p>
    <w:p w:rsidR="002941D2" w:rsidRDefault="002941D2">
      <w:pPr>
        <w:rPr>
          <w:rFonts w:ascii="Times New Roman" w:eastAsia="Times New Roman" w:hAnsi="Times New Roman" w:cs="Times New Roman"/>
        </w:rPr>
      </w:pPr>
    </w:p>
    <w:p w:rsidR="002941D2" w:rsidRDefault="004730A5">
      <w:pPr>
        <w:ind w:left="2080" w:right="240" w:hanging="2087"/>
        <w:rPr>
          <w:rFonts w:ascii="Times New Roman" w:eastAsia="Times New Roman" w:hAnsi="Times New Roman" w:cs="Times New Roman"/>
          <w:sz w:val="22"/>
          <w:szCs w:val="22"/>
        </w:rPr>
        <w:sectPr w:rsidR="002941D2">
          <w:pgSz w:w="7540" w:h="10800"/>
          <w:pgMar w:top="1440" w:right="1140" w:bottom="1440" w:left="1040" w:header="0" w:footer="0" w:gutter="0"/>
          <w:cols w:space="720"/>
        </w:sectPr>
      </w:pPr>
      <w:r>
        <w:rPr>
          <w:rFonts w:ascii="Times New Roman" w:eastAsia="Times New Roman" w:hAnsi="Times New Roman" w:cs="Times New Roman"/>
          <w:sz w:val="22"/>
          <w:szCs w:val="22"/>
        </w:rPr>
        <w:lastRenderedPageBreak/>
        <w:t>I n t h a t d i s ta n t p a s t, t h e y h a d n o s c h o o l s or c o l - 43</w:t>
      </w:r>
    </w:p>
    <w:p w:rsidR="002941D2" w:rsidRDefault="004730A5">
      <w:pPr>
        <w:numPr>
          <w:ilvl w:val="0"/>
          <w:numId w:val="49"/>
        </w:numPr>
        <w:tabs>
          <w:tab w:val="left" w:pos="440"/>
        </w:tabs>
        <w:ind w:left="440" w:hanging="298"/>
        <w:rPr>
          <w:rFonts w:ascii="Times New Roman" w:eastAsia="Times New Roman" w:hAnsi="Times New Roman" w:cs="Times New Roman"/>
          <w:sz w:val="22"/>
          <w:szCs w:val="22"/>
        </w:rPr>
      </w:pPr>
      <w:bookmarkStart w:id="64" w:name="bookmark=id.v6mz6nnfjd0p" w:colFirst="0" w:colLast="0"/>
      <w:bookmarkEnd w:id="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leges. </w:t>
      </w:r>
      <w:proofErr w:type="gramStart"/>
      <w:r>
        <w:rPr>
          <w:rFonts w:ascii="Times New Roman" w:eastAsia="Times New Roman" w:hAnsi="Times New Roman" w:cs="Times New Roman"/>
          <w:sz w:val="22"/>
          <w:szCs w:val="22"/>
        </w:rPr>
        <w:t>Nevertheless</w:t>
      </w:r>
      <w:proofErr w:type="gramEnd"/>
      <w:r>
        <w:rPr>
          <w:rFonts w:ascii="Times New Roman" w:eastAsia="Times New Roman" w:hAnsi="Times New Roman" w:cs="Times New Roman"/>
          <w:sz w:val="22"/>
          <w:szCs w:val="22"/>
        </w:rPr>
        <w:t xml:space="preserve"> they had a centre of learning and a very practical one it was. Among the towered buildings in Babylon was one that ranked in impor-tance with the Palace of the King, the Hanging Gar-dens and the temples of the Gods. You will find scant mention of it in the history books, more likely no mention at all, yet it exerted a powerful influence upon the thought of that time.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building was the Temple of Learning where the wisdom of the past was expounded by voluntary teachers and where subjects of popular interest were discussed in open forums. Within its walls all men met as equals. The humblest of slaves could dispute with impunity the opinions of a prince of the royal house.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Among the many who frequented the Temple of Learning, was a wise rich man named Arkad, called the richest man in Babylon. He had his own special hall where almost any evening a large group of men, some old, some very young, but mostly middle-aged, gathered to discuss and argue interesting subjects. Suppose we listen in to see whether they knew how to attract good luck.</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sun had just set like a great red ball of fire shining through the haze of desert dust when Arkad strolled to his accustomed platform. Already full four score men were awaiting his arrival, reclining on their small rugs spread upon the floor. More were still arriving.</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"What shall we discuss this night?" Arkad inquired.</w:t>
      </w:r>
    </w:p>
    <w:p w:rsidR="002941D2" w:rsidRDefault="004730A5">
      <w:pPr>
        <w:ind w:right="20" w:firstLine="216"/>
        <w:jc w:val="both"/>
        <w:rPr>
          <w:rFonts w:ascii="Times New Roman" w:eastAsia="Times New Roman" w:hAnsi="Times New Roman" w:cs="Times New Roman"/>
          <w:sz w:val="22"/>
          <w:szCs w:val="22"/>
        </w:rPr>
        <w:sectPr w:rsidR="002941D2">
          <w:pgSz w:w="7540" w:h="10800"/>
          <w:pgMar w:top="388" w:right="1120" w:bottom="743" w:left="1120" w:header="0" w:footer="0" w:gutter="0"/>
          <w:cols w:space="720"/>
        </w:sectPr>
      </w:pPr>
      <w:r>
        <w:rPr>
          <w:rFonts w:ascii="Times New Roman" w:eastAsia="Times New Roman" w:hAnsi="Times New Roman" w:cs="Times New Roman"/>
          <w:sz w:val="22"/>
          <w:szCs w:val="22"/>
        </w:rPr>
        <w:t>After a brief hesitation, a tall cloth weaver ad-dressed him, arising as was the custom. "I have a subject I would like to hear discussed yet hesitate to offer lest it seem ridiculous to you, Arkad, and my good friends here."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