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rPr>
          <w:rFonts w:ascii="Times New Roman" w:eastAsia="Times New Roman" w:hAnsi="Times New Roman" w:cs="Times New Roman"/>
          <w:sz w:val="22"/>
          <w:szCs w:val="22"/>
        </w:rPr>
      </w:pPr>
      <w:bookmarkStart w:id="122" w:name="bookmark=id.povyvp4v7w4m" w:colFirst="0" w:colLast="0"/>
      <w:bookmarkEnd w:id="122"/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a tale."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6" w:lineRule="auto"/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813" w:right="1060" w:bottom="891" w:left="106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>Tarkad flinched from the brutal frankness of Da-basir, but here at least was an invitation to enter the coveted doorway of the eating house.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