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
        <w:jc w:val="center"/>
        <w:rPr>
          <w:rFonts w:ascii="Times New Roman" w:eastAsia="Times New Roman" w:hAnsi="Times New Roman" w:cs="Times New Roman"/>
          <w:b/>
          <w:bCs/>
          <w:i/>
          <w:iCs/>
          <w:sz w:val="40"/>
          <w:szCs w:val="40"/>
        </w:rPr>
      </w:pPr>
      <w:bookmarkStart w:id="11" w:name="bookmark=id.vr8uyqazyjde" w:colFirst="0" w:colLast="0"/>
      <w:bookmarkEnd w:id="11"/>
      <w:r>
        <w:rPr>
          <w:rFonts w:ascii="Times New Roman" w:eastAsia="Times New Roman" w:hAnsi="Times New Roman" w:cs="Times New Roman"/>
          <w:b/>
          <w:bCs/>
          <w:i/>
          <w:iCs/>
          <w:sz w:val="40"/>
          <w:szCs w:val="40"/>
        </w:rPr>
        <w:lastRenderedPageBreak/>
        <w:t>Foreword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prosperity as a nation depends upon the personal financial prosperity of each of us as individuals.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deals with the personal successes of each of us. Success means accomplishments as the result of our own efforts and abilities. Proper preparation is the key to our success. Our acts can be no wiser than our thoughts. Our thinking can be no wiser than our understanding.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of cures for lean purses has been termed a guide to financial understanding. That, indeed, is its purpose: to offer those who are ambitious for fi-nancial success an insight which will aid them to acquire money, to keep money and to make their surpluses earn more money.</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which follow, we are taken back to Babylon, the cradle in which was nurtured the basic principles of finance now recognized and used, the world over.</w:t>
      </w:r>
    </w:p>
    <w:p w:rsidR="002941D2" w:rsidRDefault="002941D2">
      <w:pPr>
        <w:rPr>
          <w:rFonts w:ascii="Times New Roman" w:eastAsia="Times New Roman" w:hAnsi="Times New Roman" w:cs="Times New Roman"/>
        </w:rPr>
      </w:pPr>
    </w:p>
    <w:p w:rsidR="002941D2" w:rsidRDefault="004730A5">
      <w:pPr>
        <w:ind w:lef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To new readers the author is happy to extend the</w:t>
      </w:r>
    </w:p>
    <w:p w:rsidR="002941D2" w:rsidRDefault="002941D2">
      <w:pPr>
        <w:rPr>
          <w:rFonts w:ascii="Times New Roman" w:eastAsia="Times New Roman" w:hAnsi="Times New Roman" w:cs="Times New Roman"/>
        </w:rPr>
      </w:pPr>
    </w:p>
    <w:p w:rsidR="002941D2" w:rsidRDefault="004730A5">
      <w:pPr>
        <w:spacing w:line="223" w:lineRule="auto"/>
        <w:ind w:left="2300" w:right="480" w:hanging="2303"/>
        <w:rPr>
          <w:rFonts w:ascii="Times New Roman" w:eastAsia="Times New Roman" w:hAnsi="Times New Roman" w:cs="Times New Roman"/>
          <w:sz w:val="22"/>
          <w:szCs w:val="22"/>
        </w:rPr>
        <w:sectPr w:rsidR="002941D2">
          <w:pgSz w:w="7540" w:h="10800"/>
          <w:pgMar w:top="1397" w:right="1280" w:bottom="1440" w:left="1380" w:header="0" w:footer="0" w:gutter="0"/>
          <w:cols w:space="720"/>
        </w:sectPr>
      </w:pPr>
      <w:r>
        <w:rPr>
          <w:rFonts w:ascii="Times New Roman" w:eastAsia="Times New Roman" w:hAnsi="Times New Roman" w:cs="Times New Roman"/>
          <w:sz w:val="22"/>
          <w:szCs w:val="22"/>
        </w:rPr>
        <w:t>wish that its pages may contain for them the same ix</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