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0A4442"/>
          <w:sz w:val="40"/>
          <w:szCs w:val="40"/>
        </w:rPr>
        <w:t xml:space="preserve">RozNoor — Database Schema &amp; Deployment Plan</w:t>
      </w:r>
    </w:p>
    <w:p>
      <w:pPr>
        <w:spacing w:after="40"/>
      </w:pPr>
      <w:r>
        <w:rPr>
          <w:rFonts w:ascii="Calibri" w:cs="Calibri" w:eastAsia="Calibri" w:hAnsi="Calibri"/>
          <w:color w:val="5F706E"/>
          <w:sz w:val="21"/>
          <w:szCs w:val="21"/>
        </w:rPr>
        <w:t xml:space="preserve">Owner: Muhammad Yousif — Full solo build (Flutter + FastAPI + Claude API), managed through Claude Code</w:t>
      </w:r>
    </w:p>
    <w:p>
      <w:pPr>
        <w:spacing w:after="220"/>
      </w:pPr>
      <w:r>
        <w:rPr>
          <w:rFonts w:ascii="Calibri" w:cs="Calibri" w:eastAsia="Calibri" w:hAnsi="Calibri"/>
          <w:i/>
          <w:iCs/>
          <w:color w:val="0A4442"/>
          <w:sz w:val="21"/>
          <w:szCs w:val="21"/>
        </w:rPr>
        <w:t xml:space="preserve">Purpose: single reference document covering the finalized database schema, database and hosting choice, and the AI/chatbot scope decisions — to keep every Claude Code session consistent.</w:t>
      </w:r>
    </w:p>
    <w:p>
      <w:pPr>
        <w:pStyle w:val="Heading1"/>
        <w:pBdr>
          <w:bottom w:val="single" w:color="0F6B68" w:sz="10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0A4442"/>
          <w:sz w:val="30"/>
          <w:szCs w:val="30"/>
        </w:rPr>
        <w:t xml:space="preserve">1. Database Engine — PostgreSQL</w:t>
      </w:r>
    </w:p>
    <w:p>
      <w:pPr>
        <w:spacing w:after="120" w:line="300"/>
      </w:pPr>
      <w:r>
        <w:rPr>
          <w:rFonts w:ascii="Calibri" w:cs="Calibri" w:eastAsia="Calibri" w:hAnsi="Calibri"/>
          <w:color w:val="18302F"/>
          <w:sz w:val="21"/>
          <w:szCs w:val="21"/>
        </w:rPr>
        <w:t xml:space="preserve">PostgreSQL was chosen over SQLite and NoSQL/Firebase alternatives for the following reasons: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36"/>
      </w:tblGrid>
      <w:tr>
        <w:tc>
          <w:tcPr>
            <w:tcW w:type="dxa" w:w="9936"/>
            <w:shd w:fill="EAF1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A4442"/>
                <w:sz w:val="20"/>
                <w:szCs w:val="20"/>
              </w:rPr>
              <w:t xml:space="preserve">Why Postgres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18302F"/>
                <w:sz w:val="19"/>
                <w:szCs w:val="19"/>
              </w:rPr>
              <w:t xml:space="preserve">•  JSONB support — ai_results.extracted_symptom_tags and deviation_deltas are naturally JSON; Postgres indexes and queries this properly, unlike SQLite's bolted-on JSON support.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18302F"/>
                <w:sz w:val="19"/>
                <w:szCs w:val="19"/>
              </w:rPr>
              <w:t xml:space="preserve">•  Concurrent access — patient and doctor views will hit the DB simultaneously once both are live in the same Flutter app; SQLite handles concurrent writes poorly, Postgres does not.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18302F"/>
                <w:sz w:val="19"/>
                <w:szCs w:val="19"/>
              </w:rPr>
              <w:t xml:space="preserve">•  Relational integrity — the schema has ~10 interlinked tables (entries → ai_results → risk_results → alerts); Postgres enforces foreign keys reliably under concurrent access.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18302F"/>
                <w:sz w:val="19"/>
                <w:szCs w:val="19"/>
              </w:rPr>
              <w:t xml:space="preserve">•  The schema is fundamentally relational (patients → entries → results → alerts), which fits SQL far better than a document DB like MongoDB/Firestore — using NoSQL here would mean re-modeling relationships already designed cleanly in SQL.</w:t>
            </w:r>
          </w:p>
        </w:tc>
      </w:tr>
    </w:tbl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A4442"/>
          <w:sz w:val="24"/>
          <w:szCs w:val="24"/>
        </w:rPr>
        <w:t xml:space="preserve">1.1 Managed Postgres Hosting</w:t>
      </w:r>
    </w:p>
    <w:p>
      <w:pPr>
        <w:spacing w:after="120" w:line="300"/>
      </w:pPr>
      <w:r>
        <w:rPr>
          <w:rFonts w:ascii="Calibri" w:cs="Calibri" w:eastAsia="Calibri" w:hAnsi="Calibri"/>
          <w:color w:val="18302F"/>
          <w:sz w:val="21"/>
          <w:szCs w:val="21"/>
        </w:rPr>
        <w:t xml:space="preserve">Rather than self-hosting Postgres, use a managed free-tier provider so development can start immediately with a connection string: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81"/>
        <w:gridCol w:w="6955"/>
      </w:tblGrid>
      <w:tr>
        <w:trPr>
          <w:tblHeader/>
        </w:trPr>
        <w:tc>
          <w:tcPr>
            <w:tcW w:type="dxa" w:w="2981"/>
            <w:shd w:fill="0F6B6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Option</w:t>
            </w:r>
          </w:p>
        </w:tc>
        <w:tc>
          <w:tcPr>
            <w:tcW w:type="dxa" w:w="6955"/>
            <w:shd w:fill="0F6B6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981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8302F"/>
                <w:sz w:val="18"/>
                <w:szCs w:val="18"/>
              </w:rPr>
              <w:t xml:space="preserve">Neon</w:t>
            </w:r>
          </w:p>
        </w:tc>
        <w:tc>
          <w:tcPr>
            <w:tcW w:type="dxa" w:w="6955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Free serverless Postgres, fastest to spin up, scales to zero when idle — no cost risk during the hackathon. Recommended default.</w:t>
            </w:r>
          </w:p>
        </w:tc>
      </w:tr>
      <w:tr>
        <w:tc>
          <w:tcPr>
            <w:tcW w:type="dxa" w:w="2981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8302F"/>
                <w:sz w:val="18"/>
                <w:szCs w:val="18"/>
              </w:rPr>
              <w:t xml:space="preserve">Supabase</w:t>
            </w:r>
          </w:p>
        </w:tc>
        <w:tc>
          <w:tcPr>
            <w:tcW w:type="dxa" w:w="6955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Free Postgres plus a web UI to visually browse/debug tables during development — good alternative if visual debugging is preferred.</w:t>
            </w:r>
          </w:p>
        </w:tc>
      </w:tr>
      <w:tr>
        <w:tc>
          <w:tcPr>
            <w:tcW w:type="dxa" w:w="2981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8302F"/>
                <w:sz w:val="18"/>
                <w:szCs w:val="18"/>
              </w:rPr>
              <w:t xml:space="preserve">Railway Postgres add-on</w:t>
            </w:r>
          </w:p>
        </w:tc>
        <w:tc>
          <w:tcPr>
            <w:tcW w:type="dxa" w:w="6955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One-click Postgres inside the same Railway project as the backend — zero extra networking config since it's already connected to the FastAPI service.</w:t>
            </w:r>
          </w:p>
        </w:tc>
      </w:tr>
    </w:tbl>
    <w:p>
      <w:pPr>
        <w:spacing w:after="160" w:before="40" w:line="280"/>
      </w:pPr>
      <w:r>
        <w:rPr>
          <w:rFonts w:ascii="Calibri" w:cs="Calibri" w:eastAsia="Calibri" w:hAnsi="Calibri"/>
          <w:i/>
          <w:iCs/>
          <w:color w:val="BD5A25"/>
          <w:sz w:val="20"/>
          <w:szCs w:val="20"/>
        </w:rPr>
        <w:t xml:space="preserve">Decision: use Railway's built-in Postgres add-on if deploying backend + DB together on Railway from day one avoids any extra setup; otherwise Neon as a standalone Postgres connected via connection string.</w:t>
      </w:r>
    </w:p>
    <w:p>
      <w:pPr>
        <w:pStyle w:val="Heading1"/>
        <w:pBdr>
          <w:bottom w:val="single" w:color="0F6B68" w:sz="10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0A4442"/>
          <w:sz w:val="30"/>
          <w:szCs w:val="30"/>
        </w:rPr>
        <w:t xml:space="preserve">2. Deployment — Railway (not a self-managed VPS)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36"/>
      </w:tblGrid>
      <w:tr>
        <w:tc>
          <w:tcPr>
            <w:tcW w:type="dxa" w:w="9936"/>
            <w:shd w:fill="EAF1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A4442"/>
                <w:sz w:val="20"/>
                <w:szCs w:val="20"/>
              </w:rPr>
              <w:t xml:space="preserve">Why Railway over a VPS (AWS/Oracle/DigitalOcean free credits)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18302F"/>
                <w:sz w:val="19"/>
                <w:szCs w:val="19"/>
              </w:rPr>
              <w:t xml:space="preserve">•  Speed — Railway auto-detects the FastAPI app and deploys on git push, typically within minutes, with zero manual server configuration.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18302F"/>
                <w:sz w:val="19"/>
                <w:szCs w:val="19"/>
              </w:rPr>
              <w:t xml:space="preserve">•  A VPS requires manually provisioning the box, installing Python/Postgres/nginx, configuring SSL, and managing a systemd service — a full day of setup time not available on a 1-week solo build.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18302F"/>
                <w:sz w:val="19"/>
                <w:szCs w:val="19"/>
              </w:rPr>
              <w:t xml:space="preserve">•  Fits the Claude-Code-managed workflow directly — Claude Code writes code, a git push deploys it. Handing Claude Code server/firewall administration on a VPS is a riskier class of task with more room for costly mistakes.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18302F"/>
                <w:sz w:val="19"/>
                <w:szCs w:val="19"/>
              </w:rPr>
              <w:t xml:space="preserve">•  Railway offers managed Postgres as a one-click add-on inside the same project, already networked to the backend service with no extra config.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18302F"/>
                <w:sz w:val="19"/>
                <w:szCs w:val="19"/>
              </w:rPr>
              <w:t xml:space="preserve">•  Free credits on a VPS are better suited to long-running, cost-sensitive production projects — not to a judged hackathon week, where time saved on infrastructure should go directly into the AI layer, safety rules, and Flutter work instead.</w:t>
            </w:r>
          </w:p>
        </w:tc>
      </w:tr>
    </w:tbl>
    <w:p>
      <w:pPr>
        <w:spacing w:after="160" w:before="40" w:line="280"/>
      </w:pPr>
      <w:r>
        <w:rPr>
          <w:rFonts w:ascii="Calibri" w:cs="Calibri" w:eastAsia="Calibri" w:hAnsi="Calibri"/>
          <w:i/>
          <w:iCs/>
          <w:color w:val="BD5A25"/>
          <w:sz w:val="20"/>
          <w:szCs w:val="20"/>
        </w:rPr>
        <w:t xml:space="preserve">Decision: deploy the FastAPI backend to Railway. Use Railway's Postgres add-on unless Neon/Supabase is already set up — both connect to Railway via a standard connection string.</w:t>
      </w:r>
    </w:p>
    <w:p>
      <w:r>
        <w:br w:type="page"/>
      </w:r>
    </w:p>
    <w:p>
      <w:pPr>
        <w:pStyle w:val="Heading1"/>
        <w:pBdr>
          <w:bottom w:val="single" w:color="0F6B68" w:sz="10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0A4442"/>
          <w:sz w:val="30"/>
          <w:szCs w:val="30"/>
        </w:rPr>
        <w:t xml:space="preserve">3. AI Scope — Embeddings &amp; Chatbot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A4442"/>
          <w:sz w:val="24"/>
          <w:szCs w:val="24"/>
        </w:rPr>
        <w:t xml:space="preserve">3.1 Embeddings — not required</w:t>
      </w:r>
    </w:p>
    <w:p>
      <w:pPr>
        <w:spacing w:after="120" w:line="300"/>
      </w:pPr>
      <w:r>
        <w:rPr>
          <w:rFonts w:ascii="Calibri" w:cs="Calibri" w:eastAsia="Calibri" w:hAnsi="Calibri"/>
          <w:color w:val="18302F"/>
          <w:sz w:val="21"/>
          <w:szCs w:val="21"/>
        </w:rPr>
        <w:t xml:space="preserve">The current architecture uses Claude API directly for symptom extraction (transcript → structured data via prompting), not semantic search or retrieval — so a vector database is not needed for the MVP.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81"/>
        <w:gridCol w:w="6955"/>
      </w:tblGrid>
      <w:tr>
        <w:trPr>
          <w:tblHeader/>
        </w:trPr>
        <w:tc>
          <w:tcPr>
            <w:tcW w:type="dxa" w:w="2981"/>
            <w:shd w:fill="0F6B6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Current Design Element</w:t>
            </w:r>
          </w:p>
        </w:tc>
        <w:tc>
          <w:tcPr>
            <w:tcW w:type="dxa" w:w="6955"/>
            <w:shd w:fill="0F6B6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Why It Doesn't Need Embeddings</w:t>
            </w:r>
          </w:p>
        </w:tc>
      </w:tr>
      <w:tr>
        <w:tc>
          <w:tcPr>
            <w:tcW w:type="dxa" w:w="2981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8302F"/>
                <w:sz w:val="18"/>
                <w:szCs w:val="18"/>
              </w:rPr>
              <w:t xml:space="preserve">Symptom extraction</w:t>
            </w:r>
          </w:p>
        </w:tc>
        <w:tc>
          <w:tcPr>
            <w:tcW w:type="dxa" w:w="6955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Direct LLM call on transcript text, not a similarity lookup against stored vectors.</w:t>
            </w:r>
          </w:p>
        </w:tc>
      </w:tr>
      <w:tr>
        <w:tc>
          <w:tcPr>
            <w:tcW w:type="dxa" w:w="2981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8302F"/>
                <w:sz w:val="18"/>
                <w:szCs w:val="18"/>
              </w:rPr>
              <w:t xml:space="preserve">Red-flag rules</w:t>
            </w:r>
          </w:p>
        </w:tc>
        <w:tc>
          <w:tcPr>
            <w:tcW w:type="dxa" w:w="6955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Deterministic thresholds (e.g. weight change &gt; X in Y days), not similarity-based matching.</w:t>
            </w:r>
          </w:p>
        </w:tc>
      </w:tr>
      <w:tr>
        <w:tc>
          <w:tcPr>
            <w:tcW w:type="dxa" w:w="2981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8302F"/>
                <w:sz w:val="18"/>
                <w:szCs w:val="18"/>
              </w:rPr>
              <w:t xml:space="preserve">Baseline comparison</w:t>
            </w:r>
          </w:p>
        </w:tc>
        <w:tc>
          <w:tcPr>
            <w:tcW w:type="dxa" w:w="6955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Numeric comparison (sleep hours vs. learned band), not semantic.</w:t>
            </w:r>
          </w:p>
        </w:tc>
      </w:tr>
    </w:tbl>
    <w:p>
      <w:pPr>
        <w:spacing w:after="160" w:before="40" w:line="280"/>
      </w:pPr>
      <w:r>
        <w:rPr>
          <w:rFonts w:ascii="Calibri" w:cs="Calibri" w:eastAsia="Calibri" w:hAnsi="Calibri"/>
          <w:i/>
          <w:iCs/>
          <w:color w:val="BD5A25"/>
          <w:sz w:val="20"/>
          <w:szCs w:val="20"/>
        </w:rPr>
        <w:t xml:space="preserve">Where embeddings could matter later (not in MVP scope): semantic matching of free-text symptoms against a red-flag phrase knowledge base, doctor-side "find similar patients" search, or a RAG layer for clinical guideline lookup. None of these are required for the hackathon demo.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A4442"/>
          <w:sz w:val="24"/>
          <w:szCs w:val="24"/>
        </w:rPr>
        <w:t xml:space="preserve">3.2 Chatbot — optional, deprioritized</w:t>
      </w:r>
    </w:p>
    <w:p>
      <w:pPr>
        <w:spacing w:after="120" w:line="300"/>
      </w:pPr>
      <w:r>
        <w:rPr>
          <w:rFonts w:ascii="Calibri" w:cs="Calibri" w:eastAsia="Calibri" w:hAnsi="Calibri"/>
          <w:color w:val="18302F"/>
          <w:sz w:val="21"/>
          <w:szCs w:val="21"/>
        </w:rPr>
        <w:t xml:space="preserve">Not part of the current design (voice check-in → extraction → rules → risk level → dashboard). Adding one risks scope creep on a 1-week solo timeline.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18302F"/>
          <w:sz w:val="21"/>
          <w:szCs w:val="21"/>
        </w:rPr>
        <w:t xml:space="preserve">If added at all, keep it thin: e.g. a doctor-facing "why is this patient Orange?" query that simply surfaces risk_results.reasoning — a wrapper around existing data, not new AI infrastructure.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18302F"/>
          <w:sz w:val="21"/>
          <w:szCs w:val="21"/>
        </w:rPr>
        <w:t xml:space="preserve">Avoid a general patient-facing symptom-checker chatbot — that shifts RozNoor from passive monitoring into interactive diagnosis, a different and riskier product scope.</w:t>
      </w:r>
    </w:p>
    <w:p>
      <w:pPr>
        <w:spacing w:after="160" w:before="40" w:line="280"/>
      </w:pPr>
      <w:r>
        <w:rPr>
          <w:rFonts w:ascii="Calibri" w:cs="Calibri" w:eastAsia="Calibri" w:hAnsi="Calibri"/>
          <w:i/>
          <w:iCs/>
          <w:color w:val="BD5A25"/>
          <w:sz w:val="20"/>
          <w:szCs w:val="20"/>
        </w:rPr>
        <w:t xml:space="preserve">Decision: finish the core loop (voice → AI → rules → dashboard) fully before considering a chatbot. Treat it strictly as a Day 6–7 stretch goal, only if time remains.</w:t>
      </w:r>
    </w:p>
    <w:p>
      <w:pPr>
        <w:pStyle w:val="Heading1"/>
        <w:pBdr>
          <w:bottom w:val="single" w:color="0F6B68" w:sz="10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0A4442"/>
          <w:sz w:val="30"/>
          <w:szCs w:val="30"/>
        </w:rPr>
        <w:t xml:space="preserve">4. Finalized Database Schema</w:t>
      </w:r>
    </w:p>
    <w:p>
      <w:pPr>
        <w:spacing w:after="120" w:line="300"/>
      </w:pPr>
      <w:r>
        <w:rPr>
          <w:rFonts w:ascii="Calibri" w:cs="Calibri" w:eastAsia="Calibri" w:hAnsi="Calibri"/>
          <w:color w:val="18302F"/>
          <w:sz w:val="21"/>
          <w:szCs w:val="21"/>
        </w:rPr>
        <w:t xml:space="preserve">Twelve tables total. Each is listed with its purpose, columns, and key relationships.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A4442"/>
          <w:sz w:val="24"/>
          <w:szCs w:val="24"/>
        </w:rPr>
        <w:t xml:space="preserve">4.1 Identity &amp; Roles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36"/>
      </w:tblGrid>
      <w:tr>
        <w:tc>
          <w:tcPr>
            <w:tcW w:type="dxa" w:w="9936"/>
            <w:shd w:fill="0A444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2"/>
                <w:szCs w:val="22"/>
              </w:rPr>
              <w:t xml:space="preserve">users</w:t>
            </w:r>
            <w:r>
              <w:rPr>
                <w:rFonts w:ascii="Calibri" w:cs="Calibri" w:eastAsia="Calibri" w:hAnsi="Calibri"/>
                <w:i/>
                <w:iCs/>
                <w:color w:val="EAF1EE"/>
                <w:sz w:val="18"/>
                <w:szCs w:val="18"/>
              </w:rPr>
              <w:t xml:space="preserve">   —   shared login table for all roles</w:t>
            </w:r>
          </w:p>
        </w:tc>
      </w:tr>
    </w:tbl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85"/>
        <w:gridCol w:w="1590"/>
        <w:gridCol w:w="5962"/>
      </w:tblGrid>
      <w:tr>
        <w:trPr>
          <w:tblHeader/>
        </w:trPr>
        <w:tc>
          <w:tcPr>
            <w:tcW w:type="dxa" w:w="2385"/>
            <w:shd w:fill="0F6B6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590"/>
            <w:shd w:fill="0F6B6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962"/>
            <w:shd w:fill="0F6B6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385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8302F"/>
                <w:sz w:val="18"/>
                <w:szCs w:val="18"/>
              </w:rPr>
              <w:t xml:space="preserve">id</w:t>
            </w:r>
          </w:p>
        </w:tc>
        <w:tc>
          <w:tcPr>
            <w:tcW w:type="dxa" w:w="1590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PK</w:t>
            </w:r>
          </w:p>
        </w:tc>
        <w:tc>
          <w:tcPr>
            <w:tcW w:type="dxa" w:w="5962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Primary key.</w:t>
            </w:r>
          </w:p>
        </w:tc>
      </w:tr>
      <w:tr>
        <w:tc>
          <w:tcPr>
            <w:tcW w:type="dxa" w:w="2385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8302F"/>
                <w:sz w:val="18"/>
                <w:szCs w:val="18"/>
              </w:rPr>
              <w:t xml:space="preserve">name</w:t>
            </w:r>
          </w:p>
        </w:tc>
        <w:tc>
          <w:tcPr>
            <w:tcW w:type="dxa" w:w="1590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text</w:t>
            </w:r>
          </w:p>
        </w:tc>
        <w:tc>
          <w:tcPr>
            <w:tcW w:type="dxa" w:w="5962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85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8302F"/>
                <w:sz w:val="18"/>
                <w:szCs w:val="18"/>
              </w:rPr>
              <w:t xml:space="preserve">role</w:t>
            </w:r>
          </w:p>
        </w:tc>
        <w:tc>
          <w:tcPr>
            <w:tcW w:type="dxa" w:w="1590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enum</w:t>
            </w:r>
          </w:p>
        </w:tc>
        <w:tc>
          <w:tcPr>
            <w:tcW w:type="dxa" w:w="5962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patient / attendant / doctor / admin.</w:t>
            </w:r>
          </w:p>
        </w:tc>
      </w:tr>
      <w:tr>
        <w:tc>
          <w:tcPr>
            <w:tcW w:type="dxa" w:w="2385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8302F"/>
                <w:sz w:val="18"/>
                <w:szCs w:val="18"/>
              </w:rPr>
              <w:t xml:space="preserve">phone_or_email</w:t>
            </w:r>
          </w:p>
        </w:tc>
        <w:tc>
          <w:tcPr>
            <w:tcW w:type="dxa" w:w="1590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text</w:t>
            </w:r>
          </w:p>
        </w:tc>
        <w:tc>
          <w:tcPr>
            <w:tcW w:type="dxa" w:w="5962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Login identifier.</w:t>
            </w:r>
          </w:p>
        </w:tc>
      </w:tr>
      <w:tr>
        <w:tc>
          <w:tcPr>
            <w:tcW w:type="dxa" w:w="2385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8302F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1590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text</w:t>
            </w:r>
          </w:p>
        </w:tc>
        <w:tc>
          <w:tcPr>
            <w:tcW w:type="dxa" w:w="5962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85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8302F"/>
                <w:sz w:val="18"/>
                <w:szCs w:val="18"/>
              </w:rPr>
              <w:t xml:space="preserve">language_preference</w:t>
            </w:r>
          </w:p>
        </w:tc>
        <w:tc>
          <w:tcPr>
            <w:tcW w:type="dxa" w:w="1590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enum</w:t>
            </w:r>
          </w:p>
        </w:tc>
        <w:tc>
          <w:tcPr>
            <w:tcW w:type="dxa" w:w="5962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English / Roman Urdu.</w:t>
            </w:r>
          </w:p>
        </w:tc>
      </w:tr>
      <w:tr>
        <w:tc>
          <w:tcPr>
            <w:tcW w:type="dxa" w:w="2385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8302F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590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timestamp</w:t>
            </w:r>
          </w:p>
        </w:tc>
        <w:tc>
          <w:tcPr>
            <w:tcW w:type="dxa" w:w="5962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/>
            </w:r>
          </w:p>
        </w:tc>
      </w:tr>
    </w:tbl>
    <w:p>
      <w:pPr>
        <w:spacing w:before="140"/>
      </w:pP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36"/>
      </w:tblGrid>
      <w:tr>
        <w:tc>
          <w:tcPr>
            <w:tcW w:type="dxa" w:w="9936"/>
            <w:shd w:fill="0A444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2"/>
                <w:szCs w:val="22"/>
              </w:rPr>
              <w:t xml:space="preserve">patients</w:t>
            </w:r>
            <w:r>
              <w:rPr>
                <w:rFonts w:ascii="Calibri" w:cs="Calibri" w:eastAsia="Calibri" w:hAnsi="Calibri"/>
                <w:i/>
                <w:iCs/>
                <w:color w:val="EAF1EE"/>
                <w:sz w:val="18"/>
                <w:szCs w:val="18"/>
              </w:rPr>
              <w:t xml:space="preserve">   —   one row per patient, linked to a user</w:t>
            </w:r>
          </w:p>
        </w:tc>
      </w:tr>
    </w:tbl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85"/>
        <w:gridCol w:w="1590"/>
        <w:gridCol w:w="5962"/>
      </w:tblGrid>
      <w:tr>
        <w:trPr>
          <w:tblHeader/>
        </w:trPr>
        <w:tc>
          <w:tcPr>
            <w:tcW w:type="dxa" w:w="2385"/>
            <w:shd w:fill="0F6B6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590"/>
            <w:shd w:fill="0F6B6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962"/>
            <w:shd w:fill="0F6B6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385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8302F"/>
                <w:sz w:val="18"/>
                <w:szCs w:val="18"/>
              </w:rPr>
              <w:t xml:space="preserve">id</w:t>
            </w:r>
          </w:p>
        </w:tc>
        <w:tc>
          <w:tcPr>
            <w:tcW w:type="dxa" w:w="1590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PK</w:t>
            </w:r>
          </w:p>
        </w:tc>
        <w:tc>
          <w:tcPr>
            <w:tcW w:type="dxa" w:w="5962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Primary key.</w:t>
            </w:r>
          </w:p>
        </w:tc>
      </w:tr>
      <w:tr>
        <w:tc>
          <w:tcPr>
            <w:tcW w:type="dxa" w:w="2385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8302F"/>
                <w:sz w:val="18"/>
                <w:szCs w:val="18"/>
              </w:rPr>
              <w:t xml:space="preserve">user_id</w:t>
            </w:r>
          </w:p>
        </w:tc>
        <w:tc>
          <w:tcPr>
            <w:tcW w:type="dxa" w:w="1590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FK → users</w:t>
            </w:r>
          </w:p>
        </w:tc>
        <w:tc>
          <w:tcPr>
            <w:tcW w:type="dxa" w:w="5962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Nullable if patient doesn't log in directly (attendant-managed).</w:t>
            </w:r>
          </w:p>
        </w:tc>
      </w:tr>
      <w:tr>
        <w:tc>
          <w:tcPr>
            <w:tcW w:type="dxa" w:w="2385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8302F"/>
                <w:sz w:val="18"/>
                <w:szCs w:val="18"/>
              </w:rPr>
              <w:t xml:space="preserve">attendant_user_id</w:t>
            </w:r>
          </w:p>
        </w:tc>
        <w:tc>
          <w:tcPr>
            <w:tcW w:type="dxa" w:w="1590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FK → users</w:t>
            </w:r>
          </w:p>
        </w:tc>
        <w:tc>
          <w:tcPr>
            <w:tcW w:type="dxa" w:w="5962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Nullable.</w:t>
            </w:r>
          </w:p>
        </w:tc>
      </w:tr>
      <w:tr>
        <w:tc>
          <w:tcPr>
            <w:tcW w:type="dxa" w:w="2385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8302F"/>
                <w:sz w:val="18"/>
                <w:szCs w:val="18"/>
              </w:rPr>
              <w:t xml:space="preserve">age</w:t>
            </w:r>
          </w:p>
        </w:tc>
        <w:tc>
          <w:tcPr>
            <w:tcW w:type="dxa" w:w="1590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integer</w:t>
            </w:r>
          </w:p>
        </w:tc>
        <w:tc>
          <w:tcPr>
            <w:tcW w:type="dxa" w:w="5962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85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8302F"/>
                <w:sz w:val="18"/>
                <w:szCs w:val="18"/>
              </w:rPr>
              <w:t xml:space="preserve">mr_number</w:t>
            </w:r>
          </w:p>
        </w:tc>
        <w:tc>
          <w:tcPr>
            <w:tcW w:type="dxa" w:w="1590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text</w:t>
            </w:r>
          </w:p>
        </w:tc>
        <w:tc>
          <w:tcPr>
            <w:tcW w:type="dxa" w:w="5962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Medical record number, e.g. "MR 40-2291".</w:t>
            </w:r>
          </w:p>
        </w:tc>
      </w:tr>
      <w:tr>
        <w:tc>
          <w:tcPr>
            <w:tcW w:type="dxa" w:w="2385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8302F"/>
                <w:sz w:val="18"/>
                <w:szCs w:val="18"/>
              </w:rPr>
              <w:t xml:space="preserve">diagnosis</w:t>
            </w:r>
          </w:p>
        </w:tc>
        <w:tc>
          <w:tcPr>
            <w:tcW w:type="dxa" w:w="1590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text / lookup</w:t>
            </w:r>
          </w:p>
        </w:tc>
        <w:tc>
          <w:tcPr>
            <w:tcW w:type="dxa" w:w="5962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e.g. heart failure, post-surgical — editable list, not a hardcoded enum.</w:t>
            </w:r>
          </w:p>
        </w:tc>
      </w:tr>
      <w:tr>
        <w:tc>
          <w:tcPr>
            <w:tcW w:type="dxa" w:w="2385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8302F"/>
                <w:sz w:val="18"/>
                <w:szCs w:val="18"/>
              </w:rPr>
              <w:t xml:space="preserve">assigned_doctor_id</w:t>
            </w:r>
          </w:p>
        </w:tc>
        <w:tc>
          <w:tcPr>
            <w:tcW w:type="dxa" w:w="1590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FK → users</w:t>
            </w:r>
          </w:p>
        </w:tc>
        <w:tc>
          <w:tcPr>
            <w:tcW w:type="dxa" w:w="5962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role = doctor.</w:t>
            </w:r>
          </w:p>
        </w:tc>
      </w:tr>
      <w:tr>
        <w:tc>
          <w:tcPr>
            <w:tcW w:type="dxa" w:w="2385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8302F"/>
                <w:sz w:val="18"/>
                <w:szCs w:val="18"/>
              </w:rPr>
              <w:t xml:space="preserve">emergency_contact_name</w:t>
            </w:r>
          </w:p>
        </w:tc>
        <w:tc>
          <w:tcPr>
            <w:tcW w:type="dxa" w:w="1590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text</w:t>
            </w:r>
          </w:p>
        </w:tc>
        <w:tc>
          <w:tcPr>
            <w:tcW w:type="dxa" w:w="5962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85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8302F"/>
                <w:sz w:val="18"/>
                <w:szCs w:val="18"/>
              </w:rPr>
              <w:t xml:space="preserve">emergency_contact_phone</w:t>
            </w:r>
          </w:p>
        </w:tc>
        <w:tc>
          <w:tcPr>
            <w:tcW w:type="dxa" w:w="1590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text</w:t>
            </w:r>
          </w:p>
        </w:tc>
        <w:tc>
          <w:tcPr>
            <w:tcW w:type="dxa" w:w="5962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85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8302F"/>
                <w:sz w:val="18"/>
                <w:szCs w:val="18"/>
              </w:rPr>
              <w:t xml:space="preserve">medication_info</w:t>
            </w:r>
          </w:p>
        </w:tc>
        <w:tc>
          <w:tcPr>
            <w:tcW w:type="dxa" w:w="1590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text</w:t>
            </w:r>
          </w:p>
        </w:tc>
        <w:tc>
          <w:tcPr>
            <w:tcW w:type="dxa" w:w="5962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Or a separate structured table if medication detail grows.</w:t>
            </w:r>
          </w:p>
        </w:tc>
      </w:tr>
      <w:tr>
        <w:tc>
          <w:tcPr>
            <w:tcW w:type="dxa" w:w="2385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8302F"/>
                <w:sz w:val="18"/>
                <w:szCs w:val="18"/>
              </w:rPr>
              <w:t xml:space="preserve">baseline_stage</w:t>
            </w:r>
          </w:p>
        </w:tc>
        <w:tc>
          <w:tcPr>
            <w:tcW w:type="dxa" w:w="1590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enum</w:t>
            </w:r>
          </w:p>
        </w:tc>
        <w:tc>
          <w:tcPr>
            <w:tcW w:type="dxa" w:w="5962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cold_start / learning / personalized.</w:t>
            </w:r>
          </w:p>
        </w:tc>
      </w:tr>
      <w:tr>
        <w:tc>
          <w:tcPr>
            <w:tcW w:type="dxa" w:w="2385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8302F"/>
                <w:sz w:val="18"/>
                <w:szCs w:val="18"/>
              </w:rPr>
              <w:t xml:space="preserve">day_count</w:t>
            </w:r>
          </w:p>
        </w:tc>
        <w:tc>
          <w:tcPr>
            <w:tcW w:type="dxa" w:w="1590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integer</w:t>
            </w:r>
          </w:p>
        </w:tc>
        <w:tc>
          <w:tcPr>
            <w:tcW w:type="dxa" w:w="5962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Days since first entry — drives baseline_stage.</w:t>
            </w:r>
          </w:p>
        </w:tc>
      </w:tr>
      <w:tr>
        <w:tc>
          <w:tcPr>
            <w:tcW w:type="dxa" w:w="2385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8302F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590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timestamp</w:t>
            </w:r>
          </w:p>
        </w:tc>
        <w:tc>
          <w:tcPr>
            <w:tcW w:type="dxa" w:w="5962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A4442"/>
          <w:sz w:val="24"/>
          <w:szCs w:val="24"/>
        </w:rPr>
        <w:t xml:space="preserve">4.2 Check-in &amp; Entries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36"/>
      </w:tblGrid>
      <w:tr>
        <w:tc>
          <w:tcPr>
            <w:tcW w:type="dxa" w:w="9936"/>
            <w:shd w:fill="0A444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2"/>
                <w:szCs w:val="22"/>
              </w:rPr>
              <w:t xml:space="preserve">entries</w:t>
            </w:r>
            <w:r>
              <w:rPr>
                <w:rFonts w:ascii="Calibri" w:cs="Calibri" w:eastAsia="Calibri" w:hAnsi="Calibri"/>
                <w:i/>
                <w:iCs/>
                <w:color w:val="EAF1EE"/>
                <w:sz w:val="18"/>
                <w:szCs w:val="18"/>
              </w:rPr>
              <w:t xml:space="preserve">   —   every check-in, voice or quick</w:t>
            </w:r>
          </w:p>
        </w:tc>
      </w:tr>
    </w:tbl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85"/>
        <w:gridCol w:w="1590"/>
        <w:gridCol w:w="5962"/>
      </w:tblGrid>
      <w:tr>
        <w:trPr>
          <w:tblHeader/>
        </w:trPr>
        <w:tc>
          <w:tcPr>
            <w:tcW w:type="dxa" w:w="2385"/>
            <w:shd w:fill="0F6B6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590"/>
            <w:shd w:fill="0F6B6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962"/>
            <w:shd w:fill="0F6B6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385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8302F"/>
                <w:sz w:val="18"/>
                <w:szCs w:val="18"/>
              </w:rPr>
              <w:t xml:space="preserve">id</w:t>
            </w:r>
          </w:p>
        </w:tc>
        <w:tc>
          <w:tcPr>
            <w:tcW w:type="dxa" w:w="1590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PK</w:t>
            </w:r>
          </w:p>
        </w:tc>
        <w:tc>
          <w:tcPr>
            <w:tcW w:type="dxa" w:w="5962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Primary key.</w:t>
            </w:r>
          </w:p>
        </w:tc>
      </w:tr>
      <w:tr>
        <w:tc>
          <w:tcPr>
            <w:tcW w:type="dxa" w:w="2385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8302F"/>
                <w:sz w:val="18"/>
                <w:szCs w:val="18"/>
              </w:rPr>
              <w:t xml:space="preserve">patient_id</w:t>
            </w:r>
          </w:p>
        </w:tc>
        <w:tc>
          <w:tcPr>
            <w:tcW w:type="dxa" w:w="1590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FK → patients</w:t>
            </w:r>
          </w:p>
        </w:tc>
        <w:tc>
          <w:tcPr>
            <w:tcW w:type="dxa" w:w="5962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85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8302F"/>
                <w:sz w:val="18"/>
                <w:szCs w:val="18"/>
              </w:rPr>
              <w:t xml:space="preserve">entry_type</w:t>
            </w:r>
          </w:p>
        </w:tc>
        <w:tc>
          <w:tcPr>
            <w:tcW w:type="dxa" w:w="1590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enum</w:t>
            </w:r>
          </w:p>
        </w:tc>
        <w:tc>
          <w:tcPr>
            <w:tcW w:type="dxa" w:w="5962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voice / quick.</w:t>
            </w:r>
          </w:p>
        </w:tc>
      </w:tr>
      <w:tr>
        <w:tc>
          <w:tcPr>
            <w:tcW w:type="dxa" w:w="2385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8302F"/>
                <w:sz w:val="18"/>
                <w:szCs w:val="18"/>
              </w:rPr>
              <w:t xml:space="preserve">timestamp</w:t>
            </w:r>
          </w:p>
        </w:tc>
        <w:tc>
          <w:tcPr>
            <w:tcW w:type="dxa" w:w="1590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timestamp</w:t>
            </w:r>
          </w:p>
        </w:tc>
        <w:tc>
          <w:tcPr>
            <w:tcW w:type="dxa" w:w="5962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Used for timeline ordering and doctor's "last entry" display.</w:t>
            </w:r>
          </w:p>
        </w:tc>
      </w:tr>
      <w:tr>
        <w:tc>
          <w:tcPr>
            <w:tcW w:type="dxa" w:w="2385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8302F"/>
                <w:sz w:val="18"/>
                <w:szCs w:val="18"/>
              </w:rPr>
              <w:t xml:space="preserve">raw_transcript</w:t>
            </w:r>
          </w:p>
        </w:tc>
        <w:tc>
          <w:tcPr>
            <w:tcW w:type="dxa" w:w="1590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text</w:t>
            </w:r>
          </w:p>
        </w:tc>
        <w:tc>
          <w:tcPr>
            <w:tcW w:type="dxa" w:w="5962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Nullable — voice entries only.</w:t>
            </w:r>
          </w:p>
        </w:tc>
      </w:tr>
      <w:tr>
        <w:tc>
          <w:tcPr>
            <w:tcW w:type="dxa" w:w="2385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8302F"/>
                <w:sz w:val="18"/>
                <w:szCs w:val="18"/>
              </w:rPr>
              <w:t xml:space="preserve">transcript_translation</w:t>
            </w:r>
          </w:p>
        </w:tc>
        <w:tc>
          <w:tcPr>
            <w:tcW w:type="dxa" w:w="1590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text</w:t>
            </w:r>
          </w:p>
        </w:tc>
        <w:tc>
          <w:tcPr>
            <w:tcW w:type="dxa" w:w="5962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Nullable — English gloss of the transcript.</w:t>
            </w:r>
          </w:p>
        </w:tc>
      </w:tr>
      <w:tr>
        <w:tc>
          <w:tcPr>
            <w:tcW w:type="dxa" w:w="2385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8302F"/>
                <w:sz w:val="18"/>
                <w:szCs w:val="18"/>
              </w:rPr>
              <w:t xml:space="preserve">sleep_value</w:t>
            </w:r>
          </w:p>
        </w:tc>
        <w:tc>
          <w:tcPr>
            <w:tcW w:type="dxa" w:w="1590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numeric</w:t>
            </w:r>
          </w:p>
        </w:tc>
        <w:tc>
          <w:tcPr>
            <w:tcW w:type="dxa" w:w="5962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Nullable — quick check-in only.</w:t>
            </w:r>
          </w:p>
        </w:tc>
      </w:tr>
      <w:tr>
        <w:tc>
          <w:tcPr>
            <w:tcW w:type="dxa" w:w="2385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8302F"/>
                <w:sz w:val="18"/>
                <w:szCs w:val="18"/>
              </w:rPr>
              <w:t xml:space="preserve">energy_value</w:t>
            </w:r>
          </w:p>
        </w:tc>
        <w:tc>
          <w:tcPr>
            <w:tcW w:type="dxa" w:w="1590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numeric</w:t>
            </w:r>
          </w:p>
        </w:tc>
        <w:tc>
          <w:tcPr>
            <w:tcW w:type="dxa" w:w="5962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Nullable — quick check-in only.</w:t>
            </w:r>
          </w:p>
        </w:tc>
      </w:tr>
      <w:tr>
        <w:tc>
          <w:tcPr>
            <w:tcW w:type="dxa" w:w="2385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8302F"/>
                <w:sz w:val="18"/>
                <w:szCs w:val="18"/>
              </w:rPr>
              <w:t xml:space="preserve">mood_value</w:t>
            </w:r>
          </w:p>
        </w:tc>
        <w:tc>
          <w:tcPr>
            <w:tcW w:type="dxa" w:w="1590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numeric</w:t>
            </w:r>
          </w:p>
        </w:tc>
        <w:tc>
          <w:tcPr>
            <w:tcW w:type="dxa" w:w="5962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Nullable — quick check-in only.</w:t>
            </w:r>
          </w:p>
        </w:tc>
      </w:tr>
      <w:tr>
        <w:tc>
          <w:tcPr>
            <w:tcW w:type="dxa" w:w="2385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8302F"/>
                <w:sz w:val="18"/>
                <w:szCs w:val="18"/>
              </w:rPr>
              <w:t xml:space="preserve">appetite_value</w:t>
            </w:r>
          </w:p>
        </w:tc>
        <w:tc>
          <w:tcPr>
            <w:tcW w:type="dxa" w:w="1590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numeric</w:t>
            </w:r>
          </w:p>
        </w:tc>
        <w:tc>
          <w:tcPr>
            <w:tcW w:type="dxa" w:w="5962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Nullable — quick check-in only.</w:t>
            </w:r>
          </w:p>
        </w:tc>
      </w:tr>
      <w:tr>
        <w:tc>
          <w:tcPr>
            <w:tcW w:type="dxa" w:w="2385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8302F"/>
                <w:sz w:val="18"/>
                <w:szCs w:val="18"/>
              </w:rPr>
              <w:t xml:space="preserve">mobility_value</w:t>
            </w:r>
          </w:p>
        </w:tc>
        <w:tc>
          <w:tcPr>
            <w:tcW w:type="dxa" w:w="1590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numeric</w:t>
            </w:r>
          </w:p>
        </w:tc>
        <w:tc>
          <w:tcPr>
            <w:tcW w:type="dxa" w:w="5962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Nullable — quick check-in only.</w:t>
            </w:r>
          </w:p>
        </w:tc>
      </w:tr>
      <w:tr>
        <w:tc>
          <w:tcPr>
            <w:tcW w:type="dxa" w:w="2385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8302F"/>
                <w:sz w:val="18"/>
                <w:szCs w:val="18"/>
              </w:rPr>
              <w:t xml:space="preserve">medicine_status</w:t>
            </w:r>
          </w:p>
        </w:tc>
        <w:tc>
          <w:tcPr>
            <w:tcW w:type="dxa" w:w="1590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enum</w:t>
            </w:r>
          </w:p>
        </w:tc>
        <w:tc>
          <w:tcPr>
            <w:tcW w:type="dxa" w:w="5962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taken / missed.</w:t>
            </w:r>
          </w:p>
        </w:tc>
      </w:tr>
      <w:tr>
        <w:tc>
          <w:tcPr>
            <w:tcW w:type="dxa" w:w="2385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8302F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590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timestamp</w:t>
            </w:r>
          </w:p>
        </w:tc>
        <w:tc>
          <w:tcPr>
            <w:tcW w:type="dxa" w:w="5962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/>
            </w:r>
          </w:p>
        </w:tc>
      </w:tr>
    </w:tbl>
    <w:p>
      <w:pPr>
        <w:spacing w:before="140"/>
      </w:pP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36"/>
      </w:tblGrid>
      <w:tr>
        <w:tc>
          <w:tcPr>
            <w:tcW w:type="dxa" w:w="9936"/>
            <w:shd w:fill="0A444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2"/>
                <w:szCs w:val="22"/>
              </w:rPr>
              <w:t xml:space="preserve">entry_symptoms</w:t>
            </w:r>
            <w:r>
              <w:rPr>
                <w:rFonts w:ascii="Calibri" w:cs="Calibri" w:eastAsia="Calibri" w:hAnsi="Calibri"/>
                <w:i/>
                <w:iCs/>
                <w:color w:val="EAF1EE"/>
                <w:sz w:val="18"/>
                <w:szCs w:val="18"/>
              </w:rPr>
              <w:t xml:space="preserve">   —   many-to-many: symptoms selected per entry</w:t>
            </w:r>
          </w:p>
        </w:tc>
      </w:tr>
    </w:tbl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85"/>
        <w:gridCol w:w="1590"/>
        <w:gridCol w:w="5962"/>
      </w:tblGrid>
      <w:tr>
        <w:trPr>
          <w:tblHeader/>
        </w:trPr>
        <w:tc>
          <w:tcPr>
            <w:tcW w:type="dxa" w:w="2385"/>
            <w:shd w:fill="0F6B6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590"/>
            <w:shd w:fill="0F6B6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962"/>
            <w:shd w:fill="0F6B6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385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8302F"/>
                <w:sz w:val="18"/>
                <w:szCs w:val="18"/>
              </w:rPr>
              <w:t xml:space="preserve">id</w:t>
            </w:r>
          </w:p>
        </w:tc>
        <w:tc>
          <w:tcPr>
            <w:tcW w:type="dxa" w:w="1590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PK</w:t>
            </w:r>
          </w:p>
        </w:tc>
        <w:tc>
          <w:tcPr>
            <w:tcW w:type="dxa" w:w="5962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Primary key.</w:t>
            </w:r>
          </w:p>
        </w:tc>
      </w:tr>
      <w:tr>
        <w:tc>
          <w:tcPr>
            <w:tcW w:type="dxa" w:w="2385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8302F"/>
                <w:sz w:val="18"/>
                <w:szCs w:val="18"/>
              </w:rPr>
              <w:t xml:space="preserve">entry_id</w:t>
            </w:r>
          </w:p>
        </w:tc>
        <w:tc>
          <w:tcPr>
            <w:tcW w:type="dxa" w:w="1590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FK → entries</w:t>
            </w:r>
          </w:p>
        </w:tc>
        <w:tc>
          <w:tcPr>
            <w:tcW w:type="dxa" w:w="5962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85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8302F"/>
                <w:sz w:val="18"/>
                <w:szCs w:val="18"/>
              </w:rPr>
              <w:t xml:space="preserve">symptom_id</w:t>
            </w:r>
          </w:p>
        </w:tc>
        <w:tc>
          <w:tcPr>
            <w:tcW w:type="dxa" w:w="1590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FK → symptom_checklist_options</w:t>
            </w:r>
          </w:p>
        </w:tc>
        <w:tc>
          <w:tcPr>
            <w:tcW w:type="dxa" w:w="5962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/>
            </w:r>
          </w:p>
        </w:tc>
      </w:tr>
    </w:tbl>
    <w:p>
      <w:pPr>
        <w:spacing w:before="140"/>
      </w:pP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36"/>
      </w:tblGrid>
      <w:tr>
        <w:tc>
          <w:tcPr>
            <w:tcW w:type="dxa" w:w="9936"/>
            <w:shd w:fill="0A444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2"/>
                <w:szCs w:val="22"/>
              </w:rPr>
              <w:t xml:space="preserve">symptom_checklist_options</w:t>
            </w:r>
            <w:r>
              <w:rPr>
                <w:rFonts w:ascii="Calibri" w:cs="Calibri" w:eastAsia="Calibri" w:hAnsi="Calibri"/>
                <w:i/>
                <w:iCs/>
                <w:color w:val="EAF1EE"/>
                <w:sz w:val="18"/>
                <w:szCs w:val="18"/>
              </w:rPr>
              <w:t xml:space="preserve">   —   lookup table, varies by diagnosis</w:t>
            </w:r>
          </w:p>
        </w:tc>
      </w:tr>
    </w:tbl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85"/>
        <w:gridCol w:w="1590"/>
        <w:gridCol w:w="5962"/>
      </w:tblGrid>
      <w:tr>
        <w:trPr>
          <w:tblHeader/>
        </w:trPr>
        <w:tc>
          <w:tcPr>
            <w:tcW w:type="dxa" w:w="2385"/>
            <w:shd w:fill="0F6B6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590"/>
            <w:shd w:fill="0F6B6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962"/>
            <w:shd w:fill="0F6B6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385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8302F"/>
                <w:sz w:val="18"/>
                <w:szCs w:val="18"/>
              </w:rPr>
              <w:t xml:space="preserve">id</w:t>
            </w:r>
          </w:p>
        </w:tc>
        <w:tc>
          <w:tcPr>
            <w:tcW w:type="dxa" w:w="1590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PK</w:t>
            </w:r>
          </w:p>
        </w:tc>
        <w:tc>
          <w:tcPr>
            <w:tcW w:type="dxa" w:w="5962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Primary key.</w:t>
            </w:r>
          </w:p>
        </w:tc>
      </w:tr>
      <w:tr>
        <w:tc>
          <w:tcPr>
            <w:tcW w:type="dxa" w:w="2385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8302F"/>
                <w:sz w:val="18"/>
                <w:szCs w:val="18"/>
              </w:rPr>
              <w:t xml:space="preserve">diagnosis</w:t>
            </w:r>
          </w:p>
        </w:tc>
        <w:tc>
          <w:tcPr>
            <w:tcW w:type="dxa" w:w="1590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text</w:t>
            </w:r>
          </w:p>
        </w:tc>
        <w:tc>
          <w:tcPr>
            <w:tcW w:type="dxa" w:w="5962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e.g. heart failure, post-surgical.</w:t>
            </w:r>
          </w:p>
        </w:tc>
      </w:tr>
      <w:tr>
        <w:tc>
          <w:tcPr>
            <w:tcW w:type="dxa" w:w="2385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8302F"/>
                <w:sz w:val="18"/>
                <w:szCs w:val="18"/>
              </w:rPr>
              <w:t xml:space="preserve">symptom_name</w:t>
            </w:r>
          </w:p>
        </w:tc>
        <w:tc>
          <w:tcPr>
            <w:tcW w:type="dxa" w:w="1590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text</w:t>
            </w:r>
          </w:p>
        </w:tc>
        <w:tc>
          <w:tcPr>
            <w:tcW w:type="dxa" w:w="5962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e.g. "Breathlessness", "Ankle swelling", "Chest pain".</w:t>
            </w:r>
          </w:p>
        </w:tc>
      </w:tr>
    </w:tbl>
    <w:p>
      <w:pPr>
        <w:spacing w:after="160" w:before="40" w:line="280"/>
      </w:pPr>
      <w:r>
        <w:rPr>
          <w:rFonts w:ascii="Calibri" w:cs="Calibri" w:eastAsia="Calibri" w:hAnsi="Calibri"/>
          <w:i/>
          <w:iCs/>
          <w:color w:val="BD5A25"/>
          <w:sz w:val="20"/>
          <w:szCs w:val="20"/>
        </w:rPr>
        <w:t xml:space="preserve">Design decision: keyed by diagnosis rather than fixed columns, since post-surgical patients need a different checklist than heart-failure patients — new conditions can be added without a schema change.</w:t>
      </w:r>
    </w:p>
    <w:p>
      <w:r>
        <w:br w:type="pag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A4442"/>
          <w:sz w:val="24"/>
          <w:szCs w:val="24"/>
        </w:rPr>
        <w:t xml:space="preserve">4.3 AI &amp; Risk Output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36"/>
      </w:tblGrid>
      <w:tr>
        <w:tc>
          <w:tcPr>
            <w:tcW w:type="dxa" w:w="9936"/>
            <w:shd w:fill="0A444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2"/>
                <w:szCs w:val="22"/>
              </w:rPr>
              <w:t xml:space="preserve">ai_results</w:t>
            </w:r>
            <w:r>
              <w:rPr>
                <w:rFonts w:ascii="Calibri" w:cs="Calibri" w:eastAsia="Calibri" w:hAnsi="Calibri"/>
                <w:i/>
                <w:iCs/>
                <w:color w:val="EAF1EE"/>
                <w:sz w:val="18"/>
                <w:szCs w:val="18"/>
              </w:rPr>
              <w:t xml:space="preserve">   —   one-to-one with an entry — AI layer's extraction output</w:t>
            </w:r>
          </w:p>
        </w:tc>
      </w:tr>
    </w:tbl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85"/>
        <w:gridCol w:w="1590"/>
        <w:gridCol w:w="5962"/>
      </w:tblGrid>
      <w:tr>
        <w:trPr>
          <w:tblHeader/>
        </w:trPr>
        <w:tc>
          <w:tcPr>
            <w:tcW w:type="dxa" w:w="2385"/>
            <w:shd w:fill="0F6B6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590"/>
            <w:shd w:fill="0F6B6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962"/>
            <w:shd w:fill="0F6B6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385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8302F"/>
                <w:sz w:val="18"/>
                <w:szCs w:val="18"/>
              </w:rPr>
              <w:t xml:space="preserve">id</w:t>
            </w:r>
          </w:p>
        </w:tc>
        <w:tc>
          <w:tcPr>
            <w:tcW w:type="dxa" w:w="1590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PK</w:t>
            </w:r>
          </w:p>
        </w:tc>
        <w:tc>
          <w:tcPr>
            <w:tcW w:type="dxa" w:w="5962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Primary key.</w:t>
            </w:r>
          </w:p>
        </w:tc>
      </w:tr>
      <w:tr>
        <w:tc>
          <w:tcPr>
            <w:tcW w:type="dxa" w:w="2385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8302F"/>
                <w:sz w:val="18"/>
                <w:szCs w:val="18"/>
              </w:rPr>
              <w:t xml:space="preserve">entry_id</w:t>
            </w:r>
          </w:p>
        </w:tc>
        <w:tc>
          <w:tcPr>
            <w:tcW w:type="dxa" w:w="1590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FK → entries (unique)</w:t>
            </w:r>
          </w:p>
        </w:tc>
        <w:tc>
          <w:tcPr>
            <w:tcW w:type="dxa" w:w="5962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One-to-one relationship.</w:t>
            </w:r>
          </w:p>
        </w:tc>
      </w:tr>
      <w:tr>
        <w:tc>
          <w:tcPr>
            <w:tcW w:type="dxa" w:w="2385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8302F"/>
                <w:sz w:val="18"/>
                <w:szCs w:val="18"/>
              </w:rPr>
              <w:t xml:space="preserve">extracted_symptom_tags</w:t>
            </w:r>
          </w:p>
        </w:tc>
        <w:tc>
          <w:tcPr>
            <w:tcW w:type="dxa" w:w="1590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JSONB</w:t>
            </w:r>
          </w:p>
        </w:tc>
        <w:tc>
          <w:tcPr>
            <w:tcW w:type="dxa" w:w="5962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e.g. "fatigue ↑", "onset: this morning".</w:t>
            </w:r>
          </w:p>
        </w:tc>
      </w:tr>
      <w:tr>
        <w:tc>
          <w:tcPr>
            <w:tcW w:type="dxa" w:w="2385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8302F"/>
                <w:sz w:val="18"/>
                <w:szCs w:val="18"/>
              </w:rPr>
              <w:t xml:space="preserve">deviation_deltas</w:t>
            </w:r>
          </w:p>
        </w:tc>
        <w:tc>
          <w:tcPr>
            <w:tcW w:type="dxa" w:w="1590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JSONB</w:t>
            </w:r>
          </w:p>
        </w:tc>
        <w:tc>
          <w:tcPr>
            <w:tcW w:type="dxa" w:w="5962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Per-metric label/value/severity, e.g. sleep, weight, energy, medicine adherence.</w:t>
            </w:r>
          </w:p>
        </w:tc>
      </w:tr>
      <w:tr>
        <w:tc>
          <w:tcPr>
            <w:tcW w:type="dxa" w:w="2385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8302F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590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timestamp</w:t>
            </w:r>
          </w:p>
        </w:tc>
        <w:tc>
          <w:tcPr>
            <w:tcW w:type="dxa" w:w="5962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/>
            </w:r>
          </w:p>
        </w:tc>
      </w:tr>
    </w:tbl>
    <w:p>
      <w:pPr>
        <w:spacing w:before="140"/>
      </w:pP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36"/>
      </w:tblGrid>
      <w:tr>
        <w:tc>
          <w:tcPr>
            <w:tcW w:type="dxa" w:w="9936"/>
            <w:shd w:fill="0A444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2"/>
                <w:szCs w:val="22"/>
              </w:rPr>
              <w:t xml:space="preserve">risk_results</w:t>
            </w:r>
            <w:r>
              <w:rPr>
                <w:rFonts w:ascii="Calibri" w:cs="Calibri" w:eastAsia="Calibri" w:hAnsi="Calibri"/>
                <w:i/>
                <w:iCs/>
                <w:color w:val="EAF1EE"/>
                <w:sz w:val="18"/>
                <w:szCs w:val="18"/>
              </w:rPr>
              <w:t xml:space="preserve">   —   one-to-one with an entry — merged AI + rule-based output</w:t>
            </w:r>
          </w:p>
        </w:tc>
      </w:tr>
    </w:tbl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85"/>
        <w:gridCol w:w="1590"/>
        <w:gridCol w:w="5962"/>
      </w:tblGrid>
      <w:tr>
        <w:trPr>
          <w:tblHeader/>
        </w:trPr>
        <w:tc>
          <w:tcPr>
            <w:tcW w:type="dxa" w:w="2385"/>
            <w:shd w:fill="0F6B6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590"/>
            <w:shd w:fill="0F6B6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962"/>
            <w:shd w:fill="0F6B6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385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8302F"/>
                <w:sz w:val="18"/>
                <w:szCs w:val="18"/>
              </w:rPr>
              <w:t xml:space="preserve">id</w:t>
            </w:r>
          </w:p>
        </w:tc>
        <w:tc>
          <w:tcPr>
            <w:tcW w:type="dxa" w:w="1590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PK</w:t>
            </w:r>
          </w:p>
        </w:tc>
        <w:tc>
          <w:tcPr>
            <w:tcW w:type="dxa" w:w="5962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Primary key.</w:t>
            </w:r>
          </w:p>
        </w:tc>
      </w:tr>
      <w:tr>
        <w:tc>
          <w:tcPr>
            <w:tcW w:type="dxa" w:w="2385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8302F"/>
                <w:sz w:val="18"/>
                <w:szCs w:val="18"/>
              </w:rPr>
              <w:t xml:space="preserve">entry_id</w:t>
            </w:r>
          </w:p>
        </w:tc>
        <w:tc>
          <w:tcPr>
            <w:tcW w:type="dxa" w:w="1590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FK → entries (unique)</w:t>
            </w:r>
          </w:p>
        </w:tc>
        <w:tc>
          <w:tcPr>
            <w:tcW w:type="dxa" w:w="5962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One-to-one relationship.</w:t>
            </w:r>
          </w:p>
        </w:tc>
      </w:tr>
      <w:tr>
        <w:tc>
          <w:tcPr>
            <w:tcW w:type="dxa" w:w="2385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8302F"/>
                <w:sz w:val="18"/>
                <w:szCs w:val="18"/>
              </w:rPr>
              <w:t xml:space="preserve">risk_level</w:t>
            </w:r>
          </w:p>
        </w:tc>
        <w:tc>
          <w:tcPr>
            <w:tcW w:type="dxa" w:w="1590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enum</w:t>
            </w:r>
          </w:p>
        </w:tc>
        <w:tc>
          <w:tcPr>
            <w:tcW w:type="dxa" w:w="5962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Green / Yellow / Orange / Red.</w:t>
            </w:r>
          </w:p>
        </w:tc>
      </w:tr>
      <w:tr>
        <w:tc>
          <w:tcPr>
            <w:tcW w:type="dxa" w:w="2385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8302F"/>
                <w:sz w:val="18"/>
                <w:szCs w:val="18"/>
              </w:rPr>
              <w:t xml:space="preserve">risk_title</w:t>
            </w:r>
          </w:p>
        </w:tc>
        <w:tc>
          <w:tcPr>
            <w:tcW w:type="dxa" w:w="1590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text</w:t>
            </w:r>
          </w:p>
        </w:tc>
        <w:tc>
          <w:tcPr>
            <w:tcW w:type="dxa" w:w="5962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e.g. "A meaningful change", "Please seek care now".</w:t>
            </w:r>
          </w:p>
        </w:tc>
      </w:tr>
      <w:tr>
        <w:tc>
          <w:tcPr>
            <w:tcW w:type="dxa" w:w="2385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8302F"/>
                <w:sz w:val="18"/>
                <w:szCs w:val="18"/>
              </w:rPr>
              <w:t xml:space="preserve">risk_message</w:t>
            </w:r>
          </w:p>
        </w:tc>
        <w:tc>
          <w:tcPr>
            <w:tcW w:type="dxa" w:w="1590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text</w:t>
            </w:r>
          </w:p>
        </w:tc>
        <w:tc>
          <w:tcPr>
            <w:tcW w:type="dxa" w:w="5962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Plain-language explanation shown to the patient.</w:t>
            </w:r>
          </w:p>
        </w:tc>
      </w:tr>
      <w:tr>
        <w:tc>
          <w:tcPr>
            <w:tcW w:type="dxa" w:w="2385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8302F"/>
                <w:sz w:val="18"/>
                <w:szCs w:val="18"/>
              </w:rPr>
              <w:t xml:space="preserve">reasoning</w:t>
            </w:r>
          </w:p>
        </w:tc>
        <w:tc>
          <w:tcPr>
            <w:tcW w:type="dxa" w:w="1590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text</w:t>
            </w:r>
          </w:p>
        </w:tc>
        <w:tc>
          <w:tcPr>
            <w:tcW w:type="dxa" w:w="5962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Clinical rationale behind the level.</w:t>
            </w:r>
          </w:p>
        </w:tc>
      </w:tr>
      <w:tr>
        <w:tc>
          <w:tcPr>
            <w:tcW w:type="dxa" w:w="2385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8302F"/>
                <w:sz w:val="18"/>
                <w:szCs w:val="18"/>
              </w:rPr>
              <w:t xml:space="preserve">source</w:t>
            </w:r>
          </w:p>
        </w:tc>
        <w:tc>
          <w:tcPr>
            <w:tcW w:type="dxa" w:w="1590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enum</w:t>
            </w:r>
          </w:p>
        </w:tc>
        <w:tc>
          <w:tcPr>
            <w:tcW w:type="dxa" w:w="5962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ai / rule / merged — supports fallback logic and debugging.</w:t>
            </w:r>
          </w:p>
        </w:tc>
      </w:tr>
      <w:tr>
        <w:tc>
          <w:tcPr>
            <w:tcW w:type="dxa" w:w="2385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8302F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590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timestamp</w:t>
            </w:r>
          </w:p>
        </w:tc>
        <w:tc>
          <w:tcPr>
            <w:tcW w:type="dxa" w:w="5962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/>
            </w:r>
          </w:p>
        </w:tc>
      </w:tr>
    </w:tbl>
    <w:p>
      <w:pPr>
        <w:spacing w:after="160" w:before="40" w:line="280"/>
      </w:pPr>
      <w:r>
        <w:rPr>
          <w:rFonts w:ascii="Calibri" w:cs="Calibri" w:eastAsia="Calibri" w:hAnsi="Calibri"/>
          <w:i/>
          <w:iCs/>
          <w:color w:val="BD5A25"/>
          <w:sz w:val="20"/>
          <w:szCs w:val="20"/>
        </w:rPr>
        <w:t xml:space="preserve">Design decision: risk_results is kept separate from ai_results so the rule-based safety engine can populate risk_results (source = 'rule') even when Claude API is unavailable, satisfying the required fallback behavior.</w:t>
      </w:r>
    </w:p>
    <w:p>
      <w:pPr>
        <w:spacing w:before="100"/>
      </w:pP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36"/>
      </w:tblGrid>
      <w:tr>
        <w:tc>
          <w:tcPr>
            <w:tcW w:type="dxa" w:w="9936"/>
            <w:shd w:fill="0A444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2"/>
                <w:szCs w:val="22"/>
              </w:rPr>
              <w:t xml:space="preserve">baseline_history</w:t>
            </w:r>
            <w:r>
              <w:rPr>
                <w:rFonts w:ascii="Calibri" w:cs="Calibri" w:eastAsia="Calibri" w:hAnsi="Calibri"/>
                <w:i/>
                <w:iCs/>
                <w:color w:val="EAF1EE"/>
                <w:sz w:val="18"/>
                <w:szCs w:val="18"/>
              </w:rPr>
              <w:t xml:space="preserve">   —   rolling personal baseline per patient per metric</w:t>
            </w:r>
          </w:p>
        </w:tc>
      </w:tr>
    </w:tbl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85"/>
        <w:gridCol w:w="1590"/>
        <w:gridCol w:w="5962"/>
      </w:tblGrid>
      <w:tr>
        <w:trPr>
          <w:tblHeader/>
        </w:trPr>
        <w:tc>
          <w:tcPr>
            <w:tcW w:type="dxa" w:w="2385"/>
            <w:shd w:fill="0F6B6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590"/>
            <w:shd w:fill="0F6B6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962"/>
            <w:shd w:fill="0F6B6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385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8302F"/>
                <w:sz w:val="18"/>
                <w:szCs w:val="18"/>
              </w:rPr>
              <w:t xml:space="preserve">id</w:t>
            </w:r>
          </w:p>
        </w:tc>
        <w:tc>
          <w:tcPr>
            <w:tcW w:type="dxa" w:w="1590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PK</w:t>
            </w:r>
          </w:p>
        </w:tc>
        <w:tc>
          <w:tcPr>
            <w:tcW w:type="dxa" w:w="5962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Primary key.</w:t>
            </w:r>
          </w:p>
        </w:tc>
      </w:tr>
      <w:tr>
        <w:tc>
          <w:tcPr>
            <w:tcW w:type="dxa" w:w="2385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8302F"/>
                <w:sz w:val="18"/>
                <w:szCs w:val="18"/>
              </w:rPr>
              <w:t xml:space="preserve">patient_id</w:t>
            </w:r>
          </w:p>
        </w:tc>
        <w:tc>
          <w:tcPr>
            <w:tcW w:type="dxa" w:w="1590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FK → patients</w:t>
            </w:r>
          </w:p>
        </w:tc>
        <w:tc>
          <w:tcPr>
            <w:tcW w:type="dxa" w:w="5962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85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8302F"/>
                <w:sz w:val="18"/>
                <w:szCs w:val="18"/>
              </w:rPr>
              <w:t xml:space="preserve">metric</w:t>
            </w:r>
          </w:p>
        </w:tc>
        <w:tc>
          <w:tcPr>
            <w:tcW w:type="dxa" w:w="1590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text</w:t>
            </w:r>
          </w:p>
        </w:tc>
        <w:tc>
          <w:tcPr>
            <w:tcW w:type="dxa" w:w="5962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sleep / energy / weight / mobility / etc.</w:t>
            </w:r>
          </w:p>
        </w:tc>
      </w:tr>
      <w:tr>
        <w:tc>
          <w:tcPr>
            <w:tcW w:type="dxa" w:w="2385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8302F"/>
                <w:sz w:val="18"/>
                <w:szCs w:val="18"/>
              </w:rPr>
              <w:t xml:space="preserve">baseline_min</w:t>
            </w:r>
          </w:p>
        </w:tc>
        <w:tc>
          <w:tcPr>
            <w:tcW w:type="dxa" w:w="1590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numeric</w:t>
            </w:r>
          </w:p>
        </w:tc>
        <w:tc>
          <w:tcPr>
            <w:tcW w:type="dxa" w:w="5962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Learned lower bound for this metric.</w:t>
            </w:r>
          </w:p>
        </w:tc>
      </w:tr>
      <w:tr>
        <w:tc>
          <w:tcPr>
            <w:tcW w:type="dxa" w:w="2385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8302F"/>
                <w:sz w:val="18"/>
                <w:szCs w:val="18"/>
              </w:rPr>
              <w:t xml:space="preserve">baseline_max</w:t>
            </w:r>
          </w:p>
        </w:tc>
        <w:tc>
          <w:tcPr>
            <w:tcW w:type="dxa" w:w="1590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numeric</w:t>
            </w:r>
          </w:p>
        </w:tc>
        <w:tc>
          <w:tcPr>
            <w:tcW w:type="dxa" w:w="5962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Learned upper bound for this metric.</w:t>
            </w:r>
          </w:p>
        </w:tc>
      </w:tr>
      <w:tr>
        <w:tc>
          <w:tcPr>
            <w:tcW w:type="dxa" w:w="2385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8302F"/>
                <w:sz w:val="18"/>
                <w:szCs w:val="18"/>
              </w:rPr>
              <w:t xml:space="preserve">last_updated</w:t>
            </w:r>
          </w:p>
        </w:tc>
        <w:tc>
          <w:tcPr>
            <w:tcW w:type="dxa" w:w="1590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timestamp</w:t>
            </w:r>
          </w:p>
        </w:tc>
        <w:tc>
          <w:tcPr>
            <w:tcW w:type="dxa" w:w="5962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/>
            </w:r>
          </w:p>
        </w:tc>
      </w:tr>
    </w:tbl>
    <w:p>
      <w:pPr>
        <w:spacing w:after="160" w:before="40" w:line="280"/>
      </w:pPr>
      <w:r>
        <w:rPr>
          <w:rFonts w:ascii="Calibri" w:cs="Calibri" w:eastAsia="Calibri" w:hAnsi="Calibri"/>
          <w:i/>
          <w:iCs/>
          <w:color w:val="BD5A25"/>
          <w:sz w:val="20"/>
          <w:szCs w:val="20"/>
        </w:rPr>
        <w:t xml:space="preserve">Design decision: one row per patient per metric, not one row per patient — each metric (sleep, weight, energy) has its own learned band and updates independently, per the baseline-stage progression (cold start → learning → personalized).</w:t>
      </w:r>
    </w:p>
    <w:p>
      <w:r>
        <w:br w:type="pag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A4442"/>
          <w:sz w:val="24"/>
          <w:szCs w:val="24"/>
        </w:rPr>
        <w:t xml:space="preserve">4.4 Doctor-Facing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36"/>
      </w:tblGrid>
      <w:tr>
        <w:tc>
          <w:tcPr>
            <w:tcW w:type="dxa" w:w="9936"/>
            <w:shd w:fill="0A444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2"/>
                <w:szCs w:val="22"/>
              </w:rPr>
              <w:t xml:space="preserve">alerts</w:t>
            </w:r>
            <w:r>
              <w:rPr>
                <w:rFonts w:ascii="Calibri" w:cs="Calibri" w:eastAsia="Calibri" w:hAnsi="Calibri"/>
                <w:i/>
                <w:iCs/>
                <w:color w:val="EAF1EE"/>
                <w:sz w:val="18"/>
                <w:szCs w:val="18"/>
              </w:rPr>
              <w:t xml:space="preserve">   —   drives the doctor's Alerts Panel</w:t>
            </w:r>
          </w:p>
        </w:tc>
      </w:tr>
    </w:tbl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85"/>
        <w:gridCol w:w="1590"/>
        <w:gridCol w:w="5962"/>
      </w:tblGrid>
      <w:tr>
        <w:trPr>
          <w:tblHeader/>
        </w:trPr>
        <w:tc>
          <w:tcPr>
            <w:tcW w:type="dxa" w:w="2385"/>
            <w:shd w:fill="0F6B6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590"/>
            <w:shd w:fill="0F6B6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962"/>
            <w:shd w:fill="0F6B6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385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8302F"/>
                <w:sz w:val="18"/>
                <w:szCs w:val="18"/>
              </w:rPr>
              <w:t xml:space="preserve">id</w:t>
            </w:r>
          </w:p>
        </w:tc>
        <w:tc>
          <w:tcPr>
            <w:tcW w:type="dxa" w:w="1590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PK</w:t>
            </w:r>
          </w:p>
        </w:tc>
        <w:tc>
          <w:tcPr>
            <w:tcW w:type="dxa" w:w="5962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Primary key.</w:t>
            </w:r>
          </w:p>
        </w:tc>
      </w:tr>
      <w:tr>
        <w:tc>
          <w:tcPr>
            <w:tcW w:type="dxa" w:w="2385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8302F"/>
                <w:sz w:val="18"/>
                <w:szCs w:val="18"/>
              </w:rPr>
              <w:t xml:space="preserve">patient_id</w:t>
            </w:r>
          </w:p>
        </w:tc>
        <w:tc>
          <w:tcPr>
            <w:tcW w:type="dxa" w:w="1590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FK → patients</w:t>
            </w:r>
          </w:p>
        </w:tc>
        <w:tc>
          <w:tcPr>
            <w:tcW w:type="dxa" w:w="5962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85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8302F"/>
                <w:sz w:val="18"/>
                <w:szCs w:val="18"/>
              </w:rPr>
              <w:t xml:space="preserve">entry_id</w:t>
            </w:r>
          </w:p>
        </w:tc>
        <w:tc>
          <w:tcPr>
            <w:tcW w:type="dxa" w:w="1590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FK → entries</w:t>
            </w:r>
          </w:p>
        </w:tc>
        <w:tc>
          <w:tcPr>
            <w:tcW w:type="dxa" w:w="5962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Nullable.</w:t>
            </w:r>
          </w:p>
        </w:tc>
      </w:tr>
      <w:tr>
        <w:tc>
          <w:tcPr>
            <w:tcW w:type="dxa" w:w="2385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8302F"/>
                <w:sz w:val="18"/>
                <w:szCs w:val="18"/>
              </w:rPr>
              <w:t xml:space="preserve">risk_level</w:t>
            </w:r>
          </w:p>
        </w:tc>
        <w:tc>
          <w:tcPr>
            <w:tcW w:type="dxa" w:w="1590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enum</w:t>
            </w:r>
          </w:p>
        </w:tc>
        <w:tc>
          <w:tcPr>
            <w:tcW w:type="dxa" w:w="5962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Green / Yellow / Orange / Red.</w:t>
            </w:r>
          </w:p>
        </w:tc>
      </w:tr>
      <w:tr>
        <w:tc>
          <w:tcPr>
            <w:tcW w:type="dxa" w:w="2385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8302F"/>
                <w:sz w:val="18"/>
                <w:szCs w:val="18"/>
              </w:rPr>
              <w:t xml:space="preserve">alert_text</w:t>
            </w:r>
          </w:p>
        </w:tc>
        <w:tc>
          <w:tcPr>
            <w:tcW w:type="dxa" w:w="1590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text</w:t>
            </w:r>
          </w:p>
        </w:tc>
        <w:tc>
          <w:tcPr>
            <w:tcW w:type="dxa" w:w="5962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e.g. "Weight +2.4 kg in 5 days with falling sleep and sustained low energy."</w:t>
            </w:r>
          </w:p>
        </w:tc>
      </w:tr>
      <w:tr>
        <w:tc>
          <w:tcPr>
            <w:tcW w:type="dxa" w:w="2385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8302F"/>
                <w:sz w:val="18"/>
                <w:szCs w:val="18"/>
              </w:rPr>
              <w:t xml:space="preserve">source_rule</w:t>
            </w:r>
          </w:p>
        </w:tc>
        <w:tc>
          <w:tcPr>
            <w:tcW w:type="dxa" w:w="1590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text</w:t>
            </w:r>
          </w:p>
        </w:tc>
        <w:tc>
          <w:tcPr>
            <w:tcW w:type="dxa" w:w="5962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e.g. "Baseline layer + weight red-flag rule".</w:t>
            </w:r>
          </w:p>
        </w:tc>
      </w:tr>
      <w:tr>
        <w:tc>
          <w:tcPr>
            <w:tcW w:type="dxa" w:w="2385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8302F"/>
                <w:sz w:val="18"/>
                <w:szCs w:val="18"/>
              </w:rPr>
              <w:t xml:space="preserve">reviewed</w:t>
            </w:r>
          </w:p>
        </w:tc>
        <w:tc>
          <w:tcPr>
            <w:tcW w:type="dxa" w:w="1590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boolean</w:t>
            </w:r>
          </w:p>
        </w:tc>
        <w:tc>
          <w:tcPr>
            <w:tcW w:type="dxa" w:w="5962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Marked true via the doctor notes/alert-review action.</w:t>
            </w:r>
          </w:p>
        </w:tc>
      </w:tr>
      <w:tr>
        <w:tc>
          <w:tcPr>
            <w:tcW w:type="dxa" w:w="2385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8302F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590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timestamp</w:t>
            </w:r>
          </w:p>
        </w:tc>
        <w:tc>
          <w:tcPr>
            <w:tcW w:type="dxa" w:w="5962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/>
            </w:r>
          </w:p>
        </w:tc>
      </w:tr>
    </w:tbl>
    <w:p>
      <w:pPr>
        <w:spacing w:before="140"/>
      </w:pP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36"/>
      </w:tblGrid>
      <w:tr>
        <w:tc>
          <w:tcPr>
            <w:tcW w:type="dxa" w:w="9936"/>
            <w:shd w:fill="0A444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2"/>
                <w:szCs w:val="22"/>
              </w:rPr>
              <w:t xml:space="preserve">doctor_notes</w:t>
            </w:r>
            <w:r>
              <w:rPr>
                <w:rFonts w:ascii="Calibri" w:cs="Calibri" w:eastAsia="Calibri" w:hAnsi="Calibri"/>
                <w:i/>
                <w:iCs/>
                <w:color w:val="EAF1EE"/>
                <w:sz w:val="18"/>
                <w:szCs w:val="18"/>
              </w:rPr>
              <w:t xml:space="preserve">   —   free-text clinical notes per patient</w:t>
            </w:r>
          </w:p>
        </w:tc>
      </w:tr>
    </w:tbl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85"/>
        <w:gridCol w:w="1590"/>
        <w:gridCol w:w="5962"/>
      </w:tblGrid>
      <w:tr>
        <w:trPr>
          <w:tblHeader/>
        </w:trPr>
        <w:tc>
          <w:tcPr>
            <w:tcW w:type="dxa" w:w="2385"/>
            <w:shd w:fill="0F6B6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590"/>
            <w:shd w:fill="0F6B6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962"/>
            <w:shd w:fill="0F6B6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385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8302F"/>
                <w:sz w:val="18"/>
                <w:szCs w:val="18"/>
              </w:rPr>
              <w:t xml:space="preserve">id</w:t>
            </w:r>
          </w:p>
        </w:tc>
        <w:tc>
          <w:tcPr>
            <w:tcW w:type="dxa" w:w="1590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PK</w:t>
            </w:r>
          </w:p>
        </w:tc>
        <w:tc>
          <w:tcPr>
            <w:tcW w:type="dxa" w:w="5962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Primary key.</w:t>
            </w:r>
          </w:p>
        </w:tc>
      </w:tr>
      <w:tr>
        <w:tc>
          <w:tcPr>
            <w:tcW w:type="dxa" w:w="2385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8302F"/>
                <w:sz w:val="18"/>
                <w:szCs w:val="18"/>
              </w:rPr>
              <w:t xml:space="preserve">patient_id</w:t>
            </w:r>
          </w:p>
        </w:tc>
        <w:tc>
          <w:tcPr>
            <w:tcW w:type="dxa" w:w="1590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FK → patients</w:t>
            </w:r>
          </w:p>
        </w:tc>
        <w:tc>
          <w:tcPr>
            <w:tcW w:type="dxa" w:w="5962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85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8302F"/>
                <w:sz w:val="18"/>
                <w:szCs w:val="18"/>
              </w:rPr>
              <w:t xml:space="preserve">doctor_id</w:t>
            </w:r>
          </w:p>
        </w:tc>
        <w:tc>
          <w:tcPr>
            <w:tcW w:type="dxa" w:w="1590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FK → users</w:t>
            </w:r>
          </w:p>
        </w:tc>
        <w:tc>
          <w:tcPr>
            <w:tcW w:type="dxa" w:w="5962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role = doctor.</w:t>
            </w:r>
          </w:p>
        </w:tc>
      </w:tr>
      <w:tr>
        <w:tc>
          <w:tcPr>
            <w:tcW w:type="dxa" w:w="2385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8302F"/>
                <w:sz w:val="18"/>
                <w:szCs w:val="18"/>
              </w:rPr>
              <w:t xml:space="preserve">note_text</w:t>
            </w:r>
          </w:p>
        </w:tc>
        <w:tc>
          <w:tcPr>
            <w:tcW w:type="dxa" w:w="1590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text</w:t>
            </w:r>
          </w:p>
        </w:tc>
        <w:tc>
          <w:tcPr>
            <w:tcW w:type="dxa" w:w="5962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85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8302F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590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timestamp</w:t>
            </w:r>
          </w:p>
        </w:tc>
        <w:tc>
          <w:tcPr>
            <w:tcW w:type="dxa" w:w="5962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/>
            </w:r>
          </w:p>
        </w:tc>
      </w:tr>
    </w:tbl>
    <w:p>
      <w:pPr>
        <w:spacing w:before="140"/>
      </w:pP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36"/>
      </w:tblGrid>
      <w:tr>
        <w:tc>
          <w:tcPr>
            <w:tcW w:type="dxa" w:w="9936"/>
            <w:shd w:fill="0A444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2"/>
                <w:szCs w:val="22"/>
              </w:rPr>
              <w:t xml:space="preserve">weekly_digests</w:t>
            </w:r>
            <w:r>
              <w:rPr>
                <w:rFonts w:ascii="Calibri" w:cs="Calibri" w:eastAsia="Calibri" w:hAnsi="Calibri"/>
                <w:i/>
                <w:iCs/>
                <w:color w:val="EAF1EE"/>
                <w:sz w:val="18"/>
                <w:szCs w:val="18"/>
              </w:rPr>
              <w:t xml:space="preserve">   —   optional — or compute live from entries + ai_results</w:t>
            </w:r>
          </w:p>
        </w:tc>
      </w:tr>
    </w:tbl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85"/>
        <w:gridCol w:w="1590"/>
        <w:gridCol w:w="5962"/>
      </w:tblGrid>
      <w:tr>
        <w:trPr>
          <w:tblHeader/>
        </w:trPr>
        <w:tc>
          <w:tcPr>
            <w:tcW w:type="dxa" w:w="2385"/>
            <w:shd w:fill="0F6B6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590"/>
            <w:shd w:fill="0F6B6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962"/>
            <w:shd w:fill="0F6B6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385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8302F"/>
                <w:sz w:val="18"/>
                <w:szCs w:val="18"/>
              </w:rPr>
              <w:t xml:space="preserve">id</w:t>
            </w:r>
          </w:p>
        </w:tc>
        <w:tc>
          <w:tcPr>
            <w:tcW w:type="dxa" w:w="1590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PK</w:t>
            </w:r>
          </w:p>
        </w:tc>
        <w:tc>
          <w:tcPr>
            <w:tcW w:type="dxa" w:w="5962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Primary key.</w:t>
            </w:r>
          </w:p>
        </w:tc>
      </w:tr>
      <w:tr>
        <w:tc>
          <w:tcPr>
            <w:tcW w:type="dxa" w:w="2385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8302F"/>
                <w:sz w:val="18"/>
                <w:szCs w:val="18"/>
              </w:rPr>
              <w:t xml:space="preserve">patient_id</w:t>
            </w:r>
          </w:p>
        </w:tc>
        <w:tc>
          <w:tcPr>
            <w:tcW w:type="dxa" w:w="1590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FK → patients</w:t>
            </w:r>
          </w:p>
        </w:tc>
        <w:tc>
          <w:tcPr>
            <w:tcW w:type="dxa" w:w="5962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85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8302F"/>
                <w:sz w:val="18"/>
                <w:szCs w:val="18"/>
              </w:rPr>
              <w:t xml:space="preserve">period_start</w:t>
            </w:r>
          </w:p>
        </w:tc>
        <w:tc>
          <w:tcPr>
            <w:tcW w:type="dxa" w:w="1590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date</w:t>
            </w:r>
          </w:p>
        </w:tc>
        <w:tc>
          <w:tcPr>
            <w:tcW w:type="dxa" w:w="5962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85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8302F"/>
                <w:sz w:val="18"/>
                <w:szCs w:val="18"/>
              </w:rPr>
              <w:t xml:space="preserve">period_end</w:t>
            </w:r>
          </w:p>
        </w:tc>
        <w:tc>
          <w:tcPr>
            <w:tcW w:type="dxa" w:w="1590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date</w:t>
            </w:r>
          </w:p>
        </w:tc>
        <w:tc>
          <w:tcPr>
            <w:tcW w:type="dxa" w:w="5962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85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8302F"/>
                <w:sz w:val="18"/>
                <w:szCs w:val="18"/>
              </w:rPr>
              <w:t xml:space="preserve">summary_text</w:t>
            </w:r>
          </w:p>
        </w:tc>
        <w:tc>
          <w:tcPr>
            <w:tcW w:type="dxa" w:w="1590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text</w:t>
            </w:r>
          </w:p>
        </w:tc>
        <w:tc>
          <w:tcPr>
            <w:tcW w:type="dxa" w:w="5962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Plain-language weekly pattern summary.</w:t>
            </w:r>
          </w:p>
        </w:tc>
      </w:tr>
      <w:tr>
        <w:tc>
          <w:tcPr>
            <w:tcW w:type="dxa" w:w="2385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8302F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590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timestamp</w:t>
            </w:r>
          </w:p>
        </w:tc>
        <w:tc>
          <w:tcPr>
            <w:tcW w:type="dxa" w:w="5962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6B68" w:sz="10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0A4442"/>
          <w:sz w:val="30"/>
          <w:szCs w:val="30"/>
        </w:rPr>
        <w:t xml:space="preserve">5. Key Design Decisions — Summary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18302F"/>
          <w:sz w:val="21"/>
          <w:szCs w:val="21"/>
        </w:rPr>
        <w:t xml:space="preserve">Single users table for all roles (patient/attendant/doctor/admin) rather than separate login tables — simpler auth, matches the prototype's single role-switch model.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18302F"/>
          <w:sz w:val="21"/>
          <w:szCs w:val="21"/>
        </w:rPr>
        <w:t xml:space="preserve">risk_results kept separate from ai_results — enables the rule-based safety engine to function fully even when the AI layer is down, via the source field.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18302F"/>
          <w:sz w:val="21"/>
          <w:szCs w:val="21"/>
        </w:rPr>
        <w:t xml:space="preserve">symptom_checklist_options keyed by diagnosis — supports adding new conditions without schema changes.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18302F"/>
          <w:sz w:val="21"/>
          <w:szCs w:val="21"/>
        </w:rPr>
        <w:t xml:space="preserve">baseline_history stored per metric, not per patient — each metric learns and updates independently.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18302F"/>
          <w:sz w:val="21"/>
          <w:szCs w:val="21"/>
        </w:rPr>
        <w:t xml:space="preserve">No vector database / embeddings in MVP scope — current AI usage is direct prompting, not retrieval.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18302F"/>
          <w:sz w:val="21"/>
          <w:szCs w:val="21"/>
        </w:rPr>
        <w:t xml:space="preserve">Chatbot deprioritized to a stretch goal — core monitoring loop takes priority for the full week.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18302F"/>
          <w:sz w:val="21"/>
          <w:szCs w:val="21"/>
        </w:rPr>
        <w:t xml:space="preserve">Postgres via Railway's built-in add-on (or Neon/Supabase standalone) — avoids self-hosting entirely.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18302F"/>
          <w:sz w:val="21"/>
          <w:szCs w:val="21"/>
        </w:rPr>
        <w:t xml:space="preserve">Deployment on Railway, not a VPS — git-push deploys fit the solo, Claude-Code-managed workflow with far less setup risk.</w:t>
      </w:r>
    </w:p>
    <w:p>
      <w:pPr>
        <w:pStyle w:val="Heading1"/>
        <w:pBdr>
          <w:bottom w:val="single" w:color="0F6B68" w:sz="10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0A4442"/>
          <w:sz w:val="30"/>
          <w:szCs w:val="30"/>
        </w:rPr>
        <w:t xml:space="preserve">6. Open Items to Confirm Before Building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86"/>
        <w:gridCol w:w="1987"/>
        <w:gridCol w:w="5763"/>
      </w:tblGrid>
      <w:tr>
        <w:trPr>
          <w:tblHeader/>
        </w:trPr>
        <w:tc>
          <w:tcPr>
            <w:tcW w:type="dxa" w:w="2186"/>
            <w:shd w:fill="0F6B6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987"/>
            <w:shd w:fill="0F6B6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763"/>
            <w:shd w:fill="0F6B6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186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8302F"/>
                <w:sz w:val="18"/>
                <w:szCs w:val="18"/>
              </w:rPr>
              <w:t xml:space="preserve">Postgres host</w:t>
            </w:r>
          </w:p>
        </w:tc>
        <w:tc>
          <w:tcPr>
            <w:tcW w:type="dxa" w:w="1987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Decided</w:t>
            </w:r>
          </w:p>
        </w:tc>
        <w:tc>
          <w:tcPr>
            <w:tcW w:type="dxa" w:w="5763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Railway add-on, or Neon if a standalone connection string is preferred.</w:t>
            </w:r>
          </w:p>
        </w:tc>
      </w:tr>
      <w:tr>
        <w:tc>
          <w:tcPr>
            <w:tcW w:type="dxa" w:w="2186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8302F"/>
                <w:sz w:val="18"/>
                <w:szCs w:val="18"/>
              </w:rPr>
              <w:t xml:space="preserve">Diagnosis list beyond heart failure / post-surgical</w:t>
            </w:r>
          </w:p>
        </w:tc>
        <w:tc>
          <w:tcPr>
            <w:tcW w:type="dxa" w:w="1987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Open</w:t>
            </w:r>
          </w:p>
        </w:tc>
        <w:tc>
          <w:tcPr>
            <w:tcW w:type="dxa" w:w="5763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Confirm if more conditions are needed for the demo, since symptom_checklist_options depends on this.</w:t>
            </w:r>
          </w:p>
        </w:tc>
      </w:tr>
      <w:tr>
        <w:tc>
          <w:tcPr>
            <w:tcW w:type="dxa" w:w="2186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8302F"/>
                <w:sz w:val="18"/>
                <w:szCs w:val="18"/>
              </w:rPr>
              <w:t xml:space="preserve">Weekly digest: stored table vs. computed live</w:t>
            </w:r>
          </w:p>
        </w:tc>
        <w:tc>
          <w:tcPr>
            <w:tcW w:type="dxa" w:w="1987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Open</w:t>
            </w:r>
          </w:p>
        </w:tc>
        <w:tc>
          <w:tcPr>
            <w:tcW w:type="dxa" w:w="5763"/>
            <w:shd w:fill="F7F8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Decide before building the digest endpoint — computing live avoids a table but adds latency; storing avoids recompute but adds a job to run.</w:t>
            </w:r>
          </w:p>
        </w:tc>
      </w:tr>
      <w:tr>
        <w:tc>
          <w:tcPr>
            <w:tcW w:type="dxa" w:w="2186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8302F"/>
                <w:sz w:val="18"/>
                <w:szCs w:val="18"/>
              </w:rPr>
              <w:t xml:space="preserve">Chatbot scope, if pursued</w:t>
            </w:r>
          </w:p>
        </w:tc>
        <w:tc>
          <w:tcPr>
            <w:tcW w:type="dxa" w:w="1987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Deprioritized</w:t>
            </w:r>
          </w:p>
        </w:tc>
        <w:tc>
          <w:tcPr>
            <w:tcW w:type="dxa" w:w="5763"/>
            <w:shd w:fill="EAF1EE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8302F"/>
                <w:sz w:val="18"/>
                <w:szCs w:val="18"/>
              </w:rPr>
              <w:t xml:space="preserve">Only revisit as a Day 6–7 stretch goal if the core loop is fully working early.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52" w:right="1152" w:bottom="1152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F706E"/>
        <w:sz w:val="16"/>
        <w:szCs w:val="16"/>
      </w:rPr>
      <w:t xml:space="preserve">Page </w:t>
    </w:r>
    <w:r>
      <w:rPr>
        <w:rFonts w:ascii="Calibri" w:cs="Calibri" w:eastAsia="Calibri" w:hAnsi="Calibri"/>
        <w:color w:val="5F706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F706E"/>
        <w:sz w:val="16"/>
        <w:szCs w:val="16"/>
      </w:rPr>
      <w:t xml:space="preserve"> of </w:t>
    </w:r>
    <w:r>
      <w:rPr>
        <w:rFonts w:ascii="Calibri" w:cs="Calibri" w:eastAsia="Calibri" w:hAnsi="Calibri"/>
        <w:color w:val="5F706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3E0DA" w:sz="4" w:space="4"/>
      </w:pBdr>
    </w:pPr>
    <w:r>
      <w:rPr>
        <w:rFonts w:ascii="Calibri" w:cs="Calibri" w:eastAsia="Calibri" w:hAnsi="Calibri"/>
        <w:color w:val="5F706E"/>
        <w:sz w:val="16"/>
        <w:szCs w:val="16"/>
      </w:rPr>
      <w:t xml:space="preserve">RozNoor  ·  Database Schema &amp; Deployment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2026-08-24T15:06:45.713Z</dcterms:created>
  <dcterms:modified xsi:type="dcterms:W3CDTF">2026-08-24T15:06:45.726Z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