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B8640" w14:textId="77777777" w:rsidR="00B9431D" w:rsidRDefault="00980D7A" w:rsidP="009A5BA9">
      <w:pPr>
        <w:pStyle w:val="berschrift1"/>
      </w:pPr>
      <w:r>
        <w:t>Security-Goal-</w:t>
      </w:r>
      <w:r w:rsidR="00B9431D" w:rsidRPr="00AD6DFB">
        <w:t xml:space="preserve">Modelling – </w:t>
      </w:r>
      <w:r w:rsidR="00B9431D" w:rsidRPr="00B9431D">
        <w:t>Vorgehensweise</w:t>
      </w:r>
    </w:p>
    <w:p w14:paraId="506A230F" w14:textId="77777777" w:rsidR="009A5BA9" w:rsidRPr="009A5BA9" w:rsidRDefault="009A5BA9" w:rsidP="009A5BA9"/>
    <w:p w14:paraId="12CFE02D" w14:textId="77777777" w:rsidR="00B9431D" w:rsidRDefault="00B9431D" w:rsidP="00B9431D">
      <w:pPr>
        <w:pStyle w:val="berschrift2"/>
      </w:pPr>
      <w:r>
        <w:t>Voraussetzung: Lastenheftartige Beschreibung eines Software-Projekts</w:t>
      </w:r>
    </w:p>
    <w:p w14:paraId="4BD7DD23" w14:textId="77777777" w:rsidR="00357CA0" w:rsidRDefault="00B9431D" w:rsidP="00B9431D">
      <w:r>
        <w:t xml:space="preserve">Eine Beschreibung des Zwecks, des Einsatzszenarios (einschließlich Betriebsumgebung) und der grundlegenden Datenverarbeitungsschritte muss </w:t>
      </w:r>
      <w:r w:rsidR="00A00B28">
        <w:t>v</w:t>
      </w:r>
      <w:r w:rsidR="00357CA0">
        <w:t>orliegen</w:t>
      </w:r>
      <w:r w:rsidR="00A00B28">
        <w:t xml:space="preserve">. </w:t>
      </w:r>
      <w:r w:rsidR="00357CA0">
        <w:t xml:space="preserve">Dies bedeutet, dass eine erste Anforderungsanalyse mit den relevanten Stakeholdern vorausgesetzt wird, als deren Ergebnis eine </w:t>
      </w:r>
      <w:r w:rsidR="00A00B28">
        <w:t xml:space="preserve">(vorläufige) Liste der funktionalen Anforderungen </w:t>
      </w:r>
      <w:r w:rsidR="00357CA0">
        <w:t>erstellt wurde</w:t>
      </w:r>
      <w:r w:rsidR="00A00B28">
        <w:t>.</w:t>
      </w:r>
      <w:r w:rsidR="00357CA0">
        <w:t xml:space="preserve"> Diese funktionalen Anforderungen müssen prinzipiell bereits mit dem Rechtsrahmen abgeglichen sein. Die nachfolgend beschriebene Methode ist nicht dazu geeignet, funktionale Anforderungen zu identifizieren, die prinzipiell nicht erfüllbar sind, weil sie </w:t>
      </w:r>
      <w:r w:rsidR="00CF7CF2">
        <w:t xml:space="preserve">rechtlich </w:t>
      </w:r>
      <w:r w:rsidR="00357CA0">
        <w:t>nicht zulässig oder zwischen verschiedenen Stakeholdern widersprüchlich sind.</w:t>
      </w:r>
    </w:p>
    <w:p w14:paraId="334B69CC" w14:textId="77777777" w:rsidR="00B06DC2" w:rsidRDefault="00A00B28" w:rsidP="00B9431D">
      <w:r>
        <w:t>Eine (vorläufige) Liste der nicht-funktionalen Anforderungen ist ebenfalls wünschenswert, da diese für die Auswahl konkreter Sicherheitsmechanismen wichtig bzw. hilfreich sein können. Beispiele für relevante nicht-funktionale Anforderungen sind Mechanismen oder Schlüssellängen, die per Regulierung vorgeschrieben sind, erwünschte Eigenschaften von Protokollen wie etwa (Perfect-)</w:t>
      </w:r>
      <w:r w:rsidR="00290868">
        <w:t xml:space="preserve"> </w:t>
      </w:r>
      <w:r>
        <w:t xml:space="preserve">Forward-Secrecy </w:t>
      </w:r>
      <w:r w:rsidR="004E5B68">
        <w:t xml:space="preserve">oder auch Bedingungen </w:t>
      </w:r>
      <w:r>
        <w:t>hinsichtlich des Laufzeitverhaltens bzw. von Antwortzeiten eines Dienstes, etc.</w:t>
      </w:r>
    </w:p>
    <w:p w14:paraId="6F268808" w14:textId="77777777" w:rsidR="007332E6" w:rsidRDefault="007332E6" w:rsidP="00CF7CF2">
      <w:pPr>
        <w:pStyle w:val="berschrift2"/>
      </w:pPr>
      <w:r>
        <w:t>Schritt 0: Leeres Projekt erzeugen</w:t>
      </w:r>
    </w:p>
    <w:p w14:paraId="343D7B57" w14:textId="77777777" w:rsidR="007332E6" w:rsidRPr="007332E6" w:rsidRDefault="007332E6" w:rsidP="007332E6">
      <w:r>
        <w:t xml:space="preserve">Der </w:t>
      </w:r>
      <w:r w:rsidRPr="007332E6">
        <w:t>Editor fordert den Benutzer auf, einen Namen für das zu modellierende Software-Projekt anzugeben und erzeugt ein leeres Projekt-Objekt, das in den folgenden Schritten mit modelliert wird</w:t>
      </w:r>
    </w:p>
    <w:p w14:paraId="35B189C1" w14:textId="77777777" w:rsidR="00CF7CF2" w:rsidRPr="00B9431D" w:rsidRDefault="00CF7CF2" w:rsidP="00CF7CF2">
      <w:pPr>
        <w:pStyle w:val="berschrift2"/>
      </w:pPr>
      <w:r w:rsidRPr="00B9431D">
        <w:t>Schritt 1: Identifizieren relevanter Stakeholder</w:t>
      </w:r>
    </w:p>
    <w:p w14:paraId="76FE8016" w14:textId="77777777" w:rsidR="00B06DC2" w:rsidRDefault="00CF7CF2" w:rsidP="00CF7CF2">
      <w:r w:rsidRPr="00B9431D">
        <w:rPr>
          <w:b/>
        </w:rPr>
        <w:t>Stakeholder</w:t>
      </w:r>
      <w:r w:rsidRPr="00B9431D">
        <w:t xml:space="preserve"> werden in einer Liste geführt</w:t>
      </w:r>
      <w:r w:rsidR="00B06DC2">
        <w:t>, in der verschiedene Benutzergruppen des Systems oder von Teilsystemen</w:t>
      </w:r>
      <w:r w:rsidR="00C94E34">
        <w:t xml:space="preserve"> explizit</w:t>
      </w:r>
      <w:r w:rsidR="00B06DC2">
        <w:t xml:space="preserve"> gekennzeichnet werden sollten</w:t>
      </w:r>
      <w:r w:rsidR="00C94E34">
        <w:t xml:space="preserve"> (nicht jeder Stakeholder tritt zwingend als Benutzer auf)</w:t>
      </w:r>
      <w:r w:rsidRPr="00B9431D">
        <w:t xml:space="preserve">. </w:t>
      </w:r>
      <w:commentRangeStart w:id="0"/>
      <w:r w:rsidRPr="00B06DC2">
        <w:t xml:space="preserve">Für die Modellierung rechtlicher Rahmenbedingungen </w:t>
      </w:r>
      <w:r w:rsidR="00B06DC2" w:rsidRPr="00B06DC2">
        <w:t xml:space="preserve">als nicht-verhandelbare/verpflichtende nicht-funktionale Anforderungen </w:t>
      </w:r>
      <w:r w:rsidRPr="00B06DC2">
        <w:t xml:space="preserve">wird das </w:t>
      </w:r>
      <w:r w:rsidRPr="00710234">
        <w:rPr>
          <w:b/>
          <w:highlight w:val="yellow"/>
        </w:rPr>
        <w:t>Recht als separater Stakeholder</w:t>
      </w:r>
      <w:r w:rsidRPr="00710234">
        <w:rPr>
          <w:highlight w:val="yellow"/>
        </w:rPr>
        <w:t xml:space="preserve"> eingef</w:t>
      </w:r>
      <w:r w:rsidR="00B06DC2" w:rsidRPr="00710234">
        <w:rPr>
          <w:highlight w:val="yellow"/>
        </w:rPr>
        <w:t>ührt.</w:t>
      </w:r>
      <w:commentRangeEnd w:id="0"/>
      <w:r w:rsidR="009817A4">
        <w:rPr>
          <w:rStyle w:val="Kommentarzeichen"/>
        </w:rPr>
        <w:commentReference w:id="0"/>
      </w:r>
    </w:p>
    <w:p w14:paraId="1C84B711" w14:textId="77777777" w:rsidR="007332E6" w:rsidRDefault="007332E6" w:rsidP="007332E6">
      <w:r>
        <w:t xml:space="preserve">Der </w:t>
      </w:r>
      <w:r w:rsidRPr="007332E6">
        <w:rPr>
          <w:lang w:val="x-none"/>
        </w:rPr>
        <w:t>Editor fordert den Benutzer auf, eine L</w:t>
      </w:r>
      <w:r>
        <w:rPr>
          <w:lang w:val="x-none"/>
        </w:rPr>
        <w:t>iste von Stakeholdern anzulegen</w:t>
      </w:r>
      <w:r>
        <w:t>:</w:t>
      </w:r>
    </w:p>
    <w:p w14:paraId="2A6FD062" w14:textId="77777777" w:rsidR="007332E6" w:rsidRPr="007332E6" w:rsidRDefault="007332E6" w:rsidP="007332E6">
      <w:pPr>
        <w:pStyle w:val="Listenabsatz"/>
        <w:numPr>
          <w:ilvl w:val="0"/>
          <w:numId w:val="2"/>
        </w:numPr>
      </w:pPr>
      <w:r w:rsidRPr="007332E6">
        <w:rPr>
          <w:lang w:val="x-none"/>
        </w:rPr>
        <w:t>Stakeholder sind Personengruppen, die in irgendeiner Beziehung zum geplanten System stehen (Benutzer, Betreiber, Betroffene,  Administratoren, etc.)</w:t>
      </w:r>
    </w:p>
    <w:p w14:paraId="1E9A04D6" w14:textId="77777777" w:rsidR="007332E6" w:rsidRPr="007332E6" w:rsidRDefault="007332E6" w:rsidP="007332E6">
      <w:pPr>
        <w:pStyle w:val="Listenabsatz"/>
        <w:numPr>
          <w:ilvl w:val="0"/>
          <w:numId w:val="2"/>
        </w:numPr>
      </w:pPr>
      <w:r w:rsidRPr="007332E6">
        <w:rPr>
          <w:lang w:val="x-none"/>
        </w:rPr>
        <w:t>Stakeholder müssen nicht zwangsläufig selbst Benutzer des Systems sein</w:t>
      </w:r>
    </w:p>
    <w:p w14:paraId="15B8594A" w14:textId="77777777" w:rsidR="007332E6" w:rsidRPr="007332E6" w:rsidRDefault="007332E6" w:rsidP="007332E6">
      <w:pPr>
        <w:pStyle w:val="Listenabsatz"/>
        <w:numPr>
          <w:ilvl w:val="0"/>
          <w:numId w:val="2"/>
        </w:numPr>
      </w:pPr>
      <w:r>
        <w:rPr>
          <w:lang w:val="x-none"/>
        </w:rPr>
        <w:t>Das "Recht"/der “</w:t>
      </w:r>
      <w:r>
        <w:t xml:space="preserve">Gesetzgeber“ </w:t>
      </w:r>
      <w:r w:rsidRPr="007332E6">
        <w:rPr>
          <w:lang w:val="x-none"/>
        </w:rPr>
        <w:t>ist in dieser Liste schon vorgegeben</w:t>
      </w:r>
    </w:p>
    <w:p w14:paraId="5C4633AA" w14:textId="77777777" w:rsidR="007332E6" w:rsidRPr="007332E6" w:rsidRDefault="007332E6" w:rsidP="007332E6">
      <w:pPr>
        <w:pStyle w:val="Listenabsatz"/>
        <w:numPr>
          <w:ilvl w:val="0"/>
          <w:numId w:val="2"/>
        </w:numPr>
      </w:pPr>
      <w:r w:rsidRPr="007332E6">
        <w:rPr>
          <w:lang w:val="x-none"/>
        </w:rPr>
        <w:t xml:space="preserve">Stakeholder, zu denen in Schritt 3 keine Soft-Goals zugeordnet werden, können </w:t>
      </w:r>
      <w:r>
        <w:t xml:space="preserve">anschließend wieder </w:t>
      </w:r>
      <w:r w:rsidRPr="007332E6">
        <w:rPr>
          <w:lang w:val="x-none"/>
        </w:rPr>
        <w:t>gelöscht werden</w:t>
      </w:r>
    </w:p>
    <w:p w14:paraId="0C38DB0D" w14:textId="77777777" w:rsidR="00CF7CF2" w:rsidRPr="00B9431D" w:rsidRDefault="00CF7CF2" w:rsidP="00CF7CF2">
      <w:pPr>
        <w:pStyle w:val="berschrift2"/>
      </w:pPr>
      <w:r>
        <w:t>Schritt 2</w:t>
      </w:r>
      <w:r w:rsidRPr="00B9431D">
        <w:t>:</w:t>
      </w:r>
      <w:r>
        <w:t xml:space="preserve"> Identifizieren der Schutzgüter</w:t>
      </w:r>
    </w:p>
    <w:p w14:paraId="7C383079" w14:textId="77777777" w:rsidR="00CF7CF2" w:rsidRDefault="00CF7CF2" w:rsidP="00CF7CF2">
      <w:r>
        <w:t xml:space="preserve">Auf Basis der vorausgesetzten Beschreibung des Projekts sind nun die </w:t>
      </w:r>
      <w:r w:rsidRPr="00B9431D">
        <w:rPr>
          <w:b/>
        </w:rPr>
        <w:t>Schutzgüter</w:t>
      </w:r>
      <w:r>
        <w:t xml:space="preserve"> zu </w:t>
      </w:r>
      <w:r w:rsidRPr="00B9431D">
        <w:t>identifizieren</w:t>
      </w:r>
      <w:r>
        <w:t xml:space="preserve">. Sie sind eine Teilmenge der durch das Zielsystem verarbeiteten Daten. </w:t>
      </w:r>
    </w:p>
    <w:p w14:paraId="12A89F5A" w14:textId="77777777" w:rsidR="007332E6" w:rsidRDefault="007332E6" w:rsidP="007332E6">
      <w:r>
        <w:t>Der Editor fordert den Benutzer auf, eine Liste von Schutzgütern anzulegen:</w:t>
      </w:r>
    </w:p>
    <w:p w14:paraId="69F5E9E1" w14:textId="77777777" w:rsidR="007332E6" w:rsidRDefault="007332E6" w:rsidP="00CF7CF2">
      <w:pPr>
        <w:pStyle w:val="Listenabsatz"/>
        <w:numPr>
          <w:ilvl w:val="0"/>
          <w:numId w:val="3"/>
        </w:numPr>
      </w:pPr>
      <w:r>
        <w:t>Ein Schutzgut ist eine Klasse/Kategorie von Daten, die das geplante System verarbeiten soll und die für einen der Stakeholder irgendeinen Wert hat</w:t>
      </w:r>
    </w:p>
    <w:p w14:paraId="1A1A40B2" w14:textId="77777777" w:rsidR="00CF7CF2" w:rsidRDefault="00CF7CF2" w:rsidP="00CF7CF2">
      <w:pPr>
        <w:pStyle w:val="berschrift2"/>
      </w:pPr>
      <w:r>
        <w:lastRenderedPageBreak/>
        <w:t>Schritt 3</w:t>
      </w:r>
      <w:r w:rsidRPr="00B9431D">
        <w:t>:</w:t>
      </w:r>
      <w:r>
        <w:t xml:space="preserve"> Identifizieren von Schutzzielen und Formulierung als Soft-Goals</w:t>
      </w:r>
    </w:p>
    <w:p w14:paraId="7C30ABFA" w14:textId="77777777" w:rsidR="00CF7CF2" w:rsidRDefault="00CF7CF2" w:rsidP="00CF7CF2">
      <w:pPr>
        <w:rPr>
          <w:rFonts w:ascii="Arial" w:hAnsi="Arial" w:cs="Arial"/>
        </w:rPr>
      </w:pPr>
      <w:r w:rsidRPr="003B5DA4">
        <w:rPr>
          <w:b/>
        </w:rPr>
        <w:t>Soft-Goals</w:t>
      </w:r>
      <w:r>
        <w:t xml:space="preserve"> ordnen den Schutzgütern </w:t>
      </w:r>
      <w:r w:rsidRPr="003B5DA4">
        <w:rPr>
          <w:b/>
        </w:rPr>
        <w:t>Schutzziele</w:t>
      </w:r>
      <w:r>
        <w:t xml:space="preserve"> aus der Menge </w:t>
      </w:r>
      <w:r w:rsidRPr="003B5DA4">
        <w:rPr>
          <w:rFonts w:cstheme="minorHAnsi"/>
          <w:b/>
        </w:rPr>
        <w:t>{Vertraulichkeit, Integrität und Authentizität}</w:t>
      </w:r>
      <w:r>
        <w:rPr>
          <w:rFonts w:ascii="Arial" w:hAnsi="Arial" w:cs="Arial"/>
        </w:rPr>
        <w:t xml:space="preserve"> zu</w:t>
      </w:r>
      <w:r w:rsidR="00B17F07">
        <w:rPr>
          <w:rFonts w:ascii="Arial" w:hAnsi="Arial" w:cs="Arial"/>
        </w:rPr>
        <w:t>.</w:t>
      </w:r>
      <w:r w:rsidR="007332E6">
        <w:rPr>
          <w:rFonts w:ascii="Arial" w:hAnsi="Arial" w:cs="Arial"/>
        </w:rPr>
        <w:t xml:space="preserve"> </w:t>
      </w:r>
      <w:r w:rsidR="00530AEA" w:rsidRPr="00530AEA">
        <w:rPr>
          <w:rFonts w:ascii="Arial" w:hAnsi="Arial" w:cs="Arial"/>
        </w:rPr>
        <w:t xml:space="preserve">Ein </w:t>
      </w:r>
      <w:r w:rsidR="00530AEA">
        <w:rPr>
          <w:rFonts w:ascii="Arial" w:hAnsi="Arial" w:cs="Arial"/>
        </w:rPr>
        <w:t>Soft-Goal</w:t>
      </w:r>
      <w:r w:rsidR="00530AEA" w:rsidRPr="00530AEA">
        <w:rPr>
          <w:rFonts w:ascii="Arial" w:hAnsi="Arial" w:cs="Arial"/>
        </w:rPr>
        <w:t xml:space="preserve"> wird somit dargestellt als D</w:t>
      </w:r>
      <w:r w:rsidR="00530AEA">
        <w:rPr>
          <w:rFonts w:ascii="Arial" w:hAnsi="Arial" w:cs="Arial"/>
        </w:rPr>
        <w:t>atum bzw. Datenklasse, die einem Schutzziel</w:t>
      </w:r>
      <w:r w:rsidR="00530AEA" w:rsidRPr="00530AEA">
        <w:rPr>
          <w:rFonts w:ascii="Arial" w:hAnsi="Arial" w:cs="Arial"/>
        </w:rPr>
        <w:t xml:space="preserve"> und einem oder mehre</w:t>
      </w:r>
      <w:r w:rsidR="00B17F07">
        <w:rPr>
          <w:rFonts w:ascii="Arial" w:hAnsi="Arial" w:cs="Arial"/>
        </w:rPr>
        <w:t>ren Stakeholdern zugeordnet ist</w:t>
      </w:r>
      <w:r w:rsidR="00530AEA" w:rsidRPr="00530AEA">
        <w:rPr>
          <w:rFonts w:ascii="Arial" w:hAnsi="Arial" w:cs="Arial"/>
        </w:rPr>
        <w:t>. Diese Zuordnung zu Stakeholdern wird für die Erstellung eines Vertrauensmodells benötigt (vgl. Schritt 6).</w:t>
      </w:r>
    </w:p>
    <w:p w14:paraId="72428250" w14:textId="77777777" w:rsidR="007332E6" w:rsidRDefault="007332E6" w:rsidP="007332E6">
      <w:pPr>
        <w:rPr>
          <w:rFonts w:ascii="Arial" w:hAnsi="Arial" w:cs="Arial"/>
        </w:rPr>
      </w:pPr>
      <w:r>
        <w:rPr>
          <w:rFonts w:ascii="Arial" w:hAnsi="Arial" w:cs="Arial"/>
        </w:rPr>
        <w:t xml:space="preserve">Der </w:t>
      </w:r>
      <w:r w:rsidRPr="007332E6">
        <w:rPr>
          <w:rFonts w:ascii="Arial" w:hAnsi="Arial" w:cs="Arial"/>
        </w:rPr>
        <w:t>Editor fordert den Benutzer auf, den Schutzgütern Schutzziele zuzuordnen</w:t>
      </w:r>
      <w:r>
        <w:rPr>
          <w:rFonts w:ascii="Arial" w:hAnsi="Arial" w:cs="Arial"/>
        </w:rPr>
        <w:t>:</w:t>
      </w:r>
    </w:p>
    <w:p w14:paraId="7C8E37DC" w14:textId="77777777" w:rsidR="007332E6" w:rsidRDefault="007332E6" w:rsidP="007332E6">
      <w:pPr>
        <w:pStyle w:val="Listenabsatz"/>
        <w:numPr>
          <w:ilvl w:val="0"/>
          <w:numId w:val="3"/>
        </w:numPr>
        <w:rPr>
          <w:rFonts w:ascii="Arial" w:hAnsi="Arial" w:cs="Arial"/>
        </w:rPr>
      </w:pPr>
      <w:r w:rsidRPr="007332E6">
        <w:rPr>
          <w:rFonts w:ascii="Arial" w:hAnsi="Arial" w:cs="Arial"/>
        </w:rPr>
        <w:t>Für jedes Schutzgut soll der Benutzer selektieren können, welche der Schutzziele "Vertraulichkeit", "Integrität" und "Authentizität" durch das geplante System erreicht werden sollen</w:t>
      </w:r>
    </w:p>
    <w:p w14:paraId="7701FC6A" w14:textId="77777777" w:rsidR="007332E6" w:rsidRDefault="007332E6" w:rsidP="007332E6">
      <w:pPr>
        <w:pStyle w:val="Listenabsatz"/>
        <w:numPr>
          <w:ilvl w:val="0"/>
          <w:numId w:val="3"/>
        </w:numPr>
        <w:rPr>
          <w:rFonts w:ascii="Arial" w:hAnsi="Arial" w:cs="Arial"/>
        </w:rPr>
      </w:pPr>
      <w:r w:rsidRPr="007332E6">
        <w:rPr>
          <w:rFonts w:ascii="Arial" w:hAnsi="Arial" w:cs="Arial"/>
        </w:rPr>
        <w:t>E</w:t>
      </w:r>
      <w:r w:rsidR="00223DB6">
        <w:rPr>
          <w:rFonts w:ascii="Arial" w:hAnsi="Arial" w:cs="Arial"/>
        </w:rPr>
        <w:t>in Tupel (Schutzgut, Schutzziel</w:t>
      </w:r>
      <w:r w:rsidRPr="007332E6">
        <w:rPr>
          <w:rFonts w:ascii="Arial" w:hAnsi="Arial" w:cs="Arial"/>
        </w:rPr>
        <w:t>) nennen wir Soft-Goal</w:t>
      </w:r>
    </w:p>
    <w:p w14:paraId="223D5456" w14:textId="77777777" w:rsidR="007332E6" w:rsidRPr="007332E6" w:rsidRDefault="007332E6" w:rsidP="007332E6">
      <w:pPr>
        <w:pStyle w:val="Listenabsatz"/>
        <w:numPr>
          <w:ilvl w:val="0"/>
          <w:numId w:val="3"/>
        </w:numPr>
        <w:rPr>
          <w:rFonts w:ascii="Arial" w:hAnsi="Arial" w:cs="Arial"/>
        </w:rPr>
      </w:pPr>
      <w:r w:rsidRPr="007332E6">
        <w:rPr>
          <w:rFonts w:ascii="Arial" w:hAnsi="Arial" w:cs="Arial"/>
        </w:rPr>
        <w:t>Jedes Soft-Goal muss der Benutzer des Editors einem Stakeholder zuordnen, so dass nachvollzogen werden kann, woher das Soft-Goal kommt</w:t>
      </w:r>
    </w:p>
    <w:p w14:paraId="25D93B63" w14:textId="77777777" w:rsidR="00CF7CF2" w:rsidRDefault="00CF7CF2" w:rsidP="00CF7CF2">
      <w:pPr>
        <w:pStyle w:val="berschrift2"/>
      </w:pPr>
      <w:r>
        <w:t>Schritt 4</w:t>
      </w:r>
      <w:r w:rsidRPr="00B9431D">
        <w:t>:</w:t>
      </w:r>
      <w:r w:rsidR="0077226B">
        <w:t xml:space="preserve"> Identifizieren sicherheitsrelevanter funktionaler </w:t>
      </w:r>
      <w:r>
        <w:t>Anforderungen</w:t>
      </w:r>
    </w:p>
    <w:p w14:paraId="19C81E22" w14:textId="77777777" w:rsidR="00CF7CF2" w:rsidRDefault="00CF7CF2" w:rsidP="00CF7CF2">
      <w:r>
        <w:t xml:space="preserve">Aus der vorausgesetzten Dokumentation des Projekts werden </w:t>
      </w:r>
      <w:r w:rsidRPr="003B5DA4">
        <w:rPr>
          <w:b/>
        </w:rPr>
        <w:t>funktionale Anforderungen</w:t>
      </w:r>
      <w:r>
        <w:t xml:space="preserve"> identifiziert, welche Verarbeitungen von Schutzgütern darstellen. Idealerweise kann eine funktionale Anforderung bereits zu einer konkreten </w:t>
      </w:r>
      <w:r w:rsidRPr="003B5DA4">
        <w:rPr>
          <w:b/>
        </w:rPr>
        <w:t>Software-Komponente</w:t>
      </w:r>
      <w:r>
        <w:t xml:space="preserve"> assoziiert werden.</w:t>
      </w:r>
    </w:p>
    <w:p w14:paraId="2D38B7AC" w14:textId="77777777" w:rsidR="00530AEA" w:rsidRPr="00530AEA" w:rsidRDefault="00530AEA" w:rsidP="00530AEA">
      <w:pPr>
        <w:spacing w:after="0" w:line="240" w:lineRule="auto"/>
        <w:textAlignment w:val="center"/>
        <w:rPr>
          <w:rFonts w:ascii="Calibri" w:eastAsia="Times New Roman" w:hAnsi="Calibri" w:cs="Calibri"/>
          <w:lang w:eastAsia="de-DE"/>
        </w:rPr>
      </w:pPr>
      <w:r w:rsidRPr="00530AEA">
        <w:rPr>
          <w:rFonts w:ascii="Calibri" w:eastAsia="Times New Roman" w:hAnsi="Calibri" w:cs="Calibri"/>
          <w:lang w:val="x-none" w:eastAsia="de-DE"/>
        </w:rPr>
        <w:t>Der Editor fordert den Benutzer auf, eine Liste funktionaler Anforderungen anzulegen</w:t>
      </w:r>
      <w:r>
        <w:rPr>
          <w:rFonts w:ascii="Calibri" w:eastAsia="Times New Roman" w:hAnsi="Calibri" w:cs="Calibri"/>
          <w:lang w:eastAsia="de-DE"/>
        </w:rPr>
        <w:t>:</w:t>
      </w:r>
    </w:p>
    <w:p w14:paraId="73EB1999" w14:textId="77777777" w:rsidR="00530AEA" w:rsidRDefault="00530AEA" w:rsidP="00530AEA">
      <w:pPr>
        <w:pStyle w:val="Listenabsatz"/>
        <w:numPr>
          <w:ilvl w:val="0"/>
          <w:numId w:val="4"/>
        </w:numPr>
        <w:spacing w:after="0" w:line="240" w:lineRule="auto"/>
        <w:textAlignment w:val="center"/>
        <w:rPr>
          <w:rFonts w:ascii="Calibri" w:eastAsia="Times New Roman" w:hAnsi="Calibri" w:cs="Calibri"/>
          <w:lang w:val="x-none" w:eastAsia="de-DE"/>
        </w:rPr>
      </w:pPr>
      <w:r w:rsidRPr="00530AEA">
        <w:rPr>
          <w:rFonts w:ascii="Calibri" w:eastAsia="Times New Roman" w:hAnsi="Calibri" w:cs="Calibri"/>
          <w:lang w:val="x-none" w:eastAsia="de-DE"/>
        </w:rPr>
        <w:t>Der Benutzer des Editors sollte hier z.B. ein Pflichtenheft durchgehen und alle funktionalen Anforderungen identifizieren, die eines der Schutzgüter betreffen bzw. verarbeiten</w:t>
      </w:r>
    </w:p>
    <w:p w14:paraId="1D41F3CD" w14:textId="77777777" w:rsidR="00530AEA" w:rsidRPr="00530AEA" w:rsidRDefault="00530AEA" w:rsidP="00530AEA">
      <w:pPr>
        <w:pStyle w:val="Listenabsatz"/>
        <w:numPr>
          <w:ilvl w:val="0"/>
          <w:numId w:val="4"/>
        </w:numPr>
        <w:spacing w:after="0" w:line="240" w:lineRule="auto"/>
        <w:textAlignment w:val="center"/>
        <w:rPr>
          <w:rFonts w:ascii="Calibri" w:eastAsia="Times New Roman" w:hAnsi="Calibri" w:cs="Calibri"/>
          <w:lang w:val="x-none" w:eastAsia="de-DE"/>
        </w:rPr>
      </w:pPr>
      <w:r w:rsidRPr="00530AEA">
        <w:rPr>
          <w:rFonts w:ascii="Calibri" w:eastAsia="Times New Roman" w:hAnsi="Calibri" w:cs="Calibri"/>
          <w:lang w:val="x-none" w:eastAsia="de-DE"/>
        </w:rPr>
        <w:t>Optional soll der Benutzer jede funktionale Anforderung einer Komponente des geplanten Systems zuordnen können (z.B. Benutzeroberfläche, Backend</w:t>
      </w:r>
      <w:r w:rsidR="009843C5">
        <w:rPr>
          <w:rFonts w:ascii="Calibri" w:eastAsia="Times New Roman" w:hAnsi="Calibri" w:cs="Calibri"/>
          <w:lang w:eastAsia="de-DE"/>
        </w:rPr>
        <w:t>, Dienst,</w:t>
      </w:r>
      <w:r w:rsidRPr="00530AEA">
        <w:rPr>
          <w:rFonts w:ascii="Calibri" w:eastAsia="Times New Roman" w:hAnsi="Calibri" w:cs="Calibri"/>
          <w:lang w:val="x-none" w:eastAsia="de-DE"/>
        </w:rPr>
        <w:t xml:space="preserve"> …)</w:t>
      </w:r>
    </w:p>
    <w:p w14:paraId="0632C4A3" w14:textId="77777777" w:rsidR="00530AEA" w:rsidRPr="00530AEA" w:rsidRDefault="00530AEA" w:rsidP="00CF7CF2">
      <w:pPr>
        <w:rPr>
          <w:lang w:val="x-none"/>
        </w:rPr>
      </w:pPr>
    </w:p>
    <w:p w14:paraId="64AE476D" w14:textId="77777777" w:rsidR="0058341D" w:rsidRPr="00B17F07" w:rsidRDefault="00B17F07" w:rsidP="00CF7CF2">
      <w:pPr>
        <w:rPr>
          <w:lang w:val="x-none"/>
        </w:rPr>
      </w:pPr>
      <w:r>
        <w:rPr>
          <w:noProof/>
          <w:lang w:eastAsia="de-DE"/>
        </w:rPr>
        <w:lastRenderedPageBreak/>
        <w:drawing>
          <wp:inline distT="0" distB="0" distL="0" distR="0" wp14:anchorId="0E724154" wp14:editId="5040FEF8">
            <wp:extent cx="5095545" cy="621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948" cy="6215872"/>
                    </a:xfrm>
                    <a:prstGeom prst="rect">
                      <a:avLst/>
                    </a:prstGeom>
                    <a:noFill/>
                  </pic:spPr>
                </pic:pic>
              </a:graphicData>
            </a:graphic>
          </wp:inline>
        </w:drawing>
      </w:r>
    </w:p>
    <w:p w14:paraId="0CF712DE" w14:textId="77777777" w:rsidR="000843FC" w:rsidRDefault="009E4205" w:rsidP="000843FC">
      <w:pPr>
        <w:pStyle w:val="berschrift2"/>
      </w:pPr>
      <w:r>
        <w:t>Schritt 5</w:t>
      </w:r>
      <w:r w:rsidR="000843FC" w:rsidRPr="00B9431D">
        <w:t>:</w:t>
      </w:r>
      <w:r w:rsidR="000843FC">
        <w:t xml:space="preserve"> Identifizieren von Hard-Goals</w:t>
      </w:r>
    </w:p>
    <w:p w14:paraId="7D9B8232" w14:textId="77777777" w:rsidR="00B80DF8" w:rsidRDefault="000843FC" w:rsidP="0058341D">
      <w:r>
        <w:t xml:space="preserve">Soft-Goals und funktionale Anforderungen werden in einer Matrix dargestellt. Durch die Beziehung der funktionalen Anforderungen auf SGs werden </w:t>
      </w:r>
      <w:r w:rsidRPr="003B5DA4">
        <w:rPr>
          <w:b/>
        </w:rPr>
        <w:t>Hard-Goals (HG)</w:t>
      </w:r>
      <w:r>
        <w:t xml:space="preserve"> identifiziert. HGs werden anschließend als Anforderung an eine Komponente formuliert, die bei der Implementierung einer bestimmten Funktionalität ein bestimmtes Soft-Goal </w:t>
      </w:r>
      <w:r w:rsidRPr="00552BD6">
        <w:t xml:space="preserve">sicherstellt </w:t>
      </w:r>
      <w:r w:rsidRPr="00552BD6">
        <w:rPr>
          <w:b/>
        </w:rPr>
        <w:t>(hierfür wird im Anhang ein Vokabular vorgeschlagen</w:t>
      </w:r>
      <w:r w:rsidRPr="00552BD6">
        <w:t>)</w:t>
      </w:r>
      <w:r w:rsidR="00B80DF8">
        <w:t>.</w:t>
      </w:r>
    </w:p>
    <w:p w14:paraId="51DEB72B" w14:textId="77777777" w:rsidR="00537B7A" w:rsidRDefault="00537B7A" w:rsidP="0058341D">
      <w:r>
        <w:t>Der Editor zeigt dem Benutzer in Schritt 5 eine Matrix mit den Soft-Goals und den funkti</w:t>
      </w:r>
      <w:r w:rsidR="00076E64">
        <w:t>onalen Anforderungen an. Durch die</w:t>
      </w:r>
      <w:r>
        <w:t xml:space="preserve"> Zuordnung von SGs zu funktionalen Anforderungen </w:t>
      </w:r>
      <w:r w:rsidR="00076E64">
        <w:t>erzeugt der Benutzer des Editors Hard-Goals. Um diese HGs genauer zu spezifizieren, muss der Benutzer die in der Matrix markierten Kombinationen nochmals durchgehen und jeweils eine Komponente angeben (falls noch nicht geschehen), in der die funktionale Anforderung implementiert werden soll, und eine durch das Vokabular (s. Anhang) vorgegebene Formulierung auswählen (orange eingefärbte Blöcke, also z.B. „stellt Schutzziel sicher“).</w:t>
      </w:r>
    </w:p>
    <w:p w14:paraId="6825C1F6" w14:textId="77777777" w:rsidR="003B5DA4" w:rsidRDefault="00C46C6B" w:rsidP="003B5DA4">
      <w:pPr>
        <w:pStyle w:val="berschrift2"/>
      </w:pPr>
      <w:r w:rsidRPr="009817A4">
        <w:lastRenderedPageBreak/>
        <w:t>Schritt 6</w:t>
      </w:r>
      <w:r w:rsidR="003B5DA4" w:rsidRPr="009817A4">
        <w:t>: Dekomposition von Hard-Goals und Wahl von Black-Box-Mechanismen</w:t>
      </w:r>
    </w:p>
    <w:p w14:paraId="0B8EF64D" w14:textId="77777777" w:rsidR="003B5DA4" w:rsidRDefault="003B5DA4" w:rsidP="003B5DA4">
      <w:r>
        <w:t xml:space="preserve">Die Dekomposition von Hard-Goals stellt eine iterative Abarbeitung der HG-Liste da. Hierbei </w:t>
      </w:r>
      <w:r w:rsidR="00B80DF8">
        <w:t xml:space="preserve">wird für jedes HG </w:t>
      </w:r>
      <w:r>
        <w:t xml:space="preserve">ein </w:t>
      </w:r>
      <w:r w:rsidRPr="003B5DA4">
        <w:rPr>
          <w:b/>
        </w:rPr>
        <w:t>Black-Box-Mechanismus (BBM)</w:t>
      </w:r>
      <w:r>
        <w:t xml:space="preserve"> gewählt. Ein BBM steht stellvertretend für eine Klasse von Mechanismen (bspw. asymmetrische Verschlüsselung), die die Erfüllung eines S</w:t>
      </w:r>
      <w:r w:rsidR="009C2575">
        <w:t xml:space="preserve">chutzziels </w:t>
      </w:r>
      <w:r>
        <w:t xml:space="preserve">garantieren. Die Sicherheit eines BBM beruht üblicherweise auf </w:t>
      </w:r>
      <w:r w:rsidRPr="003B5DA4">
        <w:rPr>
          <w:b/>
        </w:rPr>
        <w:t>Annahmen</w:t>
      </w:r>
      <w:r>
        <w:t xml:space="preserve">. Annahmen sind entweder fundamentaler oder separierender Natur. </w:t>
      </w:r>
      <w:r w:rsidRPr="003B5DA4">
        <w:rPr>
          <w:b/>
        </w:rPr>
        <w:t>Fundamentale Annahmen</w:t>
      </w:r>
      <w:r>
        <w:t xml:space="preserve"> sind grundlegende Voraussetzungen für die Sicherheit von BBM (bspw. das Faktorisierungsproblem), die zu dokumentieren sind</w:t>
      </w:r>
      <w:r w:rsidRPr="003B5DA4">
        <w:rPr>
          <w:b/>
        </w:rPr>
        <w:t>. Separierende Annahmen</w:t>
      </w:r>
      <w:r>
        <w:t xml:space="preserve"> beziehen sich auf nachgelagerte Sicherheitsprobleme, für welche die Existenz von Lösungen angenommen wird, so dass diese als zusätzliche HGs (</w:t>
      </w:r>
      <w:r w:rsidRPr="003B5DA4">
        <w:rPr>
          <w:b/>
        </w:rPr>
        <w:t>abgeleitete HGs</w:t>
      </w:r>
      <w:r>
        <w:t>) behandelt und weiter dekomponiert werden müssen.</w:t>
      </w:r>
    </w:p>
    <w:p w14:paraId="068BAC16" w14:textId="77777777" w:rsidR="00D6234F" w:rsidRPr="00EE7F64" w:rsidRDefault="00D6234F" w:rsidP="003B5DA4">
      <w:pPr>
        <w:rPr>
          <w:b/>
        </w:rPr>
      </w:pPr>
      <w:r>
        <w:t xml:space="preserve">Es kann </w:t>
      </w:r>
      <w:r w:rsidR="00AB408C">
        <w:t xml:space="preserve">sich herausstellen, dass </w:t>
      </w:r>
      <w:r w:rsidR="00AB408C" w:rsidRPr="00AD30FB">
        <w:rPr>
          <w:b/>
        </w:rPr>
        <w:t>e</w:t>
      </w:r>
      <w:r w:rsidRPr="00AD30FB">
        <w:rPr>
          <w:b/>
        </w:rPr>
        <w:t>in HG</w:t>
      </w:r>
      <w:r w:rsidR="00AB408C" w:rsidRPr="00AD30FB">
        <w:rPr>
          <w:b/>
        </w:rPr>
        <w:t xml:space="preserve"> </w:t>
      </w:r>
      <w:r w:rsidRPr="00AD30FB">
        <w:rPr>
          <w:b/>
        </w:rPr>
        <w:t>n</w:t>
      </w:r>
      <w:r w:rsidR="00AB408C" w:rsidRPr="00AD30FB">
        <w:rPr>
          <w:b/>
        </w:rPr>
        <w:t xml:space="preserve">icht adressiert </w:t>
      </w:r>
      <w:r w:rsidR="00AB408C">
        <w:t>we</w:t>
      </w:r>
      <w:r w:rsidR="00BF66B2">
        <w:t>rd</w:t>
      </w:r>
      <w:r w:rsidR="00AB408C">
        <w:t>en kann</w:t>
      </w:r>
      <w:r w:rsidR="00BF66B2">
        <w:t xml:space="preserve">, </w:t>
      </w:r>
      <w:r w:rsidR="00F037EC">
        <w:t>bspw</w:t>
      </w:r>
      <w:r w:rsidR="00BF66B2">
        <w:t xml:space="preserve">. </w:t>
      </w:r>
      <w:r w:rsidR="00F037EC">
        <w:t>wenn</w:t>
      </w:r>
      <w:r>
        <w:t xml:space="preserve"> </w:t>
      </w:r>
      <w:r w:rsidR="00EE7F64">
        <w:t>dem Benutzer einer</w:t>
      </w:r>
      <w:r>
        <w:t xml:space="preserve"> Komponente </w:t>
      </w:r>
      <w:r w:rsidR="00EE7F64">
        <w:t xml:space="preserve">und der Laufzeitumgebung </w:t>
      </w:r>
      <w:r>
        <w:t xml:space="preserve">nicht vollständig vertraut </w:t>
      </w:r>
      <w:r w:rsidR="00EE7F64">
        <w:t>wird</w:t>
      </w:r>
      <w:r>
        <w:t xml:space="preserve"> oder </w:t>
      </w:r>
      <w:r w:rsidR="00AB408C">
        <w:t xml:space="preserve">auch </w:t>
      </w:r>
      <w:r>
        <w:t xml:space="preserve">weil der Sicherheitsgewinn den </w:t>
      </w:r>
      <w:r w:rsidR="00EE7F64">
        <w:t xml:space="preserve">durch die Integration geeigneter Mechanismen zu erwartenden </w:t>
      </w:r>
      <w:r>
        <w:t>Aufwand nicht rechtfertig</w:t>
      </w:r>
      <w:r w:rsidR="00AB408C">
        <w:t>t</w:t>
      </w:r>
      <w:r>
        <w:t>.</w:t>
      </w:r>
      <w:r w:rsidR="00AB408C">
        <w:t xml:space="preserve"> </w:t>
      </w:r>
      <w:r w:rsidR="00AB408C" w:rsidRPr="00AD30FB">
        <w:rPr>
          <w:b/>
        </w:rPr>
        <w:t>Bei einem abgeleiteten HG bedeutet dies, dass alle Vorgänger-HGs im betreffenden Ableitungsteilbaum nicht erfüllt sind</w:t>
      </w:r>
      <w:r w:rsidR="00EE7F64">
        <w:rPr>
          <w:b/>
        </w:rPr>
        <w:t>. Dies muss explizit zusammen mit den Annahmen dokumentiert werden, so dass das Restrisiko vollständig abgebildet wird.</w:t>
      </w:r>
    </w:p>
    <w:p w14:paraId="37557FBD" w14:textId="77777777" w:rsidR="003B5DA4" w:rsidRDefault="003B5DA4" w:rsidP="003B5DA4">
      <w:r>
        <w:t xml:space="preserve">BBM können weiterhin </w:t>
      </w:r>
      <w:r w:rsidRPr="003B5DA4">
        <w:rPr>
          <w:b/>
        </w:rPr>
        <w:t>zusätzliche Schutzgüter</w:t>
      </w:r>
      <w:r>
        <w:t xml:space="preserve"> benötigen (bspw. kryptographisches Schlüsselmaterial</w:t>
      </w:r>
      <w:r w:rsidR="005A5AD3">
        <w:t>, Passwort</w:t>
      </w:r>
      <w:r>
        <w:t xml:space="preserve">) oder </w:t>
      </w:r>
      <w:r w:rsidRPr="003B5DA4">
        <w:rPr>
          <w:b/>
        </w:rPr>
        <w:t>zusätzliche funktionale Anforderungen</w:t>
      </w:r>
      <w:r>
        <w:t xml:space="preserve"> (bspw. Importieren von Zertifikaten oder sonstiger Authentifizierungsmerkmale). Wurden zusätzliche Schutzgüter oder funktionale Anforderungen eingeführt, so muss eine </w:t>
      </w:r>
      <w:r w:rsidRPr="003B5DA4">
        <w:rPr>
          <w:b/>
        </w:rPr>
        <w:t>weitere Iteration des Prozesses ab Schritt 2</w:t>
      </w:r>
      <w:r>
        <w:t xml:space="preserve"> erfolgen. </w:t>
      </w:r>
    </w:p>
    <w:p w14:paraId="661254E4" w14:textId="77777777" w:rsidR="003B5DA4" w:rsidRDefault="00C46C6B" w:rsidP="003B5DA4">
      <w:pPr>
        <w:pStyle w:val="berschrift2"/>
      </w:pPr>
      <w:r>
        <w:t>Schritt 7</w:t>
      </w:r>
      <w:r w:rsidR="003B5DA4" w:rsidRPr="00B9431D">
        <w:t>:</w:t>
      </w:r>
      <w:r w:rsidR="003B5DA4">
        <w:t xml:space="preserve"> </w:t>
      </w:r>
      <w:r w:rsidR="00202365">
        <w:t>Garantien</w:t>
      </w:r>
    </w:p>
    <w:p w14:paraId="684FA9DC" w14:textId="77777777" w:rsidR="00B9431D" w:rsidRDefault="00202365" w:rsidP="00B9431D">
      <w:r>
        <w:t>Fundamentale Annahmen und nicht behandelte separierende Annahmen</w:t>
      </w:r>
      <w:r w:rsidR="005A5AD3">
        <w:t xml:space="preserve"> bzw. nicht erfüllte HGs</w:t>
      </w:r>
      <w:r>
        <w:t xml:space="preserve"> (bspw. falls die Sicherheit des Compilers oder des Betriebssystems nicht überprüft wird bzw. werden kann) müssen im Zuge der Dekomposition gesammelt und dokumentiert werden. Aus dieser Dokumentation ergeben sich die </w:t>
      </w:r>
      <w:r w:rsidRPr="00FA1086">
        <w:rPr>
          <w:b/>
        </w:rPr>
        <w:t>Sicherheitsgarantien</w:t>
      </w:r>
      <w:r>
        <w:t xml:space="preserve"> bzw. </w:t>
      </w:r>
      <w:r w:rsidR="005A5AD3" w:rsidRPr="005A5AD3">
        <w:t>die</w:t>
      </w:r>
      <w:r w:rsidR="005A5AD3">
        <w:rPr>
          <w:b/>
        </w:rPr>
        <w:t xml:space="preserve"> verbleibenden R</w:t>
      </w:r>
      <w:r w:rsidRPr="00FA1086">
        <w:rPr>
          <w:b/>
        </w:rPr>
        <w:t>isiken</w:t>
      </w:r>
      <w:r w:rsidR="005A5AD3">
        <w:t xml:space="preserve"> des Systementwurfs</w:t>
      </w:r>
      <w:r>
        <w:t>.</w:t>
      </w:r>
    </w:p>
    <w:p w14:paraId="53344080" w14:textId="77777777" w:rsidR="00294E24" w:rsidRDefault="00294E24">
      <w:r>
        <w:br w:type="page"/>
      </w:r>
    </w:p>
    <w:p w14:paraId="169B57B4" w14:textId="77777777" w:rsidR="00294E24" w:rsidRDefault="00294E24" w:rsidP="00294E24">
      <w:pPr>
        <w:pStyle w:val="berschrift2"/>
      </w:pPr>
      <w:r>
        <w:lastRenderedPageBreak/>
        <w:t>Anhang</w:t>
      </w:r>
    </w:p>
    <w:p w14:paraId="608048C4" w14:textId="77777777" w:rsidR="00294E24" w:rsidRDefault="00294E24" w:rsidP="00294E24"/>
    <w:p w14:paraId="34745FC5" w14:textId="77777777" w:rsidR="00294E24" w:rsidRPr="00294E24" w:rsidRDefault="00294E24" w:rsidP="00294E24">
      <w:pPr>
        <w:spacing w:after="0" w:line="240" w:lineRule="auto"/>
        <w:textAlignment w:val="center"/>
        <w:rPr>
          <w:rFonts w:ascii="Calibri" w:eastAsia="Times New Roman" w:hAnsi="Calibri" w:cs="Calibri"/>
          <w:lang w:eastAsia="de-DE"/>
        </w:rPr>
      </w:pPr>
      <w:r w:rsidRPr="00294E24">
        <w:rPr>
          <w:rFonts w:ascii="Calibri" w:eastAsia="Times New Roman" w:hAnsi="Calibri" w:cs="Calibri"/>
          <w:lang w:eastAsia="de-DE"/>
        </w:rPr>
        <w:t>HG-Vokabular</w:t>
      </w:r>
      <w:r>
        <w:rPr>
          <w:rFonts w:ascii="Calibri" w:eastAsia="Times New Roman" w:hAnsi="Calibri" w:cs="Calibri"/>
          <w:lang w:eastAsia="de-DE"/>
        </w:rPr>
        <w:t xml:space="preserve"> (vorläufig):</w:t>
      </w:r>
    </w:p>
    <w:p w14:paraId="6F8AD6DD"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cyan"/>
          <w:lang w:eastAsia="de-DE"/>
        </w:rPr>
        <w:t>Komponente</w:t>
      </w:r>
      <w:r w:rsidRPr="00294E24">
        <w:rPr>
          <w:rFonts w:ascii="Calibri" w:eastAsia="Times New Roman" w:hAnsi="Calibri" w:cs="Calibri"/>
          <w:shd w:val="clear" w:color="auto" w:fill="FFC000"/>
          <w:lang w:eastAsia="de-DE"/>
        </w:rPr>
        <w:t xml:space="preserve"> stellt Schutzziel</w:t>
      </w:r>
      <w:r w:rsidRPr="00294E24">
        <w:rPr>
          <w:rFonts w:ascii="Calibri" w:eastAsia="Times New Roman" w:hAnsi="Calibri" w:cs="Calibri"/>
          <w:highlight w:val="green"/>
          <w:lang w:eastAsia="de-DE"/>
        </w:rPr>
        <w:t xml:space="preserve"> für Schutzgut</w:t>
      </w:r>
      <w:r w:rsidRPr="00294E24">
        <w:rPr>
          <w:rFonts w:ascii="Calibri" w:eastAsia="Times New Roman" w:hAnsi="Calibri" w:cs="Calibri"/>
          <w:highlight w:val="red"/>
          <w:lang w:eastAsia="de-DE"/>
        </w:rPr>
        <w:t xml:space="preserve"> bei funktionaler Anforderung </w:t>
      </w:r>
      <w:r w:rsidRPr="00294E24">
        <w:rPr>
          <w:rFonts w:ascii="Calibri" w:eastAsia="Times New Roman" w:hAnsi="Calibri" w:cs="Calibri"/>
          <w:shd w:val="clear" w:color="auto" w:fill="FFC000"/>
          <w:lang w:eastAsia="de-DE"/>
        </w:rPr>
        <w:t>sicher</w:t>
      </w:r>
    </w:p>
    <w:p w14:paraId="3C61D55F"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cyan"/>
          <w:lang w:eastAsia="de-DE"/>
        </w:rPr>
        <w:t xml:space="preserve">Komponente </w:t>
      </w:r>
      <w:r w:rsidRPr="00294E24">
        <w:rPr>
          <w:rFonts w:ascii="Calibri" w:eastAsia="Times New Roman" w:hAnsi="Calibri" w:cs="Calibri"/>
          <w:shd w:val="clear" w:color="auto" w:fill="FFC000"/>
          <w:lang w:eastAsia="de-DE"/>
        </w:rPr>
        <w:t>erlaubt</w:t>
      </w:r>
      <w:r w:rsidRPr="00294E24">
        <w:rPr>
          <w:rFonts w:ascii="Calibri" w:eastAsia="Times New Roman" w:hAnsi="Calibri" w:cs="Calibri"/>
          <w:highlight w:val="red"/>
          <w:lang w:eastAsia="de-DE"/>
        </w:rPr>
        <w:t xml:space="preserve"> funktionale Anforderung</w:t>
      </w:r>
      <w:r w:rsidRPr="00294E24">
        <w:rPr>
          <w:rFonts w:ascii="Calibri" w:eastAsia="Times New Roman" w:hAnsi="Calibri" w:cs="Calibri"/>
          <w:highlight w:val="green"/>
          <w:lang w:eastAsia="de-DE"/>
        </w:rPr>
        <w:t xml:space="preserve"> für Schutzgut</w:t>
      </w:r>
    </w:p>
    <w:p w14:paraId="1043655F" w14:textId="77777777" w:rsidR="00294E24" w:rsidRPr="00294E24" w:rsidRDefault="00294E24" w:rsidP="00294E24">
      <w:pPr>
        <w:numPr>
          <w:ilvl w:val="1"/>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lang w:eastAsia="de-DE"/>
        </w:rPr>
        <w:t>Für Stakeholder?</w:t>
      </w:r>
    </w:p>
    <w:p w14:paraId="0494A869"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cyan"/>
          <w:lang w:eastAsia="de-DE"/>
        </w:rPr>
        <w:t xml:space="preserve">Komponente </w:t>
      </w:r>
      <w:r w:rsidRPr="00294E24">
        <w:rPr>
          <w:rFonts w:ascii="Calibri" w:eastAsia="Times New Roman" w:hAnsi="Calibri" w:cs="Calibri"/>
          <w:shd w:val="clear" w:color="auto" w:fill="FFC000"/>
          <w:lang w:eastAsia="de-DE"/>
        </w:rPr>
        <w:t>attestiert Schutzziel</w:t>
      </w:r>
      <w:r w:rsidRPr="00294E24">
        <w:rPr>
          <w:rFonts w:ascii="Calibri" w:eastAsia="Times New Roman" w:hAnsi="Calibri" w:cs="Calibri"/>
          <w:highlight w:val="green"/>
          <w:lang w:eastAsia="de-DE"/>
        </w:rPr>
        <w:t xml:space="preserve"> für Schutzgut</w:t>
      </w:r>
      <w:r w:rsidRPr="00294E24">
        <w:rPr>
          <w:rFonts w:ascii="Calibri" w:eastAsia="Times New Roman" w:hAnsi="Calibri" w:cs="Calibri"/>
          <w:highlight w:val="red"/>
          <w:lang w:eastAsia="de-DE"/>
        </w:rPr>
        <w:t xml:space="preserve"> bei funktionaler Anforderung</w:t>
      </w:r>
    </w:p>
    <w:p w14:paraId="560D6EC7"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green"/>
          <w:lang w:eastAsia="de-DE"/>
        </w:rPr>
        <w:t>Schutzgut</w:t>
      </w:r>
      <w:r w:rsidRPr="00294E24">
        <w:rPr>
          <w:rFonts w:ascii="Calibri" w:eastAsia="Times New Roman" w:hAnsi="Calibri" w:cs="Calibri"/>
          <w:shd w:val="clear" w:color="auto" w:fill="FFC000"/>
          <w:lang w:eastAsia="de-DE"/>
        </w:rPr>
        <w:t xml:space="preserve"> fließt nicht aus </w:t>
      </w:r>
      <w:r w:rsidRPr="00294E24">
        <w:rPr>
          <w:rFonts w:ascii="Calibri" w:eastAsia="Times New Roman" w:hAnsi="Calibri" w:cs="Calibri"/>
          <w:highlight w:val="cyan"/>
          <w:lang w:eastAsia="de-DE"/>
        </w:rPr>
        <w:t xml:space="preserve">Komponente </w:t>
      </w:r>
    </w:p>
    <w:p w14:paraId="5C5FAFB1"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green"/>
          <w:lang w:eastAsia="de-DE"/>
        </w:rPr>
        <w:t xml:space="preserve">Schutzgut </w:t>
      </w:r>
      <w:r w:rsidRPr="00294E24">
        <w:rPr>
          <w:rFonts w:ascii="Calibri" w:eastAsia="Times New Roman" w:hAnsi="Calibri" w:cs="Calibri"/>
          <w:shd w:val="clear" w:color="auto" w:fill="FFC000"/>
          <w:lang w:eastAsia="de-DE"/>
        </w:rPr>
        <w:t xml:space="preserve">darf nur benutzt werden von </w:t>
      </w:r>
      <w:r w:rsidRPr="00294E24">
        <w:rPr>
          <w:rFonts w:ascii="Calibri" w:eastAsia="Times New Roman" w:hAnsi="Calibri" w:cs="Calibri"/>
          <w:highlight w:val="cyan"/>
          <w:lang w:eastAsia="de-DE"/>
        </w:rPr>
        <w:t xml:space="preserve">Komponente </w:t>
      </w:r>
    </w:p>
    <w:p w14:paraId="5DE40C9D" w14:textId="77777777" w:rsidR="00294E24" w:rsidRPr="00294E24" w:rsidRDefault="00294E24" w:rsidP="00294E24">
      <w:pPr>
        <w:numPr>
          <w:ilvl w:val="1"/>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lang w:eastAsia="de-DE"/>
        </w:rPr>
        <w:t>Von Stakeholder?</w:t>
      </w:r>
    </w:p>
    <w:p w14:paraId="10C4D1C8"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green"/>
          <w:lang w:eastAsia="de-DE"/>
        </w:rPr>
        <w:t xml:space="preserve">Schutzgut </w:t>
      </w:r>
      <w:r w:rsidRPr="00294E24">
        <w:rPr>
          <w:rFonts w:ascii="Calibri" w:eastAsia="Times New Roman" w:hAnsi="Calibri" w:cs="Calibri"/>
          <w:shd w:val="clear" w:color="auto" w:fill="FFC000"/>
          <w:lang w:eastAsia="de-DE"/>
        </w:rPr>
        <w:t xml:space="preserve">darf nicht benutzt werden von </w:t>
      </w:r>
      <w:r w:rsidRPr="00294E24">
        <w:rPr>
          <w:rFonts w:ascii="Calibri" w:eastAsia="Times New Roman" w:hAnsi="Calibri" w:cs="Calibri"/>
          <w:highlight w:val="cyan"/>
          <w:lang w:eastAsia="de-DE"/>
        </w:rPr>
        <w:t xml:space="preserve">Komponente </w:t>
      </w:r>
    </w:p>
    <w:p w14:paraId="69B0AAF6" w14:textId="77777777" w:rsidR="00294E24" w:rsidRPr="00294E24" w:rsidRDefault="00294E24" w:rsidP="00294E24">
      <w:pPr>
        <w:numPr>
          <w:ilvl w:val="1"/>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lang w:eastAsia="de-DE"/>
        </w:rPr>
        <w:t>Von Stakeholder?</w:t>
      </w:r>
    </w:p>
    <w:p w14:paraId="399BA03F"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highlight w:val="green"/>
          <w:lang w:eastAsia="de-DE"/>
        </w:rPr>
        <w:t>Schutzgut</w:t>
      </w:r>
      <w:r w:rsidRPr="00294E24">
        <w:rPr>
          <w:rFonts w:ascii="Calibri" w:eastAsia="Times New Roman" w:hAnsi="Calibri" w:cs="Calibri"/>
          <w:shd w:val="clear" w:color="auto" w:fill="FFC000"/>
          <w:lang w:eastAsia="de-DE"/>
        </w:rPr>
        <w:t xml:space="preserve"> fließt nur in </w:t>
      </w:r>
      <w:r w:rsidRPr="00294E24">
        <w:rPr>
          <w:rFonts w:ascii="Calibri" w:eastAsia="Times New Roman" w:hAnsi="Calibri" w:cs="Calibri"/>
          <w:highlight w:val="cyan"/>
          <w:lang w:eastAsia="de-DE"/>
        </w:rPr>
        <w:t>Komponente</w:t>
      </w:r>
    </w:p>
    <w:p w14:paraId="225F548D" w14:textId="77777777" w:rsidR="00294E24" w:rsidRPr="00294E24" w:rsidRDefault="00294E24" w:rsidP="00294E24">
      <w:pPr>
        <w:numPr>
          <w:ilvl w:val="0"/>
          <w:numId w:val="1"/>
        </w:numPr>
        <w:spacing w:after="0" w:line="240" w:lineRule="auto"/>
        <w:textAlignment w:val="center"/>
        <w:rPr>
          <w:rFonts w:ascii="Calibri" w:eastAsia="Times New Roman" w:hAnsi="Calibri" w:cs="Calibri"/>
          <w:lang w:eastAsia="de-DE"/>
        </w:rPr>
      </w:pPr>
      <w:r>
        <w:rPr>
          <w:rFonts w:ascii="Calibri" w:eastAsia="Times New Roman" w:hAnsi="Calibri" w:cs="Calibri"/>
          <w:highlight w:val="cyan"/>
          <w:lang w:eastAsia="de-DE"/>
        </w:rPr>
        <w:t>Komponente</w:t>
      </w:r>
      <w:r w:rsidRPr="00294E24">
        <w:rPr>
          <w:rFonts w:ascii="Calibri" w:eastAsia="Times New Roman" w:hAnsi="Calibri" w:cs="Calibri"/>
          <w:highlight w:val="cyan"/>
          <w:lang w:eastAsia="de-DE"/>
        </w:rPr>
        <w:t xml:space="preserve"> </w:t>
      </w:r>
      <w:r w:rsidRPr="00294E24">
        <w:rPr>
          <w:rFonts w:ascii="Calibri" w:eastAsia="Times New Roman" w:hAnsi="Calibri" w:cs="Calibri"/>
          <w:shd w:val="clear" w:color="auto" w:fill="FFC000"/>
          <w:lang w:eastAsia="de-DE"/>
        </w:rPr>
        <w:t xml:space="preserve">verbietet </w:t>
      </w:r>
      <w:r w:rsidRPr="00294E24">
        <w:rPr>
          <w:rFonts w:ascii="Calibri" w:eastAsia="Times New Roman" w:hAnsi="Calibri" w:cs="Calibri"/>
          <w:highlight w:val="red"/>
          <w:lang w:eastAsia="de-DE"/>
        </w:rPr>
        <w:t xml:space="preserve">funktionakle Anforderung </w:t>
      </w:r>
      <w:r w:rsidRPr="00294E24">
        <w:rPr>
          <w:rFonts w:ascii="Calibri" w:eastAsia="Times New Roman" w:hAnsi="Calibri" w:cs="Calibri"/>
          <w:highlight w:val="green"/>
          <w:lang w:eastAsia="de-DE"/>
        </w:rPr>
        <w:t>für Schutzgut</w:t>
      </w:r>
    </w:p>
    <w:p w14:paraId="3E3B5986" w14:textId="77777777" w:rsidR="00294E24" w:rsidRPr="00294E24" w:rsidRDefault="00294E24" w:rsidP="00294E24">
      <w:pPr>
        <w:numPr>
          <w:ilvl w:val="1"/>
          <w:numId w:val="1"/>
        </w:numPr>
        <w:spacing w:after="0" w:line="240" w:lineRule="auto"/>
        <w:textAlignment w:val="center"/>
        <w:rPr>
          <w:rFonts w:ascii="Calibri" w:eastAsia="Times New Roman" w:hAnsi="Calibri" w:cs="Calibri"/>
          <w:lang w:eastAsia="de-DE"/>
        </w:rPr>
      </w:pPr>
      <w:r w:rsidRPr="00294E24">
        <w:rPr>
          <w:rFonts w:ascii="Calibri" w:eastAsia="Times New Roman" w:hAnsi="Calibri" w:cs="Calibri"/>
          <w:lang w:eastAsia="de-DE"/>
        </w:rPr>
        <w:t>Für Stakeholder?</w:t>
      </w:r>
    </w:p>
    <w:p w14:paraId="05E63B48" w14:textId="77777777" w:rsidR="00294E24" w:rsidRPr="00294E24" w:rsidRDefault="00294E24" w:rsidP="00294E24"/>
    <w:p w14:paraId="6C7CE536" w14:textId="77777777" w:rsidR="00294E24" w:rsidRPr="00B9431D" w:rsidRDefault="00294E24" w:rsidP="00B9431D"/>
    <w:sectPr w:rsidR="00294E24" w:rsidRPr="00B9431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scal Birnstill" w:date="2019-06-07T11:09:00Z" w:initials="bst">
    <w:p w14:paraId="7723A9A2" w14:textId="77777777" w:rsidR="009817A4" w:rsidRDefault="009817A4">
      <w:pPr>
        <w:pStyle w:val="Kommentartext"/>
      </w:pPr>
      <w:r>
        <w:rPr>
          <w:rStyle w:val="Kommentarzeichen"/>
        </w:rPr>
        <w:annotationRef/>
      </w:r>
      <w:r>
        <w:t>Das ist im Paper beschrieben, allerdings nicht fertig ausgearbeitet und implementiert.</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23A9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B41"/>
    <w:multiLevelType w:val="multilevel"/>
    <w:tmpl w:val="A7EC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67D45"/>
    <w:multiLevelType w:val="multilevel"/>
    <w:tmpl w:val="1956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5482F"/>
    <w:multiLevelType w:val="hybridMultilevel"/>
    <w:tmpl w:val="D430D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F967A5"/>
    <w:multiLevelType w:val="hybridMultilevel"/>
    <w:tmpl w:val="25881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cal Birnstill">
    <w15:presenceInfo w15:providerId="None" w15:userId="Pascal Birnst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1D"/>
    <w:rsid w:val="00056F1B"/>
    <w:rsid w:val="00064FAD"/>
    <w:rsid w:val="00076E64"/>
    <w:rsid w:val="000843FC"/>
    <w:rsid w:val="000F2C69"/>
    <w:rsid w:val="0012381E"/>
    <w:rsid w:val="0015408C"/>
    <w:rsid w:val="00194E69"/>
    <w:rsid w:val="00202365"/>
    <w:rsid w:val="00220C1C"/>
    <w:rsid w:val="00223DB6"/>
    <w:rsid w:val="002572EF"/>
    <w:rsid w:val="00290868"/>
    <w:rsid w:val="00294E24"/>
    <w:rsid w:val="00357CA0"/>
    <w:rsid w:val="003A7AB8"/>
    <w:rsid w:val="003B5DA4"/>
    <w:rsid w:val="003D5925"/>
    <w:rsid w:val="004B5A11"/>
    <w:rsid w:val="004E5B68"/>
    <w:rsid w:val="004F5B69"/>
    <w:rsid w:val="00530AEA"/>
    <w:rsid w:val="00537B7A"/>
    <w:rsid w:val="00552BD6"/>
    <w:rsid w:val="005763C1"/>
    <w:rsid w:val="005777EF"/>
    <w:rsid w:val="0058341D"/>
    <w:rsid w:val="005A5AD3"/>
    <w:rsid w:val="00621793"/>
    <w:rsid w:val="00646FAC"/>
    <w:rsid w:val="006C09E3"/>
    <w:rsid w:val="00710234"/>
    <w:rsid w:val="007332E6"/>
    <w:rsid w:val="00734512"/>
    <w:rsid w:val="007407BA"/>
    <w:rsid w:val="007513C3"/>
    <w:rsid w:val="0077226B"/>
    <w:rsid w:val="00980D7A"/>
    <w:rsid w:val="009817A4"/>
    <w:rsid w:val="009843C5"/>
    <w:rsid w:val="009A5BA9"/>
    <w:rsid w:val="009C2575"/>
    <w:rsid w:val="009E4205"/>
    <w:rsid w:val="00A00B28"/>
    <w:rsid w:val="00A609D9"/>
    <w:rsid w:val="00A66790"/>
    <w:rsid w:val="00AB408C"/>
    <w:rsid w:val="00AD30FB"/>
    <w:rsid w:val="00AD6DFB"/>
    <w:rsid w:val="00AE19DE"/>
    <w:rsid w:val="00B06DC2"/>
    <w:rsid w:val="00B17F07"/>
    <w:rsid w:val="00B80DF8"/>
    <w:rsid w:val="00B9431D"/>
    <w:rsid w:val="00BD6AC1"/>
    <w:rsid w:val="00BF66B2"/>
    <w:rsid w:val="00C46C6B"/>
    <w:rsid w:val="00C51CD6"/>
    <w:rsid w:val="00C94E34"/>
    <w:rsid w:val="00CF7CF2"/>
    <w:rsid w:val="00D6234F"/>
    <w:rsid w:val="00E148C2"/>
    <w:rsid w:val="00EE7F64"/>
    <w:rsid w:val="00F037EC"/>
    <w:rsid w:val="00F16528"/>
    <w:rsid w:val="00FA1086"/>
    <w:rsid w:val="00FE1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D48"/>
  <w15:chartTrackingRefBased/>
  <w15:docId w15:val="{5C78C3CF-09D5-4348-830F-D820CBF2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4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4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31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9431D"/>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2908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0868"/>
    <w:rPr>
      <w:rFonts w:ascii="Segoe UI" w:hAnsi="Segoe UI" w:cs="Segoe UI"/>
      <w:sz w:val="18"/>
      <w:szCs w:val="18"/>
    </w:rPr>
  </w:style>
  <w:style w:type="paragraph" w:styleId="Listenabsatz">
    <w:name w:val="List Paragraph"/>
    <w:basedOn w:val="Standard"/>
    <w:uiPriority w:val="34"/>
    <w:qFormat/>
    <w:rsid w:val="007332E6"/>
    <w:pPr>
      <w:ind w:left="720"/>
      <w:contextualSpacing/>
    </w:pPr>
  </w:style>
  <w:style w:type="character" w:styleId="Kommentarzeichen">
    <w:name w:val="annotation reference"/>
    <w:basedOn w:val="Absatz-Standardschriftart"/>
    <w:uiPriority w:val="99"/>
    <w:semiHidden/>
    <w:unhideWhenUsed/>
    <w:rsid w:val="009817A4"/>
    <w:rPr>
      <w:sz w:val="16"/>
      <w:szCs w:val="16"/>
    </w:rPr>
  </w:style>
  <w:style w:type="paragraph" w:styleId="Kommentartext">
    <w:name w:val="annotation text"/>
    <w:basedOn w:val="Standard"/>
    <w:link w:val="KommentartextZchn"/>
    <w:uiPriority w:val="99"/>
    <w:semiHidden/>
    <w:unhideWhenUsed/>
    <w:rsid w:val="009817A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17A4"/>
    <w:rPr>
      <w:sz w:val="20"/>
      <w:szCs w:val="20"/>
    </w:rPr>
  </w:style>
  <w:style w:type="paragraph" w:styleId="Kommentarthema">
    <w:name w:val="annotation subject"/>
    <w:basedOn w:val="Kommentartext"/>
    <w:next w:val="Kommentartext"/>
    <w:link w:val="KommentarthemaZchn"/>
    <w:uiPriority w:val="99"/>
    <w:semiHidden/>
    <w:unhideWhenUsed/>
    <w:rsid w:val="009817A4"/>
    <w:rPr>
      <w:b/>
      <w:bCs/>
    </w:rPr>
  </w:style>
  <w:style w:type="character" w:customStyle="1" w:styleId="KommentarthemaZchn">
    <w:name w:val="Kommentarthema Zchn"/>
    <w:basedOn w:val="KommentartextZchn"/>
    <w:link w:val="Kommentarthema"/>
    <w:uiPriority w:val="99"/>
    <w:semiHidden/>
    <w:rsid w:val="009817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5878">
      <w:bodyDiv w:val="1"/>
      <w:marLeft w:val="0"/>
      <w:marRight w:val="0"/>
      <w:marTop w:val="0"/>
      <w:marBottom w:val="0"/>
      <w:divBdr>
        <w:top w:val="none" w:sz="0" w:space="0" w:color="auto"/>
        <w:left w:val="none" w:sz="0" w:space="0" w:color="auto"/>
        <w:bottom w:val="none" w:sz="0" w:space="0" w:color="auto"/>
        <w:right w:val="none" w:sz="0" w:space="0" w:color="auto"/>
      </w:divBdr>
    </w:div>
    <w:div w:id="122240386">
      <w:bodyDiv w:val="1"/>
      <w:marLeft w:val="0"/>
      <w:marRight w:val="0"/>
      <w:marTop w:val="0"/>
      <w:marBottom w:val="0"/>
      <w:divBdr>
        <w:top w:val="none" w:sz="0" w:space="0" w:color="auto"/>
        <w:left w:val="none" w:sz="0" w:space="0" w:color="auto"/>
        <w:bottom w:val="none" w:sz="0" w:space="0" w:color="auto"/>
        <w:right w:val="none" w:sz="0" w:space="0" w:color="auto"/>
      </w:divBdr>
    </w:div>
    <w:div w:id="589315448">
      <w:bodyDiv w:val="1"/>
      <w:marLeft w:val="0"/>
      <w:marRight w:val="0"/>
      <w:marTop w:val="0"/>
      <w:marBottom w:val="0"/>
      <w:divBdr>
        <w:top w:val="none" w:sz="0" w:space="0" w:color="auto"/>
        <w:left w:val="none" w:sz="0" w:space="0" w:color="auto"/>
        <w:bottom w:val="none" w:sz="0" w:space="0" w:color="auto"/>
        <w:right w:val="none" w:sz="0" w:space="0" w:color="auto"/>
      </w:divBdr>
    </w:div>
    <w:div w:id="18230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7159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Birnstill</dc:creator>
  <cp:keywords/>
  <dc:description/>
  <cp:lastModifiedBy>Pascal Birnstill</cp:lastModifiedBy>
  <cp:revision>6</cp:revision>
  <cp:lastPrinted>2017-10-11T09:21:00Z</cp:lastPrinted>
  <dcterms:created xsi:type="dcterms:W3CDTF">2019-06-07T09:06:00Z</dcterms:created>
  <dcterms:modified xsi:type="dcterms:W3CDTF">2019-06-07T09:11:00Z</dcterms:modified>
</cp:coreProperties>
</file>