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0"/>
        </w:numPr>
        <w:bidi w:val="0"/>
        <w:ind w:leftChars="0"/>
        <w:jc w:val="center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2024子课题：</w:t>
      </w:r>
      <w:r>
        <w:rPr>
          <w:rFonts w:hint="eastAsia" w:eastAsia="宋体"/>
          <w:sz w:val="32"/>
          <w:szCs w:val="32"/>
          <w:lang w:val="en-US" w:eastAsia="zh-CN"/>
        </w:rPr>
        <w:t>关键暴露面资产反测绘技术研究：</w:t>
      </w:r>
    </w:p>
    <w:p>
      <w:pPr>
        <w:numPr>
          <w:ilvl w:val="0"/>
          <w:numId w:val="2"/>
        </w:numPr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网络空间测绘国内外发展及现状调研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对</w:t>
      </w:r>
      <w:r>
        <w:rPr>
          <w:rFonts w:hint="eastAsia" w:ascii="宋体" w:hAnsi="宋体" w:cs="宋体"/>
          <w:sz w:val="30"/>
          <w:szCs w:val="30"/>
          <w:lang w:val="en-US" w:eastAsia="zh-CN"/>
        </w:rPr>
        <w:t>全球主流测绘平台的发展和现状进行调研，具体包括全球主流测绘平台的区域分布、区域分布、重点国家分布、主流平台名称及应用和部署情况。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调研国内外主流资产测绘厂商技术异同与差距，调研资产测绘技术所产生的附加价值，以及其技术的主要应用领域。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反测绘技术技术调研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default" w:ascii="宋体" w:hAnsi="宋体" w:cs="宋体"/>
          <w:sz w:val="30"/>
          <w:szCs w:val="30"/>
          <w:lang w:val="en-US" w:eastAsia="zh-CN"/>
        </w:rPr>
        <w:t>5G、云计算技术发展带来的“网络空间泛化”使企业数字资产数量和类型激增，另一方面，随着物联网（IoT）的逐步 普及、工控系统的广泛互联，直接暴露在网络空间的联网设备数量大幅增加，随之可能面对更多的风险。当前网络空间测绘被用来管理和监控资产的同时，也极有可能被攻击者当作“窥探”网络内部的工具， 并被泄露、滥用以及利用，从而对个人、企业、国家造成巨大的内外损失。</w:t>
      </w:r>
      <w:r>
        <w:rPr>
          <w:rFonts w:hint="eastAsia" w:ascii="宋体" w:hAnsi="宋体" w:cs="宋体"/>
          <w:sz w:val="30"/>
          <w:szCs w:val="30"/>
          <w:lang w:val="en-US" w:eastAsia="zh-CN"/>
        </w:rPr>
        <w:t>通过对反测绘技术的研究，进而研究如何提升功能反扫描能力，进一步减少国家和企业网络暴露面风险所带来的损失。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3、反测绘技术能力研究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反测绘技术研究按照三个阶段进行研究和实验：</w:t>
      </w:r>
    </w:p>
    <w:p>
      <w:pPr>
        <w:numPr>
          <w:ilvl w:val="0"/>
          <w:numId w:val="3"/>
        </w:numPr>
        <w:ind w:leftChars="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拦截和禁止，按照禁ping、禁止探测的手段，强制实现地址隐藏，实现反探测能力，如针对不同国家、区域、组织禁Ping、 针对不同组织、个人禁止探测等效果。</w:t>
      </w:r>
    </w:p>
    <w:p>
      <w:pPr>
        <w:numPr>
          <w:ilvl w:val="0"/>
          <w:numId w:val="3"/>
        </w:numPr>
        <w:ind w:leftChars="0"/>
        <w:rPr>
          <w:rFonts w:hint="default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迷惑和欺骗，通过指纹混淆、诱骗扰乱探测agent，通过判断请求是否来自测绘节点，定向进行错误服务的反馈，进行服务、资源、网络情况的伪造和扰乱。建立虚假指纹模型、虚假响应模型，隐藏真实指纹，减小业务暴露风险。</w:t>
      </w:r>
    </w:p>
    <w:p>
      <w:pPr>
        <w:numPr>
          <w:ilvl w:val="0"/>
          <w:numId w:val="3"/>
        </w:numPr>
        <w:ind w:leftChars="0"/>
        <w:rPr>
          <w:rFonts w:hint="default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隐匿和保护，对已知确定的测绘节点进行隐匿，保护重要系统资产，实现测不到、测不准、测不对。采用虚假的设备、服务应用、资源数据及网络陷阱欺骗非法访问者；扰乱其探测和扫描等行为，使其得到错误的结果。</w:t>
      </w:r>
    </w:p>
    <w:p>
      <w:pPr>
        <w:numPr>
          <w:numId w:val="0"/>
        </w:numPr>
        <w:rPr>
          <w:rFonts w:hint="default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4、成果转化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反测绘技术的相关成果转发，包括不限于技术方案、专利、原型系统等。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2010600030101010101"/>
    <w:charset w:val="80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BC502"/>
    <w:multiLevelType w:val="singleLevel"/>
    <w:tmpl w:val="8EFBC50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FFFBE2B"/>
    <w:multiLevelType w:val="singleLevel"/>
    <w:tmpl w:val="FFFFBE2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AEBF23E"/>
    <w:multiLevelType w:val="multilevel"/>
    <w:tmpl w:val="2AEBF23E"/>
    <w:lvl w:ilvl="0" w:tentative="0">
      <w:start w:val="1"/>
      <w:numFmt w:val="decimal"/>
      <w:pStyle w:val="2"/>
      <w:lvlText w:val="第%1章"/>
      <w:lvlJc w:val="left"/>
      <w:pPr>
        <w:ind w:left="0" w:firstLine="0"/>
      </w:pPr>
      <w:rPr>
        <w:rFonts w:hint="eastAsia" w:ascii="宋体" w:hAnsi="宋体" w:eastAsia="宋体"/>
        <w:b/>
        <w:i w:val="0"/>
        <w:sz w:val="44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 w:ascii="宋体" w:hAnsi="宋体" w:eastAsia="宋体"/>
        <w:b/>
        <w:i w:val="0"/>
        <w:sz w:val="36"/>
      </w:rPr>
    </w:lvl>
    <w:lvl w:ilvl="2" w:tentative="0">
      <w:start w:val="1"/>
      <w:numFmt w:val="decimal"/>
      <w:pStyle w:val="4"/>
      <w:lvlText w:val="%1.%2.%3"/>
      <w:lvlJc w:val="left"/>
      <w:pPr>
        <w:ind w:left="720" w:firstLine="0"/>
      </w:pPr>
      <w:rPr>
        <w:rFonts w:hint="eastAsia" w:ascii="宋体" w:hAnsi="宋体" w:eastAsia="宋体"/>
        <w:b/>
        <w:i w:val="0"/>
        <w:sz w:val="32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 w:ascii="宋体" w:hAnsi="宋体" w:eastAsia="宋体"/>
        <w:b/>
        <w:i w:val="0"/>
        <w:sz w:val="30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 w:ascii="宋体" w:hAnsi="宋体" w:eastAsia="宋体"/>
        <w:b/>
        <w:i w:val="0"/>
        <w:sz w:val="28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 w:ascii="宋体" w:hAnsi="宋体" w:eastAsia="宋体"/>
        <w:b/>
        <w:i w:val="0"/>
        <w:sz w:val="24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 w:ascii="宋体" w:hAnsi="宋体" w:eastAsia="宋体"/>
        <w:b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 w:ascii="宋体" w:hAnsi="宋体" w:eastAsia="宋体"/>
        <w:b/>
        <w:i w:val="0"/>
        <w:sz w:val="24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 w:ascii="宋体" w:hAnsi="宋体" w:eastAsia="宋体"/>
        <w:b/>
        <w:i w:val="0"/>
        <w:sz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26AAE"/>
    <w:rsid w:val="03C14DF1"/>
    <w:rsid w:val="052A58F3"/>
    <w:rsid w:val="08545FAE"/>
    <w:rsid w:val="1A94147B"/>
    <w:rsid w:val="1BD9587F"/>
    <w:rsid w:val="21045687"/>
    <w:rsid w:val="351A1E45"/>
    <w:rsid w:val="35CD06FE"/>
    <w:rsid w:val="385C6AEF"/>
    <w:rsid w:val="38AC3142"/>
    <w:rsid w:val="3B896863"/>
    <w:rsid w:val="3BA65E9A"/>
    <w:rsid w:val="3E5A0A87"/>
    <w:rsid w:val="40313FEB"/>
    <w:rsid w:val="40DC1454"/>
    <w:rsid w:val="41352327"/>
    <w:rsid w:val="42AD0633"/>
    <w:rsid w:val="46EA776D"/>
    <w:rsid w:val="49242E6F"/>
    <w:rsid w:val="53EB4244"/>
    <w:rsid w:val="57AD32FE"/>
    <w:rsid w:val="60257B7D"/>
    <w:rsid w:val="63B47857"/>
    <w:rsid w:val="647D06AC"/>
    <w:rsid w:val="67962377"/>
    <w:rsid w:val="684750D4"/>
    <w:rsid w:val="6C181BFE"/>
    <w:rsid w:val="6F211DBC"/>
    <w:rsid w:val="7302528E"/>
    <w:rsid w:val="73D79CC5"/>
    <w:rsid w:val="7BF72C51"/>
    <w:rsid w:val="7E890A69"/>
    <w:rsid w:val="7FFFFD6E"/>
    <w:rsid w:val="D8B5D278"/>
    <w:rsid w:val="EFFF0595"/>
    <w:rsid w:val="F4B69EE1"/>
    <w:rsid w:val="FFED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exact"/>
      <w:jc w:val="both"/>
    </w:pPr>
    <w:rPr>
      <w:rFonts w:eastAsia="宋体" w:asciiTheme="minorAscii" w:hAnsiTheme="minorAsci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jc w:val="center"/>
      <w:outlineLvl w:val="2"/>
    </w:pPr>
    <w:rPr>
      <w:rFonts w:asciiTheme="minorAscii" w:hAnsiTheme="minorAscii" w:eastAsiaTheme="minorEastAsia"/>
      <w:b/>
      <w:bCs/>
      <w:sz w:val="30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3"/>
    </w:pPr>
    <w:rPr>
      <w:rFonts w:hint="eastAsia" w:ascii="宋体" w:hAnsi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 w:eastAsiaTheme="minorEastAsia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pPr>
      <w:spacing w:after="120" w:afterLines="0" w:afterAutospacing="0" w:line="480" w:lineRule="exact"/>
    </w:pPr>
    <w:rPr>
      <w:sz w:val="28"/>
    </w:rPr>
  </w:style>
  <w:style w:type="paragraph" w:customStyle="1" w:styleId="10">
    <w:name w:val="一号标题"/>
    <w:basedOn w:val="2"/>
    <w:next w:val="7"/>
    <w:qFormat/>
    <w:uiPriority w:val="0"/>
    <w:pPr>
      <w:jc w:val="center"/>
    </w:pPr>
    <w:rPr>
      <w:rFonts w:ascii="Arial" w:hAnsi="Arial" w:eastAsia="宋体" w:cs="Times New Roman"/>
      <w:color w:val="000000"/>
      <w:kern w:val="36"/>
      <w:sz w:val="32"/>
      <w:szCs w:val="22"/>
    </w:rPr>
  </w:style>
  <w:style w:type="paragraph" w:customStyle="1" w:styleId="11">
    <w:name w:val="二号标题"/>
    <w:basedOn w:val="3"/>
    <w:qFormat/>
    <w:uiPriority w:val="0"/>
    <w:rPr>
      <w:rFonts w:ascii="Arial" w:hAnsi="Arial" w:eastAsia="宋体" w:cs="Times New Roman"/>
      <w:color w:val="000000"/>
      <w:sz w:val="28"/>
    </w:rPr>
  </w:style>
  <w:style w:type="character" w:customStyle="1" w:styleId="12">
    <w:name w:val="标题 3 Char"/>
    <w:link w:val="4"/>
    <w:uiPriority w:val="0"/>
    <w:rPr>
      <w:rFonts w:ascii="Times New Roman" w:hAnsi="Times New Roman" w:eastAsiaTheme="minorEastAsia"/>
      <w:b/>
      <w:sz w:val="24"/>
    </w:rPr>
  </w:style>
  <w:style w:type="character" w:customStyle="1" w:styleId="13">
    <w:name w:val="标题 2 Char"/>
    <w:link w:val="3"/>
    <w:uiPriority w:val="0"/>
    <w:rPr>
      <w:rFonts w:ascii="Arial" w:hAnsi="Arial" w:eastAsia="宋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2019-10-18T14:02:00Z</dcterms:created>
  <dc:creator>27682</dc:creator>
  <cp:lastModifiedBy>于雷</cp:lastModifiedBy>
  <dcterms:modified xsi:type="dcterms:W3CDTF">2023-10-17T18:10:47Z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8E71B288144E1101A2422E65A726447D_42</vt:lpwstr>
  </property>
</Properties>
</file>