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val="0"/>
        <w:snapToGrid w:val="0"/>
        <w:spacing w:line="560" w:lineRule="exact"/>
        <w:ind w:left="0" w:firstLine="480" w:firstLineChars="200"/>
        <w:jc w:val="both"/>
        <w:textAlignment w:val="auto"/>
        <w:rPr>
          <w:rFonts w:hint="eastAsia" w:ascii="仿宋_GB2312" w:hAnsi="宋体" w:eastAsia="仿宋_GB2312"/>
          <w:b/>
          <w:bCs/>
          <w:sz w:val="24"/>
          <w:szCs w:val="30"/>
        </w:rPr>
      </w:pPr>
      <w:bookmarkStart w:id="293" w:name="_GoBack"/>
      <w:bookmarkEnd w:id="293"/>
    </w:p>
    <w:p>
      <w:pPr>
        <w:pageBreakBefore w:val="0"/>
        <w:widowControl w:val="0"/>
        <w:kinsoku/>
        <w:wordWrap/>
        <w:overflowPunct/>
        <w:topLinePunct w:val="0"/>
        <w:autoSpaceDE/>
        <w:autoSpaceDN/>
        <w:bidi w:val="0"/>
        <w:adjustRightInd w:val="0"/>
        <w:snapToGrid w:val="0"/>
        <w:spacing w:line="560" w:lineRule="exact"/>
        <w:ind w:left="0" w:firstLine="480" w:firstLineChars="200"/>
        <w:jc w:val="both"/>
        <w:textAlignment w:val="auto"/>
        <w:rPr>
          <w:rFonts w:hint="eastAsia" w:ascii="仿宋_GB2312" w:hAnsi="宋体" w:eastAsia="仿宋_GB2312"/>
          <w:b/>
          <w:bCs/>
          <w:sz w:val="24"/>
          <w:szCs w:val="30"/>
        </w:rPr>
      </w:pPr>
    </w:p>
    <w:p>
      <w:pPr>
        <w:pageBreakBefore w:val="0"/>
        <w:widowControl w:val="0"/>
        <w:kinsoku/>
        <w:wordWrap/>
        <w:overflowPunct/>
        <w:topLinePunct w:val="0"/>
        <w:autoSpaceDE/>
        <w:autoSpaceDN/>
        <w:bidi w:val="0"/>
        <w:adjustRightInd w:val="0"/>
        <w:snapToGrid w:val="0"/>
        <w:spacing w:line="560" w:lineRule="exact"/>
        <w:ind w:left="0" w:firstLine="480" w:firstLineChars="200"/>
        <w:jc w:val="both"/>
        <w:textAlignment w:val="auto"/>
        <w:rPr>
          <w:rFonts w:hint="eastAsia" w:ascii="仿宋_GB2312" w:hAnsi="宋体" w:eastAsia="仿宋_GB2312"/>
          <w:b/>
          <w:bCs/>
          <w:sz w:val="24"/>
          <w:szCs w:val="30"/>
        </w:rPr>
      </w:pPr>
    </w:p>
    <w:p>
      <w:pPr>
        <w:pageBreakBefore w:val="0"/>
        <w:widowControl w:val="0"/>
        <w:kinsoku/>
        <w:wordWrap/>
        <w:overflowPunct/>
        <w:topLinePunct w:val="0"/>
        <w:autoSpaceDE/>
        <w:autoSpaceDN/>
        <w:bidi w:val="0"/>
        <w:adjustRightInd w:val="0"/>
        <w:snapToGrid w:val="0"/>
        <w:spacing w:line="560" w:lineRule="exact"/>
        <w:ind w:left="0" w:firstLine="480" w:firstLineChars="200"/>
        <w:jc w:val="both"/>
        <w:textAlignment w:val="auto"/>
        <w:rPr>
          <w:rFonts w:hint="eastAsia" w:ascii="仿宋_GB2312" w:hAnsi="宋体" w:eastAsia="仿宋_GB2312"/>
          <w:b/>
          <w:bCs/>
          <w:sz w:val="24"/>
          <w:szCs w:val="30"/>
        </w:rPr>
      </w:pPr>
    </w:p>
    <w:p>
      <w:pPr>
        <w:pageBreakBefore w:val="0"/>
        <w:widowControl w:val="0"/>
        <w:kinsoku/>
        <w:wordWrap/>
        <w:overflowPunct/>
        <w:topLinePunct w:val="0"/>
        <w:autoSpaceDE/>
        <w:autoSpaceDN/>
        <w:bidi w:val="0"/>
        <w:spacing w:line="560" w:lineRule="exact"/>
        <w:ind w:left="0" w:firstLine="880" w:firstLineChars="200"/>
        <w:jc w:val="center"/>
        <w:textAlignment w:val="auto"/>
        <w:rPr>
          <w:rFonts w:hint="eastAsia" w:ascii="仿宋_GB2312" w:hAnsi="华文中宋" w:eastAsia="仿宋_GB2312" w:cs="华文中宋"/>
          <w:b/>
          <w:bCs/>
          <w:sz w:val="44"/>
          <w:szCs w:val="44"/>
          <w:lang w:val="en-US" w:eastAsia="zh-CN"/>
        </w:rPr>
      </w:pPr>
    </w:p>
    <w:p>
      <w:pPr>
        <w:pageBreakBefore w:val="0"/>
        <w:widowControl w:val="0"/>
        <w:kinsoku/>
        <w:wordWrap/>
        <w:overflowPunct/>
        <w:topLinePunct w:val="0"/>
        <w:autoSpaceDE/>
        <w:autoSpaceDN/>
        <w:bidi w:val="0"/>
        <w:spacing w:line="560" w:lineRule="exact"/>
        <w:ind w:left="0" w:firstLine="880" w:firstLineChars="200"/>
        <w:jc w:val="center"/>
        <w:textAlignment w:val="auto"/>
        <w:rPr>
          <w:rFonts w:hint="eastAsia" w:ascii="仿宋_GB2312" w:hAnsi="华文中宋" w:eastAsia="仿宋_GB2312" w:cs="华文中宋"/>
          <w:b/>
          <w:bCs/>
          <w:sz w:val="44"/>
          <w:szCs w:val="44"/>
          <w:lang w:val="en-US" w:eastAsia="zh-CN"/>
        </w:rPr>
      </w:pPr>
      <w:r>
        <w:rPr>
          <w:rFonts w:hint="eastAsia" w:ascii="仿宋_GB2312" w:hAnsi="华文中宋" w:eastAsia="仿宋_GB2312" w:cs="华文中宋"/>
          <w:b/>
          <w:bCs/>
          <w:sz w:val="44"/>
          <w:szCs w:val="44"/>
          <w:lang w:val="en-US" w:eastAsia="zh-CN"/>
        </w:rPr>
        <w:t>中国移动通信集团吉林有限公司</w:t>
      </w:r>
    </w:p>
    <w:p>
      <w:pPr>
        <w:pageBreakBefore w:val="0"/>
        <w:widowControl w:val="0"/>
        <w:kinsoku/>
        <w:wordWrap/>
        <w:overflowPunct/>
        <w:topLinePunct w:val="0"/>
        <w:autoSpaceDE/>
        <w:autoSpaceDN/>
        <w:bidi w:val="0"/>
        <w:spacing w:line="560" w:lineRule="exact"/>
        <w:ind w:left="0" w:firstLine="880" w:firstLineChars="200"/>
        <w:jc w:val="center"/>
        <w:textAlignment w:val="auto"/>
        <w:rPr>
          <w:rFonts w:hint="eastAsia" w:ascii="仿宋_GB2312" w:hAnsi="华文中宋" w:eastAsia="仿宋_GB2312" w:cs="华文中宋"/>
          <w:b/>
          <w:bCs/>
          <w:sz w:val="44"/>
          <w:szCs w:val="44"/>
          <w:lang w:val="en-US" w:eastAsia="zh-CN"/>
        </w:rPr>
      </w:pPr>
      <w:r>
        <w:rPr>
          <w:rFonts w:hint="eastAsia" w:ascii="仿宋_GB2312" w:hAnsi="华文中宋" w:eastAsia="仿宋_GB2312" w:cs="华文中宋"/>
          <w:b/>
          <w:bCs/>
          <w:sz w:val="44"/>
          <w:szCs w:val="44"/>
          <w:lang w:val="en-US" w:eastAsia="zh-CN"/>
        </w:rPr>
        <w:t>数据安全事件应急响应预案</w:t>
      </w:r>
    </w:p>
    <w:p>
      <w:pPr>
        <w:pageBreakBefore w:val="0"/>
        <w:widowControl w:val="0"/>
        <w:kinsoku/>
        <w:wordWrap/>
        <w:overflowPunct/>
        <w:topLinePunct w:val="0"/>
        <w:autoSpaceDE/>
        <w:autoSpaceDN/>
        <w:bidi w:val="0"/>
        <w:adjustRightInd w:val="0"/>
        <w:snapToGrid w:val="0"/>
        <w:spacing w:line="560" w:lineRule="exact"/>
        <w:ind w:left="0" w:firstLine="1040" w:firstLineChars="200"/>
        <w:jc w:val="both"/>
        <w:textAlignment w:val="auto"/>
        <w:rPr>
          <w:rFonts w:hint="eastAsia" w:ascii="黑体" w:eastAsia="黑体"/>
          <w:b/>
          <w:sz w:val="52"/>
          <w:szCs w:val="48"/>
        </w:rPr>
      </w:pPr>
    </w:p>
    <w:p>
      <w:pPr>
        <w:pageBreakBefore w:val="0"/>
        <w:widowControl w:val="0"/>
        <w:kinsoku/>
        <w:wordWrap/>
        <w:overflowPunct/>
        <w:topLinePunct w:val="0"/>
        <w:autoSpaceDE/>
        <w:autoSpaceDN/>
        <w:bidi w:val="0"/>
        <w:adjustRightInd w:val="0"/>
        <w:snapToGrid w:val="0"/>
        <w:spacing w:line="560" w:lineRule="exact"/>
        <w:ind w:left="0" w:firstLine="600" w:firstLineChars="200"/>
        <w:jc w:val="both"/>
        <w:textAlignment w:val="auto"/>
        <w:rPr>
          <w:rFonts w:hint="eastAsia" w:ascii="仿宋_GB2312" w:eastAsia="仿宋_GB2312"/>
          <w:b/>
          <w:bCs/>
          <w:sz w:val="30"/>
          <w:szCs w:val="30"/>
        </w:rPr>
      </w:pPr>
    </w:p>
    <w:p>
      <w:pPr>
        <w:pageBreakBefore w:val="0"/>
        <w:widowControl w:val="0"/>
        <w:kinsoku/>
        <w:wordWrap/>
        <w:overflowPunct/>
        <w:topLinePunct w:val="0"/>
        <w:autoSpaceDE/>
        <w:autoSpaceDN/>
        <w:bidi w:val="0"/>
        <w:adjustRightInd w:val="0"/>
        <w:snapToGrid w:val="0"/>
        <w:spacing w:line="560" w:lineRule="exact"/>
        <w:ind w:left="0" w:firstLine="480" w:firstLineChars="200"/>
        <w:jc w:val="both"/>
        <w:textAlignment w:val="auto"/>
        <w:rPr>
          <w:rFonts w:hint="eastAsia" w:ascii="仿宋_GB2312" w:eastAsia="仿宋_GB2312"/>
          <w:sz w:val="24"/>
          <w:szCs w:val="30"/>
        </w:rPr>
      </w:pPr>
    </w:p>
    <w:p>
      <w:pPr>
        <w:pageBreakBefore w:val="0"/>
        <w:widowControl w:val="0"/>
        <w:kinsoku/>
        <w:wordWrap/>
        <w:overflowPunct/>
        <w:topLinePunct w:val="0"/>
        <w:autoSpaceDE/>
        <w:autoSpaceDN/>
        <w:bidi w:val="0"/>
        <w:adjustRightInd w:val="0"/>
        <w:snapToGrid w:val="0"/>
        <w:spacing w:line="560" w:lineRule="exact"/>
        <w:ind w:left="0" w:firstLine="480" w:firstLineChars="200"/>
        <w:jc w:val="both"/>
        <w:textAlignment w:val="auto"/>
        <w:rPr>
          <w:rFonts w:hint="eastAsia" w:ascii="仿宋_GB2312" w:eastAsia="仿宋_GB2312"/>
          <w:sz w:val="24"/>
          <w:szCs w:val="30"/>
        </w:rPr>
      </w:pPr>
    </w:p>
    <w:p>
      <w:pPr>
        <w:pageBreakBefore w:val="0"/>
        <w:widowControl w:val="0"/>
        <w:kinsoku/>
        <w:wordWrap/>
        <w:overflowPunct/>
        <w:topLinePunct w:val="0"/>
        <w:autoSpaceDE/>
        <w:autoSpaceDN/>
        <w:bidi w:val="0"/>
        <w:adjustRightInd w:val="0"/>
        <w:snapToGrid w:val="0"/>
        <w:spacing w:line="560" w:lineRule="exact"/>
        <w:ind w:left="0" w:firstLine="480" w:firstLineChars="200"/>
        <w:jc w:val="both"/>
        <w:textAlignment w:val="auto"/>
        <w:rPr>
          <w:rFonts w:hint="eastAsia" w:ascii="仿宋_GB2312" w:eastAsia="仿宋_GB2312"/>
          <w:sz w:val="24"/>
          <w:szCs w:val="30"/>
        </w:rPr>
      </w:pPr>
    </w:p>
    <w:p>
      <w:pPr>
        <w:pageBreakBefore w:val="0"/>
        <w:widowControl w:val="0"/>
        <w:kinsoku/>
        <w:wordWrap/>
        <w:overflowPunct/>
        <w:topLinePunct w:val="0"/>
        <w:autoSpaceDE/>
        <w:autoSpaceDN/>
        <w:bidi w:val="0"/>
        <w:adjustRightInd w:val="0"/>
        <w:snapToGrid w:val="0"/>
        <w:spacing w:line="560" w:lineRule="exact"/>
        <w:ind w:left="0" w:firstLine="480" w:firstLineChars="200"/>
        <w:jc w:val="both"/>
        <w:textAlignment w:val="auto"/>
        <w:rPr>
          <w:rFonts w:hint="eastAsia" w:ascii="仿宋_GB2312" w:eastAsia="仿宋_GB2312"/>
          <w:sz w:val="24"/>
          <w:szCs w:val="30"/>
        </w:rPr>
      </w:pPr>
    </w:p>
    <w:p>
      <w:pPr>
        <w:pageBreakBefore w:val="0"/>
        <w:widowControl w:val="0"/>
        <w:kinsoku/>
        <w:wordWrap/>
        <w:overflowPunct/>
        <w:topLinePunct w:val="0"/>
        <w:autoSpaceDE/>
        <w:autoSpaceDN/>
        <w:bidi w:val="0"/>
        <w:adjustRightInd w:val="0"/>
        <w:snapToGrid w:val="0"/>
        <w:spacing w:line="560" w:lineRule="exact"/>
        <w:ind w:left="0" w:firstLine="480" w:firstLineChars="200"/>
        <w:jc w:val="both"/>
        <w:textAlignment w:val="auto"/>
        <w:rPr>
          <w:rFonts w:hint="eastAsia" w:ascii="仿宋_GB2312" w:eastAsia="仿宋_GB2312"/>
          <w:sz w:val="24"/>
          <w:szCs w:val="30"/>
        </w:rPr>
      </w:pPr>
    </w:p>
    <w:p>
      <w:pPr>
        <w:pageBreakBefore w:val="0"/>
        <w:widowControl w:val="0"/>
        <w:kinsoku/>
        <w:wordWrap/>
        <w:overflowPunct/>
        <w:topLinePunct w:val="0"/>
        <w:autoSpaceDE/>
        <w:autoSpaceDN/>
        <w:bidi w:val="0"/>
        <w:adjustRightInd w:val="0"/>
        <w:snapToGrid w:val="0"/>
        <w:spacing w:line="560" w:lineRule="exact"/>
        <w:ind w:left="0" w:firstLine="480" w:firstLineChars="200"/>
        <w:jc w:val="both"/>
        <w:textAlignment w:val="auto"/>
        <w:rPr>
          <w:rFonts w:hint="eastAsia" w:ascii="仿宋_GB2312" w:eastAsia="仿宋_GB2312"/>
          <w:sz w:val="24"/>
          <w:szCs w:val="30"/>
        </w:rPr>
      </w:pPr>
    </w:p>
    <w:p>
      <w:pPr>
        <w:pageBreakBefore w:val="0"/>
        <w:widowControl w:val="0"/>
        <w:kinsoku/>
        <w:wordWrap/>
        <w:overflowPunct/>
        <w:topLinePunct w:val="0"/>
        <w:autoSpaceDE/>
        <w:autoSpaceDN/>
        <w:bidi w:val="0"/>
        <w:adjustRightInd w:val="0"/>
        <w:snapToGrid w:val="0"/>
        <w:spacing w:line="560" w:lineRule="exact"/>
        <w:ind w:left="0" w:firstLine="480" w:firstLineChars="200"/>
        <w:jc w:val="both"/>
        <w:textAlignment w:val="auto"/>
        <w:rPr>
          <w:rFonts w:hint="eastAsia" w:ascii="仿宋_GB2312" w:eastAsia="仿宋_GB2312"/>
          <w:sz w:val="24"/>
          <w:szCs w:val="30"/>
        </w:rPr>
      </w:pPr>
    </w:p>
    <w:p>
      <w:pPr>
        <w:pageBreakBefore w:val="0"/>
        <w:widowControl w:val="0"/>
        <w:kinsoku/>
        <w:wordWrap/>
        <w:overflowPunct/>
        <w:topLinePunct w:val="0"/>
        <w:autoSpaceDE/>
        <w:autoSpaceDN/>
        <w:bidi w:val="0"/>
        <w:adjustRightInd w:val="0"/>
        <w:snapToGrid w:val="0"/>
        <w:spacing w:line="560" w:lineRule="exact"/>
        <w:ind w:left="0" w:firstLine="480" w:firstLineChars="200"/>
        <w:jc w:val="both"/>
        <w:textAlignment w:val="auto"/>
        <w:rPr>
          <w:rFonts w:hint="eastAsia" w:ascii="仿宋_GB2312" w:eastAsia="仿宋_GB2312"/>
          <w:sz w:val="24"/>
          <w:szCs w:val="30"/>
        </w:rPr>
      </w:pPr>
    </w:p>
    <w:p>
      <w:pPr>
        <w:pageBreakBefore w:val="0"/>
        <w:widowControl w:val="0"/>
        <w:kinsoku/>
        <w:wordWrap/>
        <w:overflowPunct/>
        <w:topLinePunct w:val="0"/>
        <w:autoSpaceDE/>
        <w:autoSpaceDN/>
        <w:bidi w:val="0"/>
        <w:adjustRightInd w:val="0"/>
        <w:snapToGrid w:val="0"/>
        <w:spacing w:line="560" w:lineRule="exact"/>
        <w:ind w:left="0" w:firstLine="480" w:firstLineChars="200"/>
        <w:jc w:val="both"/>
        <w:textAlignment w:val="auto"/>
        <w:rPr>
          <w:rFonts w:hint="eastAsia" w:ascii="仿宋_GB2312" w:eastAsia="仿宋_GB2312"/>
          <w:sz w:val="24"/>
          <w:szCs w:val="30"/>
        </w:rPr>
      </w:pPr>
    </w:p>
    <w:p>
      <w:pPr>
        <w:pageBreakBefore w:val="0"/>
        <w:widowControl w:val="0"/>
        <w:kinsoku/>
        <w:wordWrap/>
        <w:overflowPunct/>
        <w:topLinePunct w:val="0"/>
        <w:autoSpaceDE/>
        <w:autoSpaceDN/>
        <w:bidi w:val="0"/>
        <w:adjustRightInd w:val="0"/>
        <w:snapToGrid w:val="0"/>
        <w:spacing w:line="560" w:lineRule="exact"/>
        <w:ind w:left="0" w:firstLine="480" w:firstLineChars="200"/>
        <w:jc w:val="both"/>
        <w:textAlignment w:val="auto"/>
        <w:rPr>
          <w:rFonts w:hint="eastAsia" w:ascii="仿宋_GB2312" w:eastAsia="仿宋_GB2312"/>
          <w:sz w:val="24"/>
          <w:szCs w:val="30"/>
        </w:rPr>
      </w:pPr>
    </w:p>
    <w:p>
      <w:pPr>
        <w:pageBreakBefore w:val="0"/>
        <w:widowControl w:val="0"/>
        <w:kinsoku/>
        <w:wordWrap/>
        <w:overflowPunct/>
        <w:topLinePunct w:val="0"/>
        <w:autoSpaceDE/>
        <w:autoSpaceDN/>
        <w:bidi w:val="0"/>
        <w:adjustRightInd w:val="0"/>
        <w:snapToGrid w:val="0"/>
        <w:spacing w:line="560" w:lineRule="exact"/>
        <w:ind w:left="0" w:firstLine="480" w:firstLineChars="200"/>
        <w:jc w:val="both"/>
        <w:textAlignment w:val="auto"/>
        <w:rPr>
          <w:rFonts w:hint="eastAsia" w:ascii="仿宋_GB2312" w:eastAsia="仿宋_GB2312"/>
          <w:sz w:val="24"/>
          <w:szCs w:val="30"/>
        </w:rPr>
      </w:pPr>
    </w:p>
    <w:p>
      <w:pPr>
        <w:pageBreakBefore w:val="0"/>
        <w:widowControl w:val="0"/>
        <w:kinsoku/>
        <w:wordWrap/>
        <w:overflowPunct/>
        <w:topLinePunct w:val="0"/>
        <w:autoSpaceDE/>
        <w:autoSpaceDN/>
        <w:bidi w:val="0"/>
        <w:spacing w:line="560" w:lineRule="exact"/>
        <w:ind w:left="0" w:firstLine="640" w:firstLineChars="200"/>
        <w:jc w:val="both"/>
        <w:textAlignment w:val="auto"/>
        <w:rPr>
          <w:rFonts w:hint="eastAsia" w:ascii="仿宋_GB2312" w:hAnsi="宋体" w:eastAsia="仿宋_GB2312" w:cs="Calibri"/>
          <w:sz w:val="32"/>
          <w:szCs w:val="32"/>
        </w:rPr>
      </w:pPr>
    </w:p>
    <w:p>
      <w:pPr>
        <w:pageBreakBefore w:val="0"/>
        <w:widowControl w:val="0"/>
        <w:kinsoku/>
        <w:wordWrap/>
        <w:overflowPunct/>
        <w:topLinePunct w:val="0"/>
        <w:autoSpaceDE/>
        <w:autoSpaceDN/>
        <w:bidi w:val="0"/>
        <w:spacing w:line="560" w:lineRule="exact"/>
        <w:ind w:left="0" w:firstLine="640" w:firstLineChars="200"/>
        <w:jc w:val="center"/>
        <w:textAlignment w:val="auto"/>
        <w:rPr>
          <w:rFonts w:hint="eastAsia" w:ascii="仿宋_GB2312" w:hAnsi="宋体" w:eastAsia="仿宋_GB2312" w:cs="Calibri"/>
          <w:sz w:val="32"/>
          <w:szCs w:val="32"/>
          <w:lang w:val="en-US" w:eastAsia="zh-CN"/>
        </w:rPr>
      </w:pPr>
      <w:r>
        <w:rPr>
          <w:rFonts w:hint="eastAsia" w:ascii="仿宋_GB2312" w:hAnsi="宋体" w:eastAsia="仿宋_GB2312" w:cs="Calibri"/>
          <w:sz w:val="32"/>
          <w:szCs w:val="32"/>
          <w:lang w:val="en-US" w:eastAsia="zh-CN"/>
        </w:rPr>
        <w:t>中国移动通信集团吉林有限公司</w:t>
      </w:r>
    </w:p>
    <w:p>
      <w:pPr>
        <w:pageBreakBefore w:val="0"/>
        <w:widowControl w:val="0"/>
        <w:kinsoku/>
        <w:wordWrap/>
        <w:overflowPunct/>
        <w:topLinePunct w:val="0"/>
        <w:autoSpaceDE/>
        <w:autoSpaceDN/>
        <w:bidi w:val="0"/>
        <w:spacing w:line="560" w:lineRule="exact"/>
        <w:ind w:left="0" w:firstLine="640" w:firstLineChars="200"/>
        <w:jc w:val="center"/>
        <w:textAlignment w:val="auto"/>
        <w:rPr>
          <w:rFonts w:hint="eastAsia" w:ascii="仿宋_GB2312" w:hAnsi="宋体" w:eastAsia="仿宋_GB2312" w:cs="Calibri"/>
          <w:sz w:val="32"/>
          <w:szCs w:val="32"/>
          <w:lang w:val="en-US" w:eastAsia="zh-CN"/>
        </w:rPr>
      </w:pPr>
      <w:r>
        <w:rPr>
          <w:rFonts w:hint="eastAsia" w:ascii="仿宋_GB2312" w:hAnsi="宋体" w:eastAsia="仿宋_GB2312" w:cs="Calibri"/>
          <w:sz w:val="32"/>
          <w:szCs w:val="32"/>
          <w:lang w:val="en-US" w:eastAsia="zh-CN"/>
        </w:rPr>
        <w:fldChar w:fldCharType="begin"/>
      </w:r>
      <w:r>
        <w:rPr>
          <w:rFonts w:hint="eastAsia" w:ascii="仿宋_GB2312" w:hAnsi="宋体" w:eastAsia="仿宋_GB2312" w:cs="Calibri"/>
          <w:sz w:val="32"/>
          <w:szCs w:val="32"/>
          <w:lang w:val="en-US" w:eastAsia="zh-CN"/>
        </w:rPr>
        <w:instrText xml:space="preserve"> TIME \@ "yyyy年M月" </w:instrText>
      </w:r>
      <w:r>
        <w:rPr>
          <w:rFonts w:hint="eastAsia" w:ascii="仿宋_GB2312" w:hAnsi="宋体" w:eastAsia="仿宋_GB2312" w:cs="Calibri"/>
          <w:sz w:val="32"/>
          <w:szCs w:val="32"/>
          <w:lang w:val="en-US" w:eastAsia="zh-CN"/>
        </w:rPr>
        <w:fldChar w:fldCharType="separate"/>
      </w:r>
      <w:r>
        <w:rPr>
          <w:rFonts w:hint="eastAsia" w:ascii="仿宋_GB2312" w:hAnsi="宋体" w:eastAsia="仿宋_GB2312" w:cs="Calibri"/>
          <w:sz w:val="32"/>
          <w:szCs w:val="32"/>
          <w:lang w:val="en-US" w:eastAsia="zh-CN"/>
        </w:rPr>
        <w:t>2025年9月</w:t>
      </w:r>
      <w:r>
        <w:rPr>
          <w:rFonts w:hint="eastAsia" w:ascii="仿宋_GB2312" w:hAnsi="宋体" w:eastAsia="仿宋_GB2312" w:cs="Calibri"/>
          <w:sz w:val="32"/>
          <w:szCs w:val="32"/>
          <w:lang w:val="en-US" w:eastAsia="zh-CN"/>
        </w:rPr>
        <w:fldChar w:fldCharType="end"/>
      </w:r>
    </w:p>
    <w:p>
      <w:pPr>
        <w:pStyle w:val="21"/>
        <w:pageBreakBefore w:val="0"/>
        <w:widowControl w:val="0"/>
        <w:numPr>
          <w:ilvl w:val="0"/>
          <w:numId w:val="0"/>
        </w:numPr>
        <w:kinsoku/>
        <w:wordWrap/>
        <w:overflowPunct/>
        <w:topLinePunct w:val="0"/>
        <w:autoSpaceDE/>
        <w:autoSpaceDN/>
        <w:bidi w:val="0"/>
        <w:spacing w:line="560" w:lineRule="exact"/>
        <w:ind w:left="0" w:firstLine="640" w:firstLineChars="200"/>
        <w:jc w:val="both"/>
        <w:textAlignment w:val="auto"/>
        <w:rPr>
          <w:rFonts w:hint="eastAsia"/>
        </w:rPr>
      </w:pPr>
      <w:r>
        <w:rPr>
          <w:rFonts w:hint="eastAsia"/>
        </w:rPr>
        <w:br w:type="page"/>
      </w:r>
      <w:bookmarkStart w:id="0" w:name="_Hlt70908031"/>
      <w:bookmarkEnd w:id="0"/>
      <w:bookmarkStart w:id="1" w:name="_Hlt70907995"/>
      <w:bookmarkEnd w:id="1"/>
      <w:bookmarkStart w:id="2" w:name="_Hlt70908159"/>
      <w:bookmarkEnd w:id="2"/>
      <w:r>
        <w:rPr>
          <w:rFonts w:hint="eastAsia" w:ascii="Times New Roman" w:hAnsi="Times New Roman" w:eastAsia="黑体" w:cs="Times New Roman"/>
          <w:b w:val="0"/>
          <w:bCs/>
          <w:kern w:val="44"/>
          <w:sz w:val="32"/>
          <w:szCs w:val="24"/>
          <w:lang w:val="en-US" w:eastAsia="zh-CN" w:bidi="ar-SA"/>
        </w:rPr>
        <w:t>一、总 则</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rPr>
      </w:pPr>
      <w:bookmarkStart w:id="3" w:name="_Toc358366103"/>
      <w:r>
        <w:rPr>
          <w:rFonts w:hint="eastAsia" w:ascii="楷体_GB2312" w:hAnsi="楷体_GB2312" w:eastAsia="楷体_GB2312" w:cs="楷体_GB2312"/>
          <w:b w:val="0"/>
          <w:bCs/>
          <w:sz w:val="32"/>
          <w:szCs w:val="32"/>
          <w:lang w:eastAsia="zh-CN"/>
        </w:rPr>
        <w:t>（一）</w:t>
      </w:r>
      <w:r>
        <w:rPr>
          <w:rFonts w:hint="eastAsia" w:ascii="楷体_GB2312" w:hAnsi="楷体_GB2312" w:eastAsia="楷体_GB2312" w:cs="楷体_GB2312"/>
          <w:b w:val="0"/>
          <w:bCs/>
          <w:sz w:val="32"/>
          <w:szCs w:val="32"/>
        </w:rPr>
        <w:t>目 的</w:t>
      </w:r>
      <w:bookmarkEnd w:id="3"/>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sz w:val="32"/>
          <w:szCs w:val="32"/>
        </w:rPr>
      </w:pPr>
      <w:r>
        <w:rPr>
          <w:rFonts w:hint="eastAsia" w:ascii="仿宋_GB2312" w:hAnsi="宋体" w:eastAsia="仿宋_GB2312"/>
          <w:sz w:val="32"/>
          <w:szCs w:val="32"/>
        </w:rPr>
        <w:t>为提高中国移动通信集团吉林有限公司数据安全突发事件的能力,形成科学、有效、反应迅速的应急工作机制，确保我公司重要信息系统的实体安全、运行安全和数据安全，最大限度地降低数据安全突发事件的危害，特制定本预案。</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4" w:name="_Toc358366104"/>
      <w:r>
        <w:rPr>
          <w:rFonts w:hint="eastAsia" w:ascii="楷体_GB2312" w:hAnsi="楷体_GB2312" w:eastAsia="楷体_GB2312" w:cs="楷体_GB2312"/>
          <w:b w:val="0"/>
          <w:bCs/>
          <w:sz w:val="32"/>
          <w:szCs w:val="32"/>
          <w:lang w:eastAsia="zh-CN"/>
        </w:rPr>
        <w:t>（二）工作原则</w:t>
      </w:r>
      <w:bookmarkEnd w:id="4"/>
      <w:r>
        <w:rPr>
          <w:rFonts w:hint="eastAsia" w:ascii="楷体_GB2312" w:hAnsi="楷体_GB2312" w:eastAsia="楷体_GB2312" w:cs="楷体_GB2312"/>
          <w:b w:val="0"/>
          <w:bCs/>
          <w:sz w:val="32"/>
          <w:szCs w:val="32"/>
          <w:lang w:eastAsia="zh-CN"/>
        </w:rPr>
        <w:t xml:space="preserve">  </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数据安全突发事件应急处理工作坚持统一领导、分工负责、协作配合、及时预警、快速处理、确保恢复的原则。</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5" w:name="_Toc358366105"/>
      <w:bookmarkStart w:id="6" w:name="_Toc70909158"/>
      <w:r>
        <w:rPr>
          <w:rFonts w:hint="eastAsia" w:ascii="楷体_GB2312" w:hAnsi="楷体_GB2312" w:eastAsia="楷体_GB2312" w:cs="楷体_GB2312"/>
          <w:b w:val="0"/>
          <w:bCs/>
          <w:sz w:val="32"/>
          <w:szCs w:val="32"/>
          <w:lang w:eastAsia="zh-CN"/>
        </w:rPr>
        <w:t>（三）编制依据</w:t>
      </w:r>
      <w:bookmarkEnd w:id="5"/>
      <w:bookmarkEnd w:id="6"/>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《中华人民共和国网络安全法》；</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《中华人民共和国</w:t>
      </w:r>
      <w:r>
        <w:rPr>
          <w:rFonts w:hint="eastAsia" w:ascii="仿宋_GB2312" w:hAnsi="宋体" w:eastAsia="仿宋_GB2312" w:cs="Times New Roman"/>
          <w:sz w:val="32"/>
          <w:szCs w:val="32"/>
          <w:lang w:eastAsia="zh-CN"/>
        </w:rPr>
        <w:t>数据</w:t>
      </w:r>
      <w:r>
        <w:rPr>
          <w:rFonts w:hint="eastAsia" w:ascii="仿宋_GB2312" w:hAnsi="宋体" w:eastAsia="仿宋_GB2312" w:cs="Times New Roman"/>
          <w:sz w:val="32"/>
          <w:szCs w:val="32"/>
        </w:rPr>
        <w:t>安全法》；</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《电信和互联网用户个人信息保护规定》；</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lang w:eastAsia="zh-CN"/>
        </w:rPr>
      </w:pPr>
      <w:r>
        <w:rPr>
          <w:rFonts w:hint="eastAsia" w:ascii="仿宋_GB2312" w:hAnsi="宋体" w:eastAsia="仿宋_GB2312" w:cs="Times New Roman"/>
          <w:sz w:val="32"/>
          <w:szCs w:val="32"/>
        </w:rPr>
        <w:t>《中国移动通信集团吉林有限公司客户信息安全保护管理规定》</w:t>
      </w:r>
      <w:r>
        <w:rPr>
          <w:rFonts w:hint="eastAsia" w:ascii="仿宋_GB2312" w:hAnsi="宋体" w:eastAsia="仿宋_GB2312" w:cs="Times New Roman"/>
          <w:sz w:val="32"/>
          <w:szCs w:val="32"/>
          <w:lang w:eastAsia="zh-CN"/>
        </w:rPr>
        <w:t>等。</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7" w:name="_Hlt70909358"/>
      <w:bookmarkEnd w:id="7"/>
      <w:bookmarkStart w:id="8" w:name="_Toc358366106"/>
      <w:r>
        <w:rPr>
          <w:rFonts w:hint="eastAsia" w:ascii="楷体_GB2312" w:hAnsi="楷体_GB2312" w:eastAsia="楷体_GB2312" w:cs="楷体_GB2312"/>
          <w:b w:val="0"/>
          <w:bCs/>
          <w:sz w:val="32"/>
          <w:szCs w:val="32"/>
          <w:lang w:eastAsia="zh-CN"/>
        </w:rPr>
        <w:t>（四）适用范围</w:t>
      </w:r>
      <w:bookmarkEnd w:id="8"/>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本预案适用于以下情况的应急准备、监测与预警、应急处置与支援、事后恢复与整改等数据安全突发事件应急工作。</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1、中国移动吉林公司运营的重要信息系统突然遭受不可预知外力的破坏、毁损或故障；</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2、中国移动吉林公司保存的重要数据信息主动或被动产生泄露、损坏和丢失，有可能造成危害的紧急网络数据安全事件。</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9" w:name="_Toc358366107"/>
      <w:r>
        <w:rPr>
          <w:rFonts w:hint="eastAsia" w:ascii="楷体_GB2312" w:hAnsi="楷体_GB2312" w:eastAsia="楷体_GB2312" w:cs="楷体_GB2312"/>
          <w:b w:val="0"/>
          <w:bCs/>
          <w:sz w:val="32"/>
          <w:szCs w:val="32"/>
          <w:lang w:eastAsia="zh-CN"/>
        </w:rPr>
        <w:t>（五）分级响应原则</w:t>
      </w:r>
      <w:bookmarkEnd w:id="9"/>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按照危害程度、影响范围等因素，中国移动吉林公司将数据安全突发事件分为特别重大、重大、较大和一般四级。事件发生后应当采取相应级别的应急处置措施。</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中国移动吉林公司运营的业务系统发生数据安全事件分级标准由中国移动吉林公司在本预案中制定。法律、行政法规或上级部门另有规定的，从其规定。</w:t>
      </w:r>
    </w:p>
    <w:p>
      <w:pPr>
        <w:pageBreakBefore w:val="0"/>
        <w:widowControl w:val="0"/>
        <w:kinsoku/>
        <w:wordWrap/>
        <w:overflowPunct/>
        <w:topLinePunct w:val="0"/>
        <w:autoSpaceDE/>
        <w:autoSpaceDN/>
        <w:bidi w:val="0"/>
        <w:spacing w:line="560" w:lineRule="exact"/>
        <w:ind w:left="0" w:firstLine="640" w:firstLineChars="200"/>
        <w:jc w:val="both"/>
        <w:textAlignment w:val="auto"/>
        <w:rPr>
          <w:rFonts w:hint="eastAsia" w:ascii="仿宋_GB2312" w:hAnsi="宋体" w:eastAsia="仿宋_GB2312"/>
          <w:sz w:val="32"/>
          <w:szCs w:val="32"/>
        </w:rPr>
      </w:pPr>
    </w:p>
    <w:p>
      <w:pPr>
        <w:pStyle w:val="2"/>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firstLine="640" w:firstLineChars="200"/>
        <w:jc w:val="both"/>
        <w:textAlignment w:val="auto"/>
        <w:rPr>
          <w:rFonts w:hint="eastAsia" w:ascii="Times New Roman" w:hAnsi="Times New Roman" w:eastAsia="黑体" w:cs="Times New Roman"/>
          <w:b w:val="0"/>
          <w:bCs/>
          <w:kern w:val="44"/>
          <w:sz w:val="32"/>
          <w:szCs w:val="24"/>
          <w:lang w:val="en-US" w:eastAsia="zh-CN" w:bidi="ar-SA"/>
        </w:rPr>
      </w:pPr>
      <w:bookmarkStart w:id="10" w:name="_Toc77663183"/>
      <w:bookmarkEnd w:id="10"/>
      <w:bookmarkStart w:id="11" w:name="_Toc77666673"/>
      <w:bookmarkEnd w:id="11"/>
      <w:bookmarkStart w:id="12" w:name="_Toc77666757"/>
      <w:bookmarkEnd w:id="12"/>
      <w:bookmarkStart w:id="13" w:name="_Toc78788362"/>
      <w:bookmarkEnd w:id="13"/>
      <w:bookmarkStart w:id="14" w:name="_Toc77663100"/>
      <w:bookmarkEnd w:id="14"/>
      <w:bookmarkStart w:id="15" w:name="_Toc78788363"/>
      <w:bookmarkEnd w:id="15"/>
      <w:bookmarkStart w:id="16" w:name="_Toc78012139"/>
      <w:bookmarkEnd w:id="16"/>
      <w:bookmarkStart w:id="17" w:name="_Toc78082738"/>
      <w:bookmarkEnd w:id="17"/>
      <w:bookmarkStart w:id="18" w:name="_Toc78788244"/>
      <w:bookmarkEnd w:id="18"/>
      <w:bookmarkStart w:id="19" w:name="_Toc77666736"/>
      <w:bookmarkEnd w:id="19"/>
      <w:bookmarkStart w:id="20" w:name="_Toc77663162"/>
      <w:bookmarkEnd w:id="20"/>
      <w:bookmarkStart w:id="21" w:name="_Toc77666734"/>
      <w:bookmarkEnd w:id="21"/>
      <w:bookmarkStart w:id="22" w:name="_Toc77663077"/>
      <w:bookmarkEnd w:id="22"/>
      <w:bookmarkStart w:id="23" w:name="_Toc78788221"/>
      <w:bookmarkEnd w:id="23"/>
      <w:bookmarkStart w:id="24" w:name="_Toc78788222"/>
      <w:bookmarkEnd w:id="24"/>
      <w:bookmarkStart w:id="25" w:name="_Toc78082715"/>
      <w:bookmarkEnd w:id="25"/>
      <w:bookmarkStart w:id="26" w:name="_Toc77666650"/>
      <w:bookmarkEnd w:id="26"/>
      <w:bookmarkStart w:id="27" w:name="_Toc77666735"/>
      <w:bookmarkEnd w:id="27"/>
      <w:bookmarkStart w:id="28" w:name="_Toc77663078"/>
      <w:bookmarkEnd w:id="28"/>
      <w:bookmarkStart w:id="29" w:name="_Toc78012116"/>
      <w:bookmarkEnd w:id="29"/>
      <w:bookmarkStart w:id="30" w:name="_Toc77663160"/>
      <w:bookmarkEnd w:id="30"/>
      <w:bookmarkStart w:id="31" w:name="_Toc78788220"/>
      <w:bookmarkEnd w:id="31"/>
      <w:bookmarkStart w:id="32" w:name="_Toc77666733"/>
      <w:bookmarkEnd w:id="32"/>
      <w:bookmarkStart w:id="33" w:name="_Toc78788341"/>
      <w:bookmarkEnd w:id="33"/>
      <w:bookmarkStart w:id="34" w:name="_Toc77663159"/>
      <w:bookmarkEnd w:id="34"/>
      <w:bookmarkStart w:id="35" w:name="_Toc77663079"/>
      <w:bookmarkEnd w:id="35"/>
      <w:bookmarkStart w:id="36" w:name="_Toc78082717"/>
      <w:bookmarkEnd w:id="36"/>
      <w:bookmarkStart w:id="37" w:name="_Toc78788223"/>
      <w:bookmarkEnd w:id="37"/>
      <w:bookmarkStart w:id="38" w:name="_Toc78788340"/>
      <w:bookmarkEnd w:id="38"/>
      <w:bookmarkStart w:id="39" w:name="_（一）部应急办组成"/>
      <w:bookmarkEnd w:id="39"/>
      <w:bookmarkStart w:id="40" w:name="_Toc78082714"/>
      <w:bookmarkEnd w:id="40"/>
      <w:bookmarkStart w:id="41" w:name="_Toc77663076"/>
      <w:bookmarkEnd w:id="41"/>
      <w:bookmarkStart w:id="42" w:name="_Toc78082716"/>
      <w:bookmarkEnd w:id="42"/>
      <w:bookmarkStart w:id="43" w:name="_Toc78788339"/>
      <w:bookmarkEnd w:id="43"/>
      <w:bookmarkStart w:id="44" w:name="_Toc77666652"/>
      <w:bookmarkEnd w:id="44"/>
      <w:bookmarkStart w:id="45" w:name="_Toc77663161"/>
      <w:bookmarkEnd w:id="45"/>
      <w:bookmarkStart w:id="46" w:name="_Toc78012115"/>
      <w:bookmarkEnd w:id="46"/>
      <w:bookmarkStart w:id="47" w:name="_Toc70909164"/>
      <w:bookmarkEnd w:id="47"/>
      <w:bookmarkStart w:id="48" w:name="_Toc78012118"/>
      <w:bookmarkEnd w:id="48"/>
      <w:bookmarkStart w:id="49" w:name="_Toc77666649"/>
      <w:bookmarkEnd w:id="49"/>
      <w:bookmarkStart w:id="50" w:name="_Hlt70909302"/>
      <w:bookmarkEnd w:id="50"/>
      <w:bookmarkStart w:id="51" w:name="_Toc77666651"/>
      <w:bookmarkEnd w:id="51"/>
      <w:bookmarkStart w:id="52" w:name="_Toc78012117"/>
      <w:bookmarkEnd w:id="52"/>
      <w:bookmarkStart w:id="53" w:name="_Toc78788345"/>
      <w:bookmarkEnd w:id="53"/>
      <w:bookmarkStart w:id="54" w:name="_Toc77663083"/>
      <w:bookmarkEnd w:id="54"/>
      <w:bookmarkStart w:id="55" w:name="_Toc78788224"/>
      <w:bookmarkEnd w:id="55"/>
      <w:bookmarkStart w:id="56" w:name="_Toc77663166"/>
      <w:bookmarkEnd w:id="56"/>
      <w:bookmarkStart w:id="57" w:name="_Toc77666740"/>
      <w:bookmarkEnd w:id="57"/>
      <w:bookmarkStart w:id="58" w:name="_Toc77666653"/>
      <w:bookmarkEnd w:id="58"/>
      <w:bookmarkStart w:id="59" w:name="_Toc78012122"/>
      <w:bookmarkEnd w:id="59"/>
      <w:bookmarkStart w:id="60" w:name="_Toc78082721"/>
      <w:bookmarkEnd w:id="60"/>
      <w:bookmarkStart w:id="61" w:name="_Toc77663082"/>
      <w:bookmarkEnd w:id="61"/>
      <w:bookmarkStart w:id="62" w:name="_Toc78788227"/>
      <w:bookmarkEnd w:id="62"/>
      <w:bookmarkStart w:id="63" w:name="_Toc77666656"/>
      <w:bookmarkEnd w:id="63"/>
      <w:bookmarkStart w:id="64" w:name="_Toc77663164"/>
      <w:bookmarkEnd w:id="64"/>
      <w:bookmarkStart w:id="65" w:name="_Toc78082720"/>
      <w:bookmarkEnd w:id="65"/>
      <w:bookmarkStart w:id="66" w:name="_Toc78012121"/>
      <w:bookmarkEnd w:id="66"/>
      <w:bookmarkStart w:id="67" w:name="_Toc78788343"/>
      <w:bookmarkEnd w:id="67"/>
      <w:bookmarkStart w:id="68" w:name="_Toc78012120"/>
      <w:bookmarkEnd w:id="68"/>
      <w:bookmarkStart w:id="69" w:name="_Toc78788342"/>
      <w:bookmarkEnd w:id="69"/>
      <w:bookmarkStart w:id="70" w:name="_Toc77666737"/>
      <w:bookmarkEnd w:id="70"/>
      <w:bookmarkStart w:id="71" w:name="_Toc77663081"/>
      <w:bookmarkEnd w:id="71"/>
      <w:bookmarkStart w:id="72" w:name="_Toc78082719"/>
      <w:bookmarkEnd w:id="72"/>
      <w:bookmarkStart w:id="73" w:name="_Toc77666739"/>
      <w:bookmarkEnd w:id="73"/>
      <w:bookmarkStart w:id="74" w:name="_Toc77663165"/>
      <w:bookmarkEnd w:id="74"/>
      <w:bookmarkStart w:id="75" w:name="_Toc78012119"/>
      <w:bookmarkEnd w:id="75"/>
      <w:bookmarkStart w:id="76" w:name="_Toc78082718"/>
      <w:bookmarkEnd w:id="76"/>
      <w:bookmarkStart w:id="77" w:name="_Toc77663080"/>
      <w:bookmarkEnd w:id="77"/>
      <w:bookmarkStart w:id="78" w:name="_Toc77666654"/>
      <w:bookmarkEnd w:id="78"/>
      <w:bookmarkStart w:id="79" w:name="_Toc77663163"/>
      <w:bookmarkEnd w:id="79"/>
      <w:bookmarkStart w:id="80" w:name="_Toc77666738"/>
      <w:bookmarkEnd w:id="80"/>
      <w:bookmarkStart w:id="81" w:name="_Toc78788344"/>
      <w:bookmarkEnd w:id="81"/>
      <w:bookmarkStart w:id="82" w:name="_Toc77666655"/>
      <w:bookmarkEnd w:id="82"/>
      <w:bookmarkStart w:id="83" w:name="_Toc78788225"/>
      <w:bookmarkEnd w:id="83"/>
      <w:bookmarkStart w:id="84" w:name="_Toc78788226"/>
      <w:bookmarkEnd w:id="84"/>
      <w:bookmarkStart w:id="85" w:name="_Toc77666744"/>
      <w:bookmarkEnd w:id="85"/>
      <w:bookmarkStart w:id="86" w:name="_Toc78012126"/>
      <w:bookmarkEnd w:id="86"/>
      <w:bookmarkStart w:id="87" w:name="_Toc77666657"/>
      <w:bookmarkEnd w:id="87"/>
      <w:bookmarkStart w:id="88" w:name="_Toc78788230"/>
      <w:bookmarkEnd w:id="88"/>
      <w:bookmarkStart w:id="89" w:name="_Toc78082725"/>
      <w:bookmarkEnd w:id="89"/>
      <w:bookmarkStart w:id="90" w:name="_Toc78788231"/>
      <w:bookmarkEnd w:id="90"/>
      <w:bookmarkStart w:id="91" w:name="_Toc78788349"/>
      <w:bookmarkEnd w:id="91"/>
      <w:bookmarkStart w:id="92" w:name="_Toc77663167"/>
      <w:bookmarkEnd w:id="92"/>
      <w:bookmarkStart w:id="93" w:name="_Toc77663085"/>
      <w:bookmarkEnd w:id="93"/>
      <w:bookmarkStart w:id="94" w:name="_Toc77666660"/>
      <w:bookmarkEnd w:id="94"/>
      <w:bookmarkStart w:id="95" w:name="_Toc77663087"/>
      <w:bookmarkEnd w:id="95"/>
      <w:bookmarkStart w:id="96" w:name="_Toc78082722"/>
      <w:bookmarkEnd w:id="96"/>
      <w:bookmarkStart w:id="97" w:name="_Toc78788228"/>
      <w:bookmarkEnd w:id="97"/>
      <w:bookmarkStart w:id="98" w:name="_Toc78012124"/>
      <w:bookmarkEnd w:id="98"/>
      <w:bookmarkStart w:id="99" w:name="_Toc77663168"/>
      <w:bookmarkEnd w:id="99"/>
      <w:bookmarkStart w:id="100" w:name="_Toc77666741"/>
      <w:bookmarkEnd w:id="100"/>
      <w:bookmarkStart w:id="101" w:name="_Toc77663084"/>
      <w:bookmarkEnd w:id="101"/>
      <w:bookmarkStart w:id="102" w:name="_Toc77666742"/>
      <w:bookmarkEnd w:id="102"/>
      <w:bookmarkStart w:id="103" w:name="_Toc78082723"/>
      <w:bookmarkEnd w:id="103"/>
      <w:bookmarkStart w:id="104" w:name="_Toc77666658"/>
      <w:bookmarkEnd w:id="104"/>
      <w:bookmarkStart w:id="105" w:name="_Toc78012123"/>
      <w:bookmarkEnd w:id="105"/>
      <w:bookmarkStart w:id="106" w:name="_Toc77663169"/>
      <w:bookmarkEnd w:id="106"/>
      <w:bookmarkStart w:id="107" w:name="_Toc77666659"/>
      <w:bookmarkEnd w:id="107"/>
      <w:bookmarkStart w:id="108" w:name="_Toc77663086"/>
      <w:bookmarkEnd w:id="108"/>
      <w:bookmarkStart w:id="109" w:name="_Toc78788346"/>
      <w:bookmarkEnd w:id="109"/>
      <w:bookmarkStart w:id="110" w:name="_Toc77666743"/>
      <w:bookmarkEnd w:id="110"/>
      <w:bookmarkStart w:id="111" w:name="_Toc78082724"/>
      <w:bookmarkEnd w:id="111"/>
      <w:bookmarkStart w:id="112" w:name="_Toc77663170"/>
      <w:bookmarkEnd w:id="112"/>
      <w:bookmarkStart w:id="113" w:name="_Toc78788348"/>
      <w:bookmarkEnd w:id="113"/>
      <w:bookmarkStart w:id="114" w:name="_Toc78788347"/>
      <w:bookmarkEnd w:id="114"/>
      <w:bookmarkStart w:id="115" w:name="_Toc78788229"/>
      <w:bookmarkEnd w:id="115"/>
      <w:bookmarkStart w:id="116" w:name="_Toc78012125"/>
      <w:bookmarkEnd w:id="116"/>
      <w:bookmarkStart w:id="117" w:name="_Toc77663089"/>
      <w:bookmarkEnd w:id="117"/>
      <w:bookmarkStart w:id="118" w:name="_Toc78788353"/>
      <w:bookmarkEnd w:id="118"/>
      <w:bookmarkStart w:id="119" w:name="_Toc77663091"/>
      <w:bookmarkEnd w:id="119"/>
      <w:bookmarkStart w:id="120" w:name="_Toc77663174"/>
      <w:bookmarkEnd w:id="120"/>
      <w:bookmarkStart w:id="121" w:name="_Toc77666745"/>
      <w:bookmarkEnd w:id="121"/>
      <w:bookmarkStart w:id="122" w:name="_Toc78012129"/>
      <w:bookmarkEnd w:id="122"/>
      <w:bookmarkStart w:id="123" w:name="_Toc77666746"/>
      <w:bookmarkEnd w:id="123"/>
      <w:bookmarkStart w:id="124" w:name="_Toc77666664"/>
      <w:bookmarkEnd w:id="124"/>
      <w:bookmarkStart w:id="125" w:name="_Toc78012130"/>
      <w:bookmarkEnd w:id="125"/>
      <w:bookmarkStart w:id="126" w:name="_Toc78788352"/>
      <w:bookmarkEnd w:id="126"/>
      <w:bookmarkStart w:id="127" w:name="_Toc78082726"/>
      <w:bookmarkEnd w:id="127"/>
      <w:bookmarkStart w:id="128" w:name="_Toc77666748"/>
      <w:bookmarkEnd w:id="128"/>
      <w:bookmarkStart w:id="129" w:name="_Toc78082729"/>
      <w:bookmarkEnd w:id="129"/>
      <w:bookmarkStart w:id="130" w:name="_Toc78788235"/>
      <w:bookmarkEnd w:id="130"/>
      <w:bookmarkStart w:id="131" w:name="_Toc77663171"/>
      <w:bookmarkEnd w:id="131"/>
      <w:bookmarkStart w:id="132" w:name="_Toc78012127"/>
      <w:bookmarkEnd w:id="132"/>
      <w:bookmarkStart w:id="133" w:name="_Toc77663088"/>
      <w:bookmarkEnd w:id="133"/>
      <w:bookmarkStart w:id="134" w:name="_Toc77666661"/>
      <w:bookmarkEnd w:id="134"/>
      <w:bookmarkStart w:id="135" w:name="_Toc78788351"/>
      <w:bookmarkEnd w:id="135"/>
      <w:bookmarkStart w:id="136" w:name="_Toc78788233"/>
      <w:bookmarkEnd w:id="136"/>
      <w:bookmarkStart w:id="137" w:name="_Toc78012128"/>
      <w:bookmarkEnd w:id="137"/>
      <w:bookmarkStart w:id="138" w:name="_Toc77663090"/>
      <w:bookmarkEnd w:id="138"/>
      <w:bookmarkStart w:id="139" w:name="_Toc77663173"/>
      <w:bookmarkEnd w:id="139"/>
      <w:bookmarkStart w:id="140" w:name="_Toc78788232"/>
      <w:bookmarkEnd w:id="140"/>
      <w:bookmarkStart w:id="141" w:name="_Toc77666663"/>
      <w:bookmarkEnd w:id="141"/>
      <w:bookmarkStart w:id="142" w:name="_Toc77663172"/>
      <w:bookmarkEnd w:id="142"/>
      <w:bookmarkStart w:id="143" w:name="_Toc77666747"/>
      <w:bookmarkEnd w:id="143"/>
      <w:bookmarkStart w:id="144" w:name="_Toc77666662"/>
      <w:bookmarkEnd w:id="144"/>
      <w:bookmarkStart w:id="145" w:name="_Toc78082728"/>
      <w:bookmarkEnd w:id="145"/>
      <w:bookmarkStart w:id="146" w:name="_Toc78082727"/>
      <w:bookmarkEnd w:id="146"/>
      <w:bookmarkStart w:id="147" w:name="_Toc78788350"/>
      <w:bookmarkEnd w:id="147"/>
      <w:bookmarkStart w:id="148" w:name="_Toc78788234"/>
      <w:bookmarkEnd w:id="148"/>
      <w:bookmarkStart w:id="149" w:name="_Toc77663177"/>
      <w:bookmarkEnd w:id="149"/>
      <w:bookmarkStart w:id="150" w:name="_Toc78788237"/>
      <w:bookmarkEnd w:id="150"/>
      <w:bookmarkStart w:id="151" w:name="_Toc77666749"/>
      <w:bookmarkEnd w:id="151"/>
      <w:bookmarkStart w:id="152" w:name="_Toc77663094"/>
      <w:bookmarkEnd w:id="152"/>
      <w:bookmarkStart w:id="153" w:name="_Toc78788238"/>
      <w:bookmarkEnd w:id="153"/>
      <w:bookmarkStart w:id="154" w:name="_Toc77666752"/>
      <w:bookmarkEnd w:id="154"/>
      <w:bookmarkStart w:id="155" w:name="_Toc77666750"/>
      <w:bookmarkEnd w:id="155"/>
      <w:bookmarkStart w:id="156" w:name="_Toc78012134"/>
      <w:bookmarkEnd w:id="156"/>
      <w:bookmarkStart w:id="157" w:name="_Toc78788355"/>
      <w:bookmarkEnd w:id="157"/>
      <w:bookmarkStart w:id="158" w:name="_Toc78788357"/>
      <w:bookmarkEnd w:id="158"/>
      <w:bookmarkStart w:id="159" w:name="_Toc78082733"/>
      <w:bookmarkEnd w:id="159"/>
      <w:bookmarkStart w:id="160" w:name="_Toc77666668"/>
      <w:bookmarkEnd w:id="160"/>
      <w:bookmarkStart w:id="161" w:name="_Toc77663178"/>
      <w:bookmarkEnd w:id="161"/>
      <w:bookmarkStart w:id="162" w:name="_Toc78788239"/>
      <w:bookmarkEnd w:id="162"/>
      <w:bookmarkStart w:id="163" w:name="_Toc77663095"/>
      <w:bookmarkEnd w:id="163"/>
      <w:bookmarkStart w:id="164" w:name="_Toc77666665"/>
      <w:bookmarkEnd w:id="164"/>
      <w:bookmarkStart w:id="165" w:name="_Toc78788354"/>
      <w:bookmarkEnd w:id="165"/>
      <w:bookmarkStart w:id="166" w:name="_Toc78788236"/>
      <w:bookmarkEnd w:id="166"/>
      <w:bookmarkStart w:id="167" w:name="_Toc77663093"/>
      <w:bookmarkEnd w:id="167"/>
      <w:bookmarkStart w:id="168" w:name="_Toc77663176"/>
      <w:bookmarkEnd w:id="168"/>
      <w:bookmarkStart w:id="169" w:name="_Toc78082730"/>
      <w:bookmarkEnd w:id="169"/>
      <w:bookmarkStart w:id="170" w:name="_Toc78012131"/>
      <w:bookmarkEnd w:id="170"/>
      <w:bookmarkStart w:id="171" w:name="_Toc77666667"/>
      <w:bookmarkEnd w:id="171"/>
      <w:bookmarkStart w:id="172" w:name="_Toc78012133"/>
      <w:bookmarkEnd w:id="172"/>
      <w:bookmarkStart w:id="173" w:name="_Toc78788356"/>
      <w:bookmarkEnd w:id="173"/>
      <w:bookmarkStart w:id="174" w:name="_Toc77666751"/>
      <w:bookmarkEnd w:id="174"/>
      <w:bookmarkStart w:id="175" w:name="_Toc78082732"/>
      <w:bookmarkEnd w:id="175"/>
      <w:bookmarkStart w:id="176" w:name="_Toc78012132"/>
      <w:bookmarkEnd w:id="176"/>
      <w:bookmarkStart w:id="177" w:name="_Toc77663175"/>
      <w:bookmarkEnd w:id="177"/>
      <w:bookmarkStart w:id="178" w:name="_Toc78082731"/>
      <w:bookmarkEnd w:id="178"/>
      <w:bookmarkStart w:id="179" w:name="_Toc77663092"/>
      <w:bookmarkEnd w:id="179"/>
      <w:bookmarkStart w:id="180" w:name="_Toc77666666"/>
      <w:bookmarkEnd w:id="180"/>
      <w:bookmarkStart w:id="181" w:name="_Toc77666672"/>
      <w:bookmarkEnd w:id="181"/>
      <w:bookmarkStart w:id="182" w:name="_Toc77666754"/>
      <w:bookmarkEnd w:id="182"/>
      <w:bookmarkStart w:id="183" w:name="_Toc77663096"/>
      <w:bookmarkEnd w:id="183"/>
      <w:bookmarkStart w:id="184" w:name="_Toc78082735"/>
      <w:bookmarkEnd w:id="184"/>
      <w:bookmarkStart w:id="185" w:name="_Toc78788361"/>
      <w:bookmarkEnd w:id="185"/>
      <w:bookmarkStart w:id="186" w:name="_Toc77663181"/>
      <w:bookmarkEnd w:id="186"/>
      <w:bookmarkStart w:id="187" w:name="_Toc77663097"/>
      <w:bookmarkEnd w:id="187"/>
      <w:bookmarkStart w:id="188" w:name="_Toc77663098"/>
      <w:bookmarkEnd w:id="188"/>
      <w:bookmarkStart w:id="189" w:name="_Toc78012135"/>
      <w:bookmarkEnd w:id="189"/>
      <w:bookmarkStart w:id="190" w:name="_Toc77666671"/>
      <w:bookmarkEnd w:id="190"/>
      <w:bookmarkStart w:id="191" w:name="_Toc78082736"/>
      <w:bookmarkEnd w:id="191"/>
      <w:bookmarkStart w:id="192" w:name="_Toc77666756"/>
      <w:bookmarkEnd w:id="192"/>
      <w:bookmarkStart w:id="193" w:name="_Toc78788242"/>
      <w:bookmarkEnd w:id="193"/>
      <w:bookmarkStart w:id="194" w:name="_Toc77666755"/>
      <w:bookmarkEnd w:id="194"/>
      <w:bookmarkStart w:id="195" w:name="_Toc78012138"/>
      <w:bookmarkEnd w:id="195"/>
      <w:bookmarkStart w:id="196" w:name="_Toc78788358"/>
      <w:bookmarkEnd w:id="196"/>
      <w:bookmarkStart w:id="197" w:name="_Toc77666753"/>
      <w:bookmarkEnd w:id="197"/>
      <w:bookmarkStart w:id="198" w:name="_Toc78082734"/>
      <w:bookmarkEnd w:id="198"/>
      <w:bookmarkStart w:id="199" w:name="_Toc78788240"/>
      <w:bookmarkEnd w:id="199"/>
      <w:bookmarkStart w:id="200" w:name="_Toc78082737"/>
      <w:bookmarkEnd w:id="200"/>
      <w:bookmarkStart w:id="201" w:name="_Toc77666669"/>
      <w:bookmarkEnd w:id="201"/>
      <w:bookmarkStart w:id="202" w:name="_Toc77663179"/>
      <w:bookmarkEnd w:id="202"/>
      <w:bookmarkStart w:id="203" w:name="_Toc78788360"/>
      <w:bookmarkEnd w:id="203"/>
      <w:bookmarkStart w:id="204" w:name="_Toc77663099"/>
      <w:bookmarkEnd w:id="204"/>
      <w:bookmarkStart w:id="205" w:name="_Toc78012136"/>
      <w:bookmarkEnd w:id="205"/>
      <w:bookmarkStart w:id="206" w:name="_Toc77663182"/>
      <w:bookmarkEnd w:id="206"/>
      <w:bookmarkStart w:id="207" w:name="_Toc78788243"/>
      <w:bookmarkEnd w:id="207"/>
      <w:bookmarkStart w:id="208" w:name="_Toc77663180"/>
      <w:bookmarkEnd w:id="208"/>
      <w:bookmarkStart w:id="209" w:name="_Toc77666670"/>
      <w:bookmarkEnd w:id="209"/>
      <w:bookmarkStart w:id="210" w:name="_Toc78788241"/>
      <w:bookmarkEnd w:id="210"/>
      <w:bookmarkStart w:id="211" w:name="_Toc78012137"/>
      <w:bookmarkEnd w:id="211"/>
      <w:bookmarkStart w:id="212" w:name="_Toc78788359"/>
      <w:bookmarkEnd w:id="212"/>
      <w:bookmarkStart w:id="213" w:name="_Toc70909160"/>
      <w:bookmarkStart w:id="214" w:name="_Toc358366108"/>
      <w:r>
        <w:rPr>
          <w:rFonts w:hint="eastAsia" w:ascii="Times New Roman" w:hAnsi="Times New Roman" w:eastAsia="黑体" w:cs="Times New Roman"/>
          <w:b w:val="0"/>
          <w:bCs/>
          <w:kern w:val="44"/>
          <w:sz w:val="32"/>
          <w:szCs w:val="24"/>
          <w:lang w:val="en-US" w:eastAsia="zh-CN" w:bidi="ar-SA"/>
        </w:rPr>
        <w:t>二、组织体系和职责</w:t>
      </w:r>
      <w:bookmarkEnd w:id="213"/>
      <w:bookmarkEnd w:id="214"/>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中国移动吉林公司已成立网络安全领导小组和信息安全管理部，负责领导、组织、协调本省网络与信息安全各方面工作。</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15" w:name="_Toc358366110"/>
      <w:r>
        <w:rPr>
          <w:rFonts w:hint="eastAsia" w:ascii="楷体_GB2312" w:hAnsi="楷体_GB2312" w:eastAsia="楷体_GB2312" w:cs="楷体_GB2312"/>
          <w:b w:val="0"/>
          <w:bCs/>
          <w:sz w:val="32"/>
          <w:szCs w:val="32"/>
          <w:lang w:eastAsia="zh-CN"/>
        </w:rPr>
        <w:t>（一）中国移动吉林公司网络安全领导小组的组成和安全应急职责</w:t>
      </w:r>
      <w:bookmarkEnd w:id="215"/>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中国移动吉林公司网络安全领导小组在数据安全突发事件应急处理方面职责如下：</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1、贯彻国家有关方针政策，审定数据安全突发事件应急响应相关政策及规定；</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2、启动/终止预案，并负责数据安全突发事件应急工作的总体指挥和协调；</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3、根据上级部门指示，决策重大数据安全突发事件的应急处理实施方案，并向上级部门汇报实施和进展情况；</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16" w:name="_Toc358366111"/>
      <w:r>
        <w:rPr>
          <w:rFonts w:hint="eastAsia" w:ascii="楷体_GB2312" w:hAnsi="楷体_GB2312" w:eastAsia="楷体_GB2312" w:cs="楷体_GB2312"/>
          <w:b w:val="0"/>
          <w:bCs/>
          <w:sz w:val="32"/>
          <w:szCs w:val="32"/>
          <w:lang w:eastAsia="zh-CN"/>
        </w:rPr>
        <w:t>（二）省公司信息安全管理部的组成和安全应急职责</w:t>
      </w:r>
      <w:bookmarkEnd w:id="216"/>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省公司信息安全管理部在数据安全突发事件应急处理方面职责如下：</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1、负责与国家相关部门的沟通协调，并向省公司网络安全领导小组提出相关工作建议；</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2、组织起草、修改中国移动吉林公司数据安全突发事件应急处理预案及相关规定；</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3、按照中国移动吉林公司网络安全领导小组下达的命令和指示，具体协调处理数据安全突发事件应急工作；</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 xml:space="preserve">4、在应急响应期间，负责中国移动吉林公司各相关部门和各地市公司之间的现场指挥协调，组织中国移动吉林公司各相关部门和各地市公司落实数据安全突发事件应急处理技术措施； </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5、在应急响应期间，及时收集汇总中国移动吉林公司各相关部门和各地市公司上报/反馈的事件进展情况，向中国移动吉林公司网络安全领导小组报告并提出建议，向省通信管理局上报相关安全事件处理信息；</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17" w:name="_Toc358366112"/>
      <w:r>
        <w:rPr>
          <w:rFonts w:hint="eastAsia" w:ascii="楷体_GB2312" w:hAnsi="楷体_GB2312" w:eastAsia="楷体_GB2312" w:cs="楷体_GB2312"/>
          <w:b w:val="0"/>
          <w:bCs/>
          <w:sz w:val="32"/>
          <w:szCs w:val="32"/>
          <w:lang w:eastAsia="zh-CN"/>
        </w:rPr>
        <w:t>（三）中国移动吉林公司数据安全突发事件应急组织体系</w:t>
      </w:r>
      <w:bookmarkEnd w:id="217"/>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中国移动吉林公司网络安全领导小组负责组织、协调中国移动吉林公司各相关部门、各地市公司进行数据安全突发事件应急工作。</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中国移动吉林公司各相关部门和各地市公司负责监测和分析所管网络数据安全的运行状况，配合采集日常运行数据；及时上报发现的网络数据异常情况和安全事件；在中国移动吉林公司网络安全领导小组的统一指挥下，采取有效措施，处理所管网络的数据安全事件；通知负责部门及时进行系统安全扫描、漏洞封堵、病毒杀查等措施，消除安全隐患；配合其他部门处理与所管数据安全有关的安全事件。</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负责为数据安全突发事件应急处理工作提供技术支撑；协调和配合各部门、各地市公司的应急技术处理及演练；利用技术手段，对数据安全突发事件进行监测，及时收集、核实、汇总、分析、上报有关数据安全信息；保持与省通信管理局的安全事件应急处理合作。设在省公司信息安全管理部，小组的成员也包括省公司其他部门的网络信息安全应急处理联系人。</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eastAsia="仿宋_GB2312"/>
          <w:sz w:val="32"/>
          <w:szCs w:val="32"/>
        </w:rPr>
      </w:pPr>
    </w:p>
    <w:p>
      <w:pPr>
        <w:pStyle w:val="2"/>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firstLine="640" w:firstLineChars="200"/>
        <w:jc w:val="both"/>
        <w:textAlignment w:val="auto"/>
        <w:rPr>
          <w:rFonts w:hint="eastAsia" w:ascii="Times New Roman" w:hAnsi="Times New Roman" w:eastAsia="黑体" w:cs="Times New Roman"/>
          <w:b w:val="0"/>
          <w:bCs/>
          <w:kern w:val="44"/>
          <w:sz w:val="32"/>
          <w:szCs w:val="24"/>
          <w:lang w:val="en-US" w:eastAsia="zh-CN" w:bidi="ar-SA"/>
        </w:rPr>
      </w:pPr>
      <w:bookmarkStart w:id="218" w:name="_Hlt70739711"/>
      <w:bookmarkEnd w:id="218"/>
      <w:bookmarkStart w:id="219" w:name="_Toc358366113"/>
      <w:r>
        <w:rPr>
          <w:rFonts w:hint="eastAsia" w:ascii="Times New Roman" w:hAnsi="Times New Roman" w:eastAsia="黑体" w:cs="Times New Roman"/>
          <w:b w:val="0"/>
          <w:bCs/>
          <w:kern w:val="44"/>
          <w:sz w:val="32"/>
          <w:szCs w:val="24"/>
          <w:lang w:val="en-US" w:eastAsia="zh-CN" w:bidi="ar-SA"/>
        </w:rPr>
        <w:t>三、应急准备</w:t>
      </w:r>
      <w:bookmarkEnd w:id="219"/>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20" w:name="_Toc358366114"/>
      <w:r>
        <w:rPr>
          <w:rFonts w:hint="eastAsia" w:ascii="楷体_GB2312" w:hAnsi="楷体_GB2312" w:eastAsia="楷体_GB2312" w:cs="楷体_GB2312"/>
          <w:b w:val="0"/>
          <w:bCs/>
          <w:sz w:val="32"/>
          <w:szCs w:val="32"/>
          <w:lang w:eastAsia="zh-CN"/>
        </w:rPr>
        <w:t>（一）制定应急预案</w:t>
      </w:r>
      <w:bookmarkEnd w:id="220"/>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各地市公司应结合本公司的实际情况，制定本公司数据安全安全应急预案。</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各地市公司应根据实际需要和形势变化，适时修订本公司应急预案。</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21" w:name="_Toc358366115"/>
      <w:r>
        <w:rPr>
          <w:rFonts w:hint="eastAsia" w:ascii="楷体_GB2312" w:hAnsi="楷体_GB2312" w:eastAsia="楷体_GB2312" w:cs="楷体_GB2312"/>
          <w:b w:val="0"/>
          <w:bCs/>
          <w:sz w:val="32"/>
          <w:szCs w:val="32"/>
          <w:lang w:eastAsia="zh-CN"/>
        </w:rPr>
        <w:t>（二）成立应急队伍</w:t>
      </w:r>
      <w:bookmarkEnd w:id="221"/>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指定专业部门负责组织、协调、指挥本公司数据安全突发事件应急工作。</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重视数据安全突发事件应急人才队伍建设，选拔熟悉数据安全突发事件和网络安全的专业人员从事网络安全应急工作。</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22" w:name="_Toc358366116"/>
      <w:r>
        <w:rPr>
          <w:rFonts w:hint="eastAsia" w:ascii="楷体_GB2312" w:hAnsi="楷体_GB2312" w:eastAsia="楷体_GB2312" w:cs="楷体_GB2312"/>
          <w:b w:val="0"/>
          <w:bCs/>
          <w:sz w:val="32"/>
          <w:szCs w:val="32"/>
          <w:lang w:eastAsia="zh-CN"/>
        </w:rPr>
        <w:t>（三）组织应急培训</w:t>
      </w:r>
      <w:bookmarkEnd w:id="222"/>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应急保障队伍的人员要不定期进行应急处理的相关培训，确保熟悉工作原则、工作流程，并具备必要的技能，确保应急预案的正常实施。</w:t>
      </w:r>
    </w:p>
    <w:p>
      <w:pPr>
        <w:pageBreakBefore w:val="0"/>
        <w:widowControl w:val="0"/>
        <w:kinsoku/>
        <w:wordWrap/>
        <w:overflowPunct/>
        <w:topLinePunct w:val="0"/>
        <w:autoSpaceDE/>
        <w:autoSpaceDN/>
        <w:bidi w:val="0"/>
        <w:spacing w:line="560" w:lineRule="exact"/>
        <w:ind w:left="0" w:firstLine="640" w:firstLineChars="200"/>
        <w:jc w:val="both"/>
        <w:textAlignment w:val="auto"/>
        <w:rPr>
          <w:rFonts w:hint="eastAsia"/>
          <w:sz w:val="32"/>
          <w:szCs w:val="32"/>
        </w:rPr>
      </w:pP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23" w:name="_Toc358366117"/>
      <w:r>
        <w:rPr>
          <w:rFonts w:hint="eastAsia" w:ascii="楷体_GB2312" w:hAnsi="楷体_GB2312" w:eastAsia="楷体_GB2312" w:cs="楷体_GB2312"/>
          <w:b w:val="0"/>
          <w:bCs/>
          <w:sz w:val="32"/>
          <w:szCs w:val="32"/>
          <w:lang w:eastAsia="zh-CN"/>
        </w:rPr>
        <w:t>（四）建立联络机制</w:t>
      </w:r>
      <w:bookmarkEnd w:id="223"/>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指定本单位数据安全突发事件应急工作联系人和联系方式，联系方式应包括手机、电子邮件等信息。各单位联系人和联系方式发送至省公司信息安全管理部报备，发生变更后应在五个工作日内重新报备。</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24" w:name="_Toc358366118"/>
      <w:r>
        <w:rPr>
          <w:rFonts w:hint="eastAsia" w:ascii="楷体_GB2312" w:hAnsi="楷体_GB2312" w:eastAsia="楷体_GB2312" w:cs="楷体_GB2312"/>
          <w:b w:val="0"/>
          <w:bCs/>
          <w:sz w:val="32"/>
          <w:szCs w:val="32"/>
          <w:lang w:eastAsia="zh-CN"/>
        </w:rPr>
        <w:t>（五）部署安全监测手段</w:t>
      </w:r>
      <w:bookmarkEnd w:id="224"/>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建设或完善数据安全突发事件监测手段，包括围绕核心生产和支撑系统的入侵行为检测系统、异常流量或攻击行为监测系统等，以准确掌握本公司网络数据安全状况。在网络或业务系统改扩建时，应同步考虑网络数据安全应急配套设施。</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25" w:name="_Toc358366119"/>
      <w:r>
        <w:rPr>
          <w:rFonts w:hint="eastAsia" w:ascii="楷体_GB2312" w:hAnsi="楷体_GB2312" w:eastAsia="楷体_GB2312" w:cs="楷体_GB2312"/>
          <w:b w:val="0"/>
          <w:bCs/>
          <w:sz w:val="32"/>
          <w:szCs w:val="32"/>
          <w:lang w:eastAsia="zh-CN"/>
        </w:rPr>
        <w:t>（六）开展应急演练</w:t>
      </w:r>
      <w:bookmarkEnd w:id="225"/>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定期开展本单位数据安全应急演练。需要各地市公司配合的，共同组织联合演练。</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26" w:name="_Toc358366120"/>
      <w:r>
        <w:rPr>
          <w:rFonts w:hint="eastAsia" w:ascii="楷体_GB2312" w:hAnsi="楷体_GB2312" w:eastAsia="楷体_GB2312" w:cs="楷体_GB2312"/>
          <w:b w:val="0"/>
          <w:bCs/>
          <w:sz w:val="32"/>
          <w:szCs w:val="32"/>
          <w:lang w:eastAsia="zh-CN"/>
        </w:rPr>
        <w:t>（七）保障应急经费</w:t>
      </w:r>
      <w:bookmarkEnd w:id="226"/>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应根据需要安排必要的专项应急经费，用于数据安全突发事件应急处理。</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省公司各相关部门、各省直属中心和各地市公司根据突发事件的应急需要，提出项目支出预算申请，报有关部门批准后执行。项目资金的使用范围应包括应急系统建设及运行、应急设备、培训及演习、应急业务系统保障支援等费用。</w:t>
      </w:r>
    </w:p>
    <w:p>
      <w:pPr>
        <w:pageBreakBefore w:val="0"/>
        <w:widowControl w:val="0"/>
        <w:kinsoku/>
        <w:wordWrap/>
        <w:overflowPunct/>
        <w:topLinePunct w:val="0"/>
        <w:autoSpaceDE/>
        <w:autoSpaceDN/>
        <w:bidi w:val="0"/>
        <w:spacing w:line="560" w:lineRule="exact"/>
        <w:ind w:left="0" w:firstLine="640" w:firstLineChars="200"/>
        <w:jc w:val="both"/>
        <w:textAlignment w:val="auto"/>
        <w:rPr>
          <w:rFonts w:hint="eastAsia" w:ascii="仿宋_GB2312" w:eastAsia="仿宋_GB2312"/>
          <w:sz w:val="32"/>
          <w:szCs w:val="32"/>
        </w:rPr>
      </w:pPr>
    </w:p>
    <w:p>
      <w:pPr>
        <w:pStyle w:val="2"/>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firstLine="640" w:firstLineChars="200"/>
        <w:jc w:val="both"/>
        <w:textAlignment w:val="auto"/>
        <w:rPr>
          <w:rFonts w:hint="eastAsia" w:ascii="Times New Roman" w:hAnsi="Times New Roman" w:eastAsia="黑体" w:cs="Times New Roman"/>
          <w:b w:val="0"/>
          <w:bCs/>
          <w:kern w:val="44"/>
          <w:sz w:val="32"/>
          <w:szCs w:val="24"/>
          <w:lang w:val="en-US" w:eastAsia="zh-CN" w:bidi="ar-SA"/>
        </w:rPr>
      </w:pPr>
      <w:bookmarkStart w:id="227" w:name="_Toc358366121"/>
      <w:r>
        <w:rPr>
          <w:rFonts w:hint="eastAsia" w:ascii="Times New Roman" w:hAnsi="Times New Roman" w:eastAsia="黑体" w:cs="Times New Roman"/>
          <w:b w:val="0"/>
          <w:bCs/>
          <w:kern w:val="44"/>
          <w:sz w:val="32"/>
          <w:szCs w:val="24"/>
          <w:lang w:val="en-US" w:eastAsia="zh-CN" w:bidi="ar-SA"/>
        </w:rPr>
        <w:t>四、监测和预警</w:t>
      </w:r>
      <w:bookmarkEnd w:id="227"/>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28" w:name="_Toc358366122"/>
      <w:r>
        <w:rPr>
          <w:rFonts w:hint="eastAsia" w:ascii="楷体_GB2312" w:hAnsi="楷体_GB2312" w:eastAsia="楷体_GB2312" w:cs="楷体_GB2312"/>
          <w:b w:val="0"/>
          <w:bCs/>
          <w:sz w:val="32"/>
          <w:szCs w:val="32"/>
          <w:lang w:eastAsia="zh-CN"/>
        </w:rPr>
        <w:t>（一）数据安全事件的分级</w:t>
      </w:r>
      <w:bookmarkEnd w:id="228"/>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数据安全事件根据危害和紧急程度分为 “特别重大”、“重大”、“较大”、“一般”四种，分别对应 “红”、“橙”、“黄”、“蓝”四种颜色标记。</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各级数据安全事件的定义如下：</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bookmarkStart w:id="229" w:name="_Toc358366123"/>
      <w:r>
        <w:rPr>
          <w:rFonts w:hint="eastAsia" w:ascii="仿宋_GB2312" w:hAnsi="宋体" w:eastAsia="仿宋_GB2312" w:cs="Times New Roman"/>
          <w:sz w:val="32"/>
          <w:szCs w:val="32"/>
          <w:lang w:val="en-US" w:eastAsia="zh-CN"/>
        </w:rPr>
        <w:t>1、</w:t>
      </w:r>
      <w:r>
        <w:rPr>
          <w:rFonts w:hint="eastAsia" w:ascii="仿宋_GB2312" w:hAnsi="宋体" w:eastAsia="仿宋_GB2312" w:cs="Times New Roman"/>
          <w:sz w:val="32"/>
          <w:szCs w:val="32"/>
        </w:rPr>
        <w:t>特别重大 (红色，RGB配色:255,0,0)</w:t>
      </w:r>
      <w:bookmarkEnd w:id="229"/>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造成中国移动吉林公司数据信息系统发生大规模瘫痪，或重要数据发生大范围泄露、损坏、丢失（造成一亿以上数据信息泄露），事态的发展超出公司相关主管部门的控制能力，对国家安全、社会秩序、公共利益或者中国移动吉林公司形象造成特别严重损害的突发事件。</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lang w:val="en-US" w:eastAsia="zh-CN"/>
        </w:rPr>
      </w:pPr>
      <w:bookmarkStart w:id="230" w:name="_Toc358366124"/>
      <w:r>
        <w:rPr>
          <w:rFonts w:hint="eastAsia" w:ascii="仿宋_GB2312" w:hAnsi="宋体" w:eastAsia="仿宋_GB2312" w:cs="Times New Roman"/>
          <w:sz w:val="32"/>
          <w:szCs w:val="32"/>
          <w:lang w:val="en-US" w:eastAsia="zh-CN"/>
        </w:rPr>
        <w:t>2、重大 (橙色，RGB配色:255,128,0)</w:t>
      </w:r>
      <w:bookmarkEnd w:id="230"/>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lang w:val="en-US" w:eastAsia="zh-CN"/>
        </w:rPr>
      </w:pPr>
      <w:r>
        <w:rPr>
          <w:rFonts w:hint="eastAsia" w:ascii="仿宋_GB2312" w:hAnsi="宋体" w:eastAsia="仿宋_GB2312" w:cs="Times New Roman"/>
          <w:sz w:val="32"/>
          <w:szCs w:val="32"/>
          <w:lang w:val="en-US" w:eastAsia="zh-CN"/>
        </w:rPr>
        <w:t>造成中国移动吉林公司数据信息系统发生瘫痪，或重要数据发生较大面积泄露、损坏、丢失（造成一千万以上数据信息泄露），对国家安全、社会秩序、公共利益或中国移动吉林公司形象造成严重损害，需要上级部门协助处置的突发事件。</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lang w:val="en-US" w:eastAsia="zh-CN"/>
        </w:rPr>
      </w:pPr>
      <w:bookmarkStart w:id="231" w:name="_Toc358366125"/>
      <w:r>
        <w:rPr>
          <w:rFonts w:hint="eastAsia" w:ascii="仿宋_GB2312" w:hAnsi="宋体" w:eastAsia="仿宋_GB2312" w:cs="Times New Roman"/>
          <w:sz w:val="32"/>
          <w:szCs w:val="32"/>
          <w:lang w:val="en-US" w:eastAsia="zh-CN"/>
        </w:rPr>
        <w:t>3、较大 (黄色，RGB配色:255,255,128)</w:t>
      </w:r>
      <w:bookmarkEnd w:id="231"/>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造成中国移动吉林公司业务系统运转异常，或重要数据发生泄露、损坏、丢失（造成一百万以上数据信息泄露），对国家安全、社会秩序、公共利益或中国移动吉林公司形象造成一定损害，但只需在技术支撑单位协同处置的突发事件。</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lang w:val="en-US" w:eastAsia="zh-CN"/>
        </w:rPr>
      </w:pPr>
      <w:bookmarkStart w:id="232" w:name="_Toc358366126"/>
      <w:r>
        <w:rPr>
          <w:rFonts w:hint="eastAsia" w:ascii="仿宋_GB2312" w:hAnsi="宋体" w:eastAsia="仿宋_GB2312" w:cs="Times New Roman"/>
          <w:sz w:val="32"/>
          <w:szCs w:val="32"/>
          <w:lang w:val="en-US" w:eastAsia="zh-CN"/>
        </w:rPr>
        <w:t>4、一般 (蓝色，RGB配色:0,0,255)</w:t>
      </w:r>
      <w:bookmarkEnd w:id="232"/>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造成中国移动吉林公司信息系统受到破坏，或重要数据发生个别的泄露、损坏、丢失（小于一百万数据信息泄露），对本单位的权益有一定影响，但不危害国家安全、社会秩序和公共利益，可由业务系统维护部门自行处置的突发事件。</w:t>
      </w:r>
    </w:p>
    <w:p>
      <w:pPr>
        <w:pageBreakBefore w:val="0"/>
        <w:widowControl w:val="0"/>
        <w:kinsoku/>
        <w:wordWrap/>
        <w:overflowPunct/>
        <w:topLinePunct w:val="0"/>
        <w:autoSpaceDE/>
        <w:autoSpaceDN/>
        <w:bidi w:val="0"/>
        <w:spacing w:line="560" w:lineRule="exact"/>
        <w:ind w:left="0" w:firstLine="640" w:firstLineChars="200"/>
        <w:jc w:val="both"/>
        <w:textAlignment w:val="auto"/>
        <w:rPr>
          <w:rFonts w:hint="eastAsia"/>
          <w:sz w:val="32"/>
          <w:szCs w:val="32"/>
        </w:rPr>
      </w:pP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33" w:name="_Toc358366127"/>
      <w:r>
        <w:rPr>
          <w:rFonts w:hint="eastAsia" w:ascii="楷体_GB2312" w:hAnsi="楷体_GB2312" w:eastAsia="楷体_GB2312" w:cs="楷体_GB2312"/>
          <w:b w:val="0"/>
          <w:bCs/>
          <w:sz w:val="32"/>
          <w:szCs w:val="32"/>
          <w:lang w:eastAsia="zh-CN"/>
        </w:rPr>
        <w:t>（二）网络数据安全信息监测</w:t>
      </w:r>
      <w:bookmarkEnd w:id="233"/>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应加强数据安全监测，采取多种技术或非技术途径发现、搜集系统日志信息和预警信息，加强与上机部门和其他相关单位的信息交流和情报合作。</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省公司应积极开展数据安全事件的投诉、举报受理工作，向广大用户、重要信息系统单位和重要机构提供热线、电子邮件等便捷的网络安全事件投诉通道，加强与相关设备、系统供应商和网络安全服务企业的合作，不断拓宽获取数据安全事件信息和预警信息的渠道。</w:t>
      </w:r>
    </w:p>
    <w:p>
      <w:pPr>
        <w:pageBreakBefore w:val="0"/>
        <w:widowControl w:val="0"/>
        <w:kinsoku/>
        <w:wordWrap/>
        <w:overflowPunct/>
        <w:topLinePunct w:val="0"/>
        <w:autoSpaceDE/>
        <w:autoSpaceDN/>
        <w:bidi w:val="0"/>
        <w:spacing w:line="560" w:lineRule="exact"/>
        <w:ind w:left="0" w:firstLine="640" w:firstLineChars="200"/>
        <w:jc w:val="both"/>
        <w:textAlignment w:val="auto"/>
        <w:rPr>
          <w:rFonts w:hint="eastAsia"/>
          <w:sz w:val="32"/>
          <w:szCs w:val="32"/>
        </w:rPr>
      </w:pP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34" w:name="_Toc358366128"/>
      <w:r>
        <w:rPr>
          <w:rFonts w:hint="eastAsia" w:ascii="楷体_GB2312" w:hAnsi="楷体_GB2312" w:eastAsia="楷体_GB2312" w:cs="楷体_GB2312"/>
          <w:b w:val="0"/>
          <w:bCs/>
          <w:sz w:val="32"/>
          <w:szCs w:val="32"/>
          <w:lang w:eastAsia="zh-CN"/>
        </w:rPr>
        <w:t>（三）预警预防行动</w:t>
      </w:r>
      <w:bookmarkEnd w:id="234"/>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lang w:val="en-US" w:eastAsia="zh-CN"/>
        </w:rPr>
      </w:pPr>
      <w:bookmarkStart w:id="235" w:name="_Toc358366129"/>
      <w:r>
        <w:rPr>
          <w:rFonts w:hint="eastAsia" w:ascii="仿宋_GB2312" w:hAnsi="宋体" w:eastAsia="仿宋_GB2312" w:cs="Times New Roman"/>
          <w:sz w:val="32"/>
          <w:szCs w:val="32"/>
          <w:lang w:val="en-US" w:eastAsia="zh-CN"/>
        </w:rPr>
        <w:t>1、预警信息报送</w:t>
      </w:r>
      <w:bookmarkEnd w:id="235"/>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bookmarkStart w:id="236" w:name="_Hlt70492703"/>
      <w:bookmarkEnd w:id="236"/>
      <w:r>
        <w:rPr>
          <w:rFonts w:hint="eastAsia" w:ascii="仿宋_GB2312" w:hAnsi="宋体" w:eastAsia="仿宋_GB2312" w:cs="Times New Roman"/>
          <w:sz w:val="32"/>
          <w:szCs w:val="32"/>
        </w:rPr>
        <w:t>省公司发现或掌握以下潜在安全威胁或重大安全隐患信息（尚未造成实际危害和影响），应及时报送：</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lang w:eastAsia="zh-CN"/>
        </w:rPr>
        <w:t>（</w:t>
      </w:r>
      <w:r>
        <w:rPr>
          <w:rFonts w:hint="eastAsia" w:ascii="仿宋_GB2312" w:hAnsi="宋体" w:eastAsia="仿宋_GB2312" w:cs="Times New Roman"/>
          <w:sz w:val="32"/>
          <w:szCs w:val="32"/>
          <w:lang w:val="en-US" w:eastAsia="zh-CN"/>
        </w:rPr>
        <w:t>1</w:t>
      </w:r>
      <w:r>
        <w:rPr>
          <w:rFonts w:hint="eastAsia" w:ascii="仿宋_GB2312" w:hAnsi="宋体" w:eastAsia="仿宋_GB2312" w:cs="Times New Roman"/>
          <w:sz w:val="32"/>
          <w:szCs w:val="32"/>
          <w:lang w:eastAsia="zh-CN"/>
        </w:rPr>
        <w:t>）</w:t>
      </w:r>
      <w:r>
        <w:rPr>
          <w:rFonts w:hint="eastAsia" w:ascii="仿宋_GB2312" w:hAnsi="宋体" w:eastAsia="仿宋_GB2312" w:cs="Times New Roman"/>
          <w:sz w:val="32"/>
          <w:szCs w:val="32"/>
        </w:rPr>
        <w:t>给网络或系统带来较大风险的安全漏洞；</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lang w:eastAsia="zh-CN"/>
        </w:rPr>
        <w:t>（</w:t>
      </w:r>
      <w:r>
        <w:rPr>
          <w:rFonts w:hint="eastAsia" w:ascii="仿宋_GB2312" w:hAnsi="宋体" w:eastAsia="仿宋_GB2312" w:cs="Times New Roman"/>
          <w:sz w:val="32"/>
          <w:szCs w:val="32"/>
          <w:lang w:val="en-US" w:eastAsia="zh-CN"/>
        </w:rPr>
        <w:t>2</w:t>
      </w:r>
      <w:r>
        <w:rPr>
          <w:rFonts w:hint="eastAsia" w:ascii="仿宋_GB2312" w:hAnsi="宋体" w:eastAsia="仿宋_GB2312" w:cs="Times New Roman"/>
          <w:sz w:val="32"/>
          <w:szCs w:val="32"/>
          <w:lang w:eastAsia="zh-CN"/>
        </w:rPr>
        <w:t>）</w:t>
      </w:r>
      <w:r>
        <w:rPr>
          <w:rFonts w:hint="eastAsia" w:ascii="仿宋_GB2312" w:hAnsi="宋体" w:eastAsia="仿宋_GB2312" w:cs="Times New Roman"/>
          <w:sz w:val="32"/>
          <w:szCs w:val="32"/>
        </w:rPr>
        <w:t>出现危害性较强的恶意代码；</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lang w:eastAsia="zh-CN"/>
        </w:rPr>
        <w:t>（</w:t>
      </w:r>
      <w:r>
        <w:rPr>
          <w:rFonts w:hint="eastAsia" w:ascii="仿宋_GB2312" w:hAnsi="宋体" w:eastAsia="仿宋_GB2312" w:cs="Times New Roman"/>
          <w:sz w:val="32"/>
          <w:szCs w:val="32"/>
          <w:lang w:val="en-US" w:eastAsia="zh-CN"/>
        </w:rPr>
        <w:t>3</w:t>
      </w:r>
      <w:r>
        <w:rPr>
          <w:rFonts w:hint="eastAsia" w:ascii="仿宋_GB2312" w:hAnsi="宋体" w:eastAsia="仿宋_GB2312" w:cs="Times New Roman"/>
          <w:sz w:val="32"/>
          <w:szCs w:val="32"/>
          <w:lang w:eastAsia="zh-CN"/>
        </w:rPr>
        <w:t>）</w:t>
      </w:r>
      <w:r>
        <w:rPr>
          <w:rFonts w:hint="eastAsia" w:ascii="仿宋_GB2312" w:hAnsi="宋体" w:eastAsia="仿宋_GB2312" w:cs="Times New Roman"/>
          <w:sz w:val="32"/>
          <w:szCs w:val="32"/>
        </w:rPr>
        <w:t>黑客进行有组织攻击的计划。</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lang w:eastAsia="zh-CN"/>
        </w:rPr>
        <w:t>（</w:t>
      </w:r>
      <w:r>
        <w:rPr>
          <w:rFonts w:hint="eastAsia" w:ascii="仿宋_GB2312" w:hAnsi="宋体" w:eastAsia="仿宋_GB2312" w:cs="Times New Roman"/>
          <w:sz w:val="32"/>
          <w:szCs w:val="32"/>
          <w:lang w:val="en-US" w:eastAsia="zh-CN"/>
        </w:rPr>
        <w:t>4</w:t>
      </w:r>
      <w:r>
        <w:rPr>
          <w:rFonts w:hint="eastAsia" w:ascii="仿宋_GB2312" w:hAnsi="宋体" w:eastAsia="仿宋_GB2312" w:cs="Times New Roman"/>
          <w:sz w:val="32"/>
          <w:szCs w:val="32"/>
          <w:lang w:eastAsia="zh-CN"/>
        </w:rPr>
        <w:t>）</w:t>
      </w:r>
      <w:r>
        <w:rPr>
          <w:rFonts w:hint="eastAsia" w:ascii="仿宋_GB2312" w:hAnsi="宋体" w:eastAsia="仿宋_GB2312" w:cs="Times New Roman"/>
          <w:sz w:val="32"/>
          <w:szCs w:val="32"/>
        </w:rPr>
        <w:t>发现重要数据信息主动或被动产生泄露、损坏和丢失的迹象，有可能造成危害的紧急数据安全事件。</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lang w:val="en-US" w:eastAsia="zh-CN"/>
        </w:rPr>
      </w:pPr>
      <w:bookmarkStart w:id="237" w:name="_Toc358366130"/>
      <w:r>
        <w:rPr>
          <w:rFonts w:hint="eastAsia" w:ascii="仿宋_GB2312" w:hAnsi="宋体" w:eastAsia="仿宋_GB2312" w:cs="Times New Roman"/>
          <w:sz w:val="32"/>
          <w:szCs w:val="32"/>
          <w:lang w:val="en-US" w:eastAsia="zh-CN"/>
        </w:rPr>
        <w:t>2、预警信息通报</w:t>
      </w:r>
      <w:bookmarkEnd w:id="237"/>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接收到安全预警信息后，应立即进行调查分析，对可能引发本预案规定的“较大”以上级别数据安全突发事件的潜在威胁和隐患，应及时通过省公司向各相关部门、各地市公司发布紧急安全预警信息公告和防范建议。省公司接到紧急安全预警信息公告后，应立即组织业务系统维护和网络安全专业人员、相关设备、系统供应商和网络安全服务企业进行研究，参考防范建议采取适当的预防措施，防止数据安全事件的发生。</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38" w:name="_Hlt70492768"/>
      <w:bookmarkEnd w:id="238"/>
      <w:bookmarkStart w:id="239" w:name="_Hlt70909373"/>
      <w:bookmarkEnd w:id="239"/>
      <w:bookmarkStart w:id="240" w:name="_Toc358366131"/>
      <w:r>
        <w:rPr>
          <w:rFonts w:hint="eastAsia" w:ascii="楷体_GB2312" w:hAnsi="楷体_GB2312" w:eastAsia="楷体_GB2312" w:cs="楷体_GB2312"/>
          <w:b w:val="0"/>
          <w:bCs/>
          <w:sz w:val="32"/>
          <w:szCs w:val="32"/>
          <w:lang w:eastAsia="zh-CN"/>
        </w:rPr>
        <w:t>（四）网络安全事件信息上报</w:t>
      </w:r>
      <w:bookmarkEnd w:id="240"/>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省公司发生或发现数据安全事件后（已经造成实际危害和影响），应立即组织对事件的危害程度和影响范围进行初步评估认定。</w:t>
      </w:r>
      <w:bookmarkStart w:id="241" w:name="_Toc70474466"/>
      <w:bookmarkEnd w:id="241"/>
      <w:bookmarkStart w:id="242" w:name="_Toc70474465"/>
      <w:bookmarkEnd w:id="242"/>
      <w:bookmarkStart w:id="243" w:name="_Hlt70492850"/>
      <w:bookmarkEnd w:id="243"/>
      <w:bookmarkStart w:id="244" w:name="_Toc70473611"/>
      <w:bookmarkEnd w:id="244"/>
      <w:bookmarkStart w:id="245" w:name="_Toc70473610"/>
      <w:bookmarkEnd w:id="245"/>
      <w:r>
        <w:rPr>
          <w:rFonts w:hint="eastAsia" w:ascii="仿宋_GB2312" w:hAnsi="宋体" w:eastAsia="仿宋_GB2312" w:cs="Times New Roman"/>
          <w:sz w:val="32"/>
          <w:szCs w:val="32"/>
        </w:rPr>
        <w:t>根据初步判定的事件紧急程度，按照以下要求进行信息上报。</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bookmarkStart w:id="246" w:name="_Toc358366132"/>
      <w:r>
        <w:rPr>
          <w:rFonts w:hint="eastAsia" w:ascii="仿宋_GB2312" w:hAnsi="宋体" w:eastAsia="仿宋_GB2312" w:cs="Times New Roman"/>
          <w:sz w:val="32"/>
          <w:szCs w:val="32"/>
          <w:lang w:val="en-US" w:eastAsia="zh-CN"/>
        </w:rPr>
        <w:t>1、</w:t>
      </w:r>
      <w:r>
        <w:rPr>
          <w:rFonts w:hint="eastAsia" w:ascii="仿宋_GB2312" w:hAnsi="宋体" w:eastAsia="仿宋_GB2312" w:cs="Times New Roman"/>
          <w:sz w:val="32"/>
          <w:szCs w:val="32"/>
        </w:rPr>
        <w:t>紧急事件信息上报</w:t>
      </w:r>
      <w:bookmarkEnd w:id="246"/>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对于初步认定符合数据安全突发事件的情况，立即向吉林省通信管理局上报情况说明。</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bookmarkStart w:id="247" w:name="_Toc358366133"/>
      <w:r>
        <w:rPr>
          <w:rFonts w:hint="eastAsia" w:ascii="仿宋_GB2312" w:hAnsi="宋体" w:eastAsia="仿宋_GB2312" w:cs="Times New Roman"/>
          <w:sz w:val="32"/>
          <w:szCs w:val="32"/>
          <w:lang w:val="en-US" w:eastAsia="zh-CN"/>
        </w:rPr>
        <w:t>2、</w:t>
      </w:r>
      <w:r>
        <w:rPr>
          <w:rFonts w:hint="eastAsia" w:ascii="仿宋_GB2312" w:hAnsi="宋体" w:eastAsia="仿宋_GB2312" w:cs="Times New Roman"/>
          <w:sz w:val="32"/>
          <w:szCs w:val="32"/>
        </w:rPr>
        <w:t>一般事件信息报送</w:t>
      </w:r>
      <w:bookmarkEnd w:id="247"/>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对于不符合数据安全突发情况的事件，省公司应对事件进行自行处置后，将事件发生情况、事件处置情况、相关建议信息等按月汇总后报送省通信管理局。</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Times New Roman" w:eastAsia="仿宋_GB2312" w:cs="Times New Roman"/>
          <w:sz w:val="32"/>
          <w:szCs w:val="32"/>
        </w:rPr>
      </w:pPr>
    </w:p>
    <w:p>
      <w:pPr>
        <w:pStyle w:val="2"/>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firstLine="640" w:firstLineChars="200"/>
        <w:jc w:val="both"/>
        <w:textAlignment w:val="auto"/>
        <w:rPr>
          <w:rFonts w:hint="eastAsia" w:ascii="Times New Roman" w:hAnsi="Times New Roman" w:eastAsia="黑体" w:cs="Times New Roman"/>
          <w:b w:val="0"/>
          <w:bCs/>
          <w:kern w:val="44"/>
          <w:sz w:val="32"/>
          <w:szCs w:val="24"/>
          <w:lang w:val="en-US" w:eastAsia="zh-CN" w:bidi="ar-SA"/>
        </w:rPr>
      </w:pPr>
      <w:bookmarkStart w:id="248" w:name="_Hlt70492855"/>
      <w:bookmarkEnd w:id="248"/>
      <w:bookmarkStart w:id="249" w:name="_Toc358366134"/>
      <w:r>
        <w:rPr>
          <w:rFonts w:hint="eastAsia" w:ascii="Times New Roman" w:hAnsi="Times New Roman" w:eastAsia="黑体" w:cs="Times New Roman"/>
          <w:b w:val="0"/>
          <w:bCs/>
          <w:kern w:val="44"/>
          <w:sz w:val="32"/>
          <w:szCs w:val="24"/>
          <w:lang w:val="en-US" w:eastAsia="zh-CN" w:bidi="ar-SA"/>
        </w:rPr>
        <w:t>五、应急响应</w:t>
      </w:r>
      <w:bookmarkEnd w:id="249"/>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50" w:name="_Hlt69204291"/>
      <w:bookmarkEnd w:id="250"/>
      <w:bookmarkStart w:id="251" w:name="_Hlt69204283"/>
      <w:bookmarkEnd w:id="251"/>
      <w:bookmarkStart w:id="252" w:name="_Hlt70909406"/>
      <w:bookmarkEnd w:id="252"/>
      <w:bookmarkStart w:id="253" w:name="_Toc358366135"/>
      <w:r>
        <w:rPr>
          <w:rFonts w:hint="eastAsia" w:ascii="楷体_GB2312" w:hAnsi="楷体_GB2312" w:eastAsia="楷体_GB2312" w:cs="楷体_GB2312"/>
          <w:b w:val="0"/>
          <w:bCs/>
          <w:sz w:val="32"/>
          <w:szCs w:val="32"/>
          <w:lang w:eastAsia="zh-CN"/>
        </w:rPr>
        <w:t>（一）先期处置</w:t>
      </w:r>
      <w:bookmarkEnd w:id="253"/>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数据安全事件发生后，省公司各相关部门应针对事件的性质、特点和危害程度，及时组织全公司力量，依照有关法律、法规和规章的规定，采取先期应急响应措施。</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lang w:eastAsia="zh-CN"/>
        </w:rPr>
      </w:pPr>
      <w:r>
        <w:rPr>
          <w:rFonts w:hint="eastAsia" w:ascii="仿宋_GB2312" w:hAnsi="宋体" w:eastAsia="仿宋_GB2312" w:cs="Times New Roman"/>
          <w:sz w:val="32"/>
          <w:szCs w:val="32"/>
          <w:lang w:eastAsia="zh-CN"/>
        </w:rPr>
        <w:t>省公司各相关部门在先期处置时，如果发现数据安全事件的处置需要其他相关单位提供支持配合，可通过向相关单位请求支援。为提高处置效率，可先通过电话等方式请求支援，后补正式公函。</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应及时组织省公司各相关部门力量，依照有关法律、法规和规章的规定，配合集团，协助对方开展应急处置工作。</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54" w:name="_Toc358366136"/>
      <w:r>
        <w:rPr>
          <w:rFonts w:hint="eastAsia" w:ascii="楷体_GB2312" w:hAnsi="楷体_GB2312" w:eastAsia="楷体_GB2312" w:cs="楷体_GB2312"/>
          <w:b w:val="0"/>
          <w:bCs/>
          <w:sz w:val="32"/>
          <w:szCs w:val="32"/>
          <w:lang w:eastAsia="zh-CN"/>
        </w:rPr>
        <w:t>（二）分级响应程序</w:t>
      </w:r>
      <w:bookmarkEnd w:id="254"/>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根据本预案对数据安全突发事件的四级分类，“一般”级别的安全事件，这类事件作为日常监测、维护的内容，由省公司网络安全领导小组和通过预警信息沟通，自行处置。</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在接到吉林省通信管理局指示或接到省公司、关于数据安全发生或可能发生“特别重大”、“重大”、“较大”级别的数据安全事件的紧急报告时，报请省公司网络安全领导小组批准，指示省公司各相关部门启动本预案进入相应的分级应急响应工作程序。</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55" w:name="_Toc358366137"/>
      <w:r>
        <w:rPr>
          <w:rFonts w:hint="eastAsia" w:ascii="楷体_GB2312" w:hAnsi="楷体_GB2312" w:eastAsia="楷体_GB2312" w:cs="楷体_GB2312"/>
          <w:b w:val="0"/>
          <w:bCs/>
          <w:sz w:val="32"/>
          <w:szCs w:val="32"/>
          <w:lang w:eastAsia="zh-CN"/>
        </w:rPr>
        <w:t>（三）应急处理流程</w:t>
      </w:r>
      <w:bookmarkEnd w:id="255"/>
    </w:p>
    <w:p>
      <w:pPr>
        <w:pageBreakBefore w:val="0"/>
        <w:widowControl w:val="0"/>
        <w:kinsoku/>
        <w:wordWrap/>
        <w:overflowPunct/>
        <w:topLinePunct w:val="0"/>
        <w:autoSpaceDE/>
        <w:autoSpaceDN/>
        <w:bidi w:val="0"/>
        <w:spacing w:line="560" w:lineRule="exact"/>
        <w:ind w:left="0" w:firstLine="640" w:firstLineChars="200"/>
        <w:jc w:val="both"/>
        <w:textAlignment w:val="auto"/>
        <w:rPr>
          <w:rFonts w:hint="eastAsia" w:ascii="仿宋_GB2312" w:hAnsi="Arial" w:eastAsia="仿宋_GB2312" w:cs="Times New Roman"/>
          <w:b/>
          <w:bCs/>
          <w:sz w:val="32"/>
          <w:szCs w:val="32"/>
          <w:lang w:val="en-US" w:eastAsia="zh-CN"/>
        </w:rPr>
      </w:pPr>
      <w:bookmarkStart w:id="256" w:name="_Toc358366138"/>
      <w:r>
        <w:rPr>
          <w:rFonts w:hint="eastAsia" w:ascii="仿宋_GB2312" w:hAnsi="Arial" w:eastAsia="仿宋_GB2312" w:cs="Times New Roman"/>
          <w:b/>
          <w:bCs/>
          <w:sz w:val="32"/>
          <w:szCs w:val="32"/>
          <w:lang w:val="en-US" w:eastAsia="zh-CN"/>
        </w:rPr>
        <w:t>特别重大安全事件的应急响应</w:t>
      </w:r>
      <w:bookmarkEnd w:id="256"/>
      <w:r>
        <w:rPr>
          <w:rFonts w:hint="eastAsia" w:ascii="仿宋_GB2312" w:hAnsi="Arial" w:eastAsia="仿宋_GB2312" w:cs="Times New Roman"/>
          <w:b/>
          <w:bCs/>
          <w:sz w:val="32"/>
          <w:szCs w:val="32"/>
          <w:lang w:val="en-US" w:eastAsia="zh-CN"/>
        </w:rPr>
        <w:t>：</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在特别重大安全事件发生或可能发生的情况下，按照以下流程进行处理：</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1、省公司信息安全管理部立即向省公司网络安全领导小组报告事件发生和影响情况，根据初步判断提出对事件处理方案的建议，经省公司网络安全领导小组批准后实施。</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2、省公司信息安全管理部向省公司各相关部门和通报安全事件情况，并指示立即启动各自相应的特别重大安全事件应急处理程序。</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3、针对具体的安全事件类别采取以下的相应措施：</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（1）紧急组织各技术支撑单位，在最短时间内研究事件的特点、机理、危害、解决方案及使用现有数据安全监测手段的监测方法，并在2小时内提出初步应对方案；</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（2）立即使用现有安全监测手段对该事件进行监测。</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4、省公司网络安全应急小组根据省公司信息安全管理部的指令，结合实际，针对具体的安全事件类别采取以下的相应措施：</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（1）针对业务系统存储数据大规模损坏或丢失事件：</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（a）立即组织力量全力抢修业务系统，每小时向省公司信息安全管理部汇报抢修工作进展；</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（b）立即组织力量分析系统存储数据损坏或丢失的原因和有效遏制手段，每小时向省公司信息安全管理部汇报分析工作进展；</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（c）根据省公司信息安全管理部的指示，配合立即对业务系统采取相应的技术措施；</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（2）针对网络数据大范围泄露事件：</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（a）紧急开展调查确定数据泄露原因，并在4小时内将原因上报省公司信息安全管理部；</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（b）根据省公司信息安全管理部的指示，在12小时内完成工作落实；</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省公司各相关部门应随时向省公司信息安全管理部报告所掌握的事件发展情况；省公司信息安全管理部应随时向集团公司上报事件的发展情况。</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sz w:val="32"/>
          <w:szCs w:val="32"/>
        </w:rPr>
      </w:pPr>
    </w:p>
    <w:p>
      <w:pPr>
        <w:pageBreakBefore w:val="0"/>
        <w:widowControl w:val="0"/>
        <w:kinsoku/>
        <w:wordWrap/>
        <w:overflowPunct/>
        <w:topLinePunct w:val="0"/>
        <w:autoSpaceDE/>
        <w:autoSpaceDN/>
        <w:bidi w:val="0"/>
        <w:spacing w:line="560" w:lineRule="exact"/>
        <w:ind w:left="0" w:firstLine="640" w:firstLineChars="200"/>
        <w:jc w:val="both"/>
        <w:textAlignment w:val="auto"/>
        <w:rPr>
          <w:rFonts w:hint="eastAsia" w:ascii="仿宋_GB2312" w:hAnsi="Arial" w:eastAsia="仿宋_GB2312" w:cs="Times New Roman"/>
          <w:b/>
          <w:bCs/>
          <w:sz w:val="32"/>
          <w:szCs w:val="32"/>
          <w:lang w:val="en-US" w:eastAsia="zh-CN"/>
        </w:rPr>
      </w:pPr>
      <w:bookmarkStart w:id="257" w:name="_Toc70907162"/>
      <w:bookmarkEnd w:id="257"/>
      <w:bookmarkStart w:id="258" w:name="_Toc70473620"/>
      <w:bookmarkEnd w:id="258"/>
      <w:bookmarkStart w:id="259" w:name="_Toc70474475"/>
      <w:bookmarkEnd w:id="259"/>
      <w:bookmarkStart w:id="260" w:name="_Toc70855904"/>
      <w:bookmarkEnd w:id="260"/>
      <w:bookmarkStart w:id="261" w:name="_Toc70909181"/>
      <w:bookmarkEnd w:id="261"/>
      <w:bookmarkStart w:id="262" w:name="_Toc358366139"/>
      <w:r>
        <w:rPr>
          <w:rFonts w:hint="eastAsia" w:ascii="仿宋_GB2312" w:hAnsi="Arial" w:eastAsia="仿宋_GB2312" w:cs="Times New Roman"/>
          <w:b/>
          <w:bCs/>
          <w:sz w:val="32"/>
          <w:szCs w:val="32"/>
          <w:lang w:val="en-US" w:eastAsia="zh-CN"/>
        </w:rPr>
        <w:t>重大安全事件的应急响应</w:t>
      </w:r>
      <w:bookmarkEnd w:id="262"/>
      <w:r>
        <w:rPr>
          <w:rFonts w:hint="eastAsia" w:ascii="仿宋_GB2312" w:hAnsi="Arial" w:eastAsia="仿宋_GB2312" w:cs="Times New Roman"/>
          <w:b/>
          <w:bCs/>
          <w:sz w:val="32"/>
          <w:szCs w:val="32"/>
          <w:lang w:val="en-US" w:eastAsia="zh-CN"/>
        </w:rPr>
        <w:t>：</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在重大安全事件发生或可能发生的情况下，按照以下流程进行处理：</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1、省公司信息安全管理部向省公司各相关部门、各地市公司和省通信管理局通报安全事件情况，并指示各地市公司立即启动各自相应的重大安全事件应急处理程序。</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2、针对具体的安全事件类别采取以下的相应措施：</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（1）立即组织研究该事件的特点、机理、危害，在4小时内提出初步应对方案；</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（2）立即通过现有安全监测手段对安全事件进行监测，跟踪和收集相关信息。</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3、各单位组根据省公司信息安全管理部的指示，结合本省实际，针对具体的安全事件类别采取以下的相应措施：</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（1）针对业务系统存储数据一定规模损坏或丢失事件，应</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（a）立即组织技术力量确保业务系统正常运行，确定数据损坏或丢失数量和影响程度，并在12小时内将事件分析报告上报省公司信息安全管理部；</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（b）根据省公司信息安全管理部的指示，配合对事件原因进行深入调查；</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（c）根据省公司信息安全管理部的指令在1小时内对相关业务系统采取相应的技术处理措施；</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（2）针对网络数据一定范围泄露事件，应</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（a）立即组织人员确保设备正常运行，并在6小时内将数据泄露事件原因和影响范围上报省公司信息安全管理部；</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（b）根据省公司信息安全管理部的指示，在12小时内完成工作落实。</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sz w:val="32"/>
          <w:szCs w:val="32"/>
        </w:rPr>
      </w:pP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b/>
          <w:bCs/>
          <w:sz w:val="32"/>
          <w:szCs w:val="32"/>
          <w:lang w:eastAsia="zh-CN"/>
        </w:rPr>
      </w:pPr>
      <w:bookmarkStart w:id="263" w:name="_Toc358366140"/>
      <w:r>
        <w:rPr>
          <w:rFonts w:hint="eastAsia" w:ascii="仿宋_GB2312" w:hAnsi="宋体" w:eastAsia="仿宋_GB2312" w:cs="Times New Roman"/>
          <w:b/>
          <w:bCs/>
          <w:sz w:val="32"/>
          <w:szCs w:val="32"/>
        </w:rPr>
        <w:t>较大安全事件的应急响应</w:t>
      </w:r>
      <w:bookmarkEnd w:id="263"/>
      <w:r>
        <w:rPr>
          <w:rFonts w:hint="eastAsia" w:ascii="仿宋_GB2312" w:hAnsi="宋体" w:eastAsia="仿宋_GB2312" w:cs="Times New Roman"/>
          <w:b/>
          <w:bCs/>
          <w:sz w:val="32"/>
          <w:szCs w:val="32"/>
          <w:lang w:eastAsia="zh-CN"/>
        </w:rPr>
        <w:t>：</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在较大安全事件发生或可能发生的情况下，按照以下流程进行处理：</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1、省公司信息安全管理部向省公司相关部门、各地市公司和省通信管理局通报安全事件情况，指示省公司各相关部门、各地市公司立即启动各自相应的较大安全事件应急处理程序。</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2、根据指示，针对具体的安全事件类别采取如下的相应措施：</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（1）立即对该事件的特点、机理、危害、解决方案进行研究，在8小时内提出初步应对方案，并上报省公司信息安全管理部；</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（2）持续跟踪和收集相关信息，每24小时向省公司信息安全管理部上报事件动态；</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3、根据省公司信息安全管理部的指令，结合省网实际，针对具体的安全事件类别采取以下的相应措施：</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（1）针对业务系统存储数据小规模损坏或丢失事件，应</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（a）立即组织技术力量确保业务系统正常运行，确定数据损坏或丢失数量和影响程度，并在12小时内将事件分析报告上报省公司信息安全管理部；</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（b）根据省公司信息安全管理部的指示，配合对事件原因进行深入调查；</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（2）针对网络数据一定范围泄露事件，应</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（a）立即组织人员确保设备正常运行，并在6小时内将数据泄露事件原因和影响范围上报省公司信息安全管理部；</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（b）根据省公司信息安全管理部的指示，在12小时内完成工作落实。</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sz w:val="32"/>
          <w:szCs w:val="32"/>
        </w:rPr>
      </w:pPr>
    </w:p>
    <w:p>
      <w:pPr>
        <w:pStyle w:val="2"/>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firstLine="640" w:firstLineChars="200"/>
        <w:jc w:val="both"/>
        <w:textAlignment w:val="auto"/>
        <w:rPr>
          <w:rFonts w:hint="eastAsia" w:ascii="Times New Roman" w:hAnsi="Times New Roman" w:eastAsia="黑体" w:cs="Times New Roman"/>
          <w:b w:val="0"/>
          <w:bCs/>
          <w:kern w:val="44"/>
          <w:sz w:val="32"/>
          <w:szCs w:val="24"/>
          <w:lang w:val="en-US" w:eastAsia="zh-CN" w:bidi="ar-SA"/>
        </w:rPr>
      </w:pPr>
      <w:r>
        <w:rPr>
          <w:rFonts w:hint="eastAsia" w:ascii="Times New Roman" w:hAnsi="Times New Roman" w:eastAsia="黑体" w:cs="Times New Roman"/>
          <w:b w:val="0"/>
          <w:bCs/>
          <w:kern w:val="44"/>
          <w:sz w:val="32"/>
          <w:szCs w:val="24"/>
          <w:lang w:val="en-US" w:eastAsia="zh-CN" w:bidi="ar-SA"/>
        </w:rPr>
        <w:t xml:space="preserve"> </w:t>
      </w:r>
      <w:bookmarkStart w:id="264" w:name="_Toc358366141"/>
      <w:r>
        <w:rPr>
          <w:rFonts w:hint="eastAsia" w:ascii="Times New Roman" w:hAnsi="Times New Roman" w:eastAsia="黑体" w:cs="Times New Roman"/>
          <w:b w:val="0"/>
          <w:bCs/>
          <w:kern w:val="44"/>
          <w:sz w:val="32"/>
          <w:szCs w:val="24"/>
          <w:lang w:val="en-US" w:eastAsia="zh-CN" w:bidi="ar-SA"/>
        </w:rPr>
        <w:t>六、信息通报/上报</w:t>
      </w:r>
      <w:bookmarkEnd w:id="264"/>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65" w:name="_Toc358366142"/>
      <w:bookmarkStart w:id="266" w:name="_Toc70909186"/>
      <w:r>
        <w:rPr>
          <w:rFonts w:hint="eastAsia" w:ascii="楷体_GB2312" w:hAnsi="楷体_GB2312" w:eastAsia="楷体_GB2312" w:cs="楷体_GB2312"/>
          <w:b w:val="0"/>
          <w:bCs/>
          <w:sz w:val="32"/>
          <w:szCs w:val="32"/>
          <w:lang w:eastAsia="zh-CN"/>
        </w:rPr>
        <w:t>（一）信息通报/上报时间要求</w:t>
      </w:r>
      <w:bookmarkEnd w:id="265"/>
      <w:bookmarkEnd w:id="266"/>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在发生或可能发生特别重大安全事件的情况下，省公司各相关部门、各地市公司应在1小时内向省公司信息安全管理部上报相关信息；在发生或可能发生重大安全事件的情况下，省公司各相关部门、各地市公司应在2小时内上报。收到上述信息后，省公司信息安全管理部应立即向省公司网络安全领导小组报告。经领导小组确认后，由省公司信息安全管理部负责立即向上级部门上报。</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在发生或可能发生较大安全事件的情况下，省公司各相关部门和各地市公司应在4小时内向省公司信息安全管理部上报相关信息；省公司信息安全管理部应立即向省公司网络安全领导小组报告。经领导小组确认后，由省公司信息安全管理部负责立即向上级部门上报。</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67" w:name="_Toc358366143"/>
      <w:r>
        <w:rPr>
          <w:rFonts w:hint="eastAsia" w:ascii="楷体_GB2312" w:hAnsi="楷体_GB2312" w:eastAsia="楷体_GB2312" w:cs="楷体_GB2312"/>
          <w:b w:val="0"/>
          <w:bCs/>
          <w:sz w:val="32"/>
          <w:szCs w:val="32"/>
          <w:lang w:eastAsia="zh-CN"/>
        </w:rPr>
        <w:t>（二）信息通报/上报的方式</w:t>
      </w:r>
      <w:bookmarkEnd w:id="267"/>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事件信息的通报/上报可以通过办公系统（简称OA）、电子邮件等方式，根据事件的不同级别有以下不同的要求：</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 xml:space="preserve">1、“特别重大”、“重大”级别的安全事件必须先通过电话通报/上报，同时通过电子邮件通报/上报，并使用电话确认对方收到； </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2、“较大”级别的安全事件使用电子邮件通报/上报，并使用电话确认对方收到；</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3、根据情况及时整理补充正式的OA文件通报/上报。</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68" w:name="_Toc358366144"/>
      <w:r>
        <w:rPr>
          <w:rFonts w:hint="eastAsia" w:ascii="楷体_GB2312" w:hAnsi="楷体_GB2312" w:eastAsia="楷体_GB2312" w:cs="楷体_GB2312"/>
          <w:b w:val="0"/>
          <w:bCs/>
          <w:sz w:val="32"/>
          <w:szCs w:val="32"/>
          <w:lang w:eastAsia="zh-CN"/>
        </w:rPr>
        <w:t>（三）信息通报/上报的保障制度</w:t>
      </w:r>
      <w:bookmarkEnd w:id="268"/>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1、值班制度：“较大”及以上级别的安全事件应急处理流程启动后，省公司各相关部门、各地市公司应当安排24小时安全值班。未安排值班的相关人员应在接到通知后1小时之内赶赴办公室或指定地点。</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2、信息的归档整理制度：事件启动后，省公司各相关部门和各地市公司的信息部门应对通报、上报的信息以及有关部门和领导的反馈、对事件后续进展的跟踪情况进行统一编号或代号处理；任务结束后对相关信息及时归档。</w:t>
      </w:r>
    </w:p>
    <w:p>
      <w:pPr>
        <w:pageBreakBefore w:val="0"/>
        <w:widowControl w:val="0"/>
        <w:kinsoku/>
        <w:wordWrap/>
        <w:overflowPunct/>
        <w:topLinePunct w:val="0"/>
        <w:autoSpaceDE/>
        <w:autoSpaceDN/>
        <w:bidi w:val="0"/>
        <w:spacing w:line="560" w:lineRule="exact"/>
        <w:ind w:left="0" w:firstLine="640" w:firstLineChars="200"/>
        <w:jc w:val="both"/>
        <w:textAlignment w:val="auto"/>
        <w:rPr>
          <w:rFonts w:hint="eastAsia"/>
          <w:sz w:val="32"/>
          <w:szCs w:val="32"/>
        </w:rPr>
      </w:pPr>
    </w:p>
    <w:p>
      <w:pPr>
        <w:pStyle w:val="2"/>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firstLine="640" w:firstLineChars="200"/>
        <w:jc w:val="both"/>
        <w:textAlignment w:val="auto"/>
        <w:rPr>
          <w:rFonts w:hint="eastAsia" w:ascii="Times New Roman" w:hAnsi="Times New Roman" w:eastAsia="黑体" w:cs="Times New Roman"/>
          <w:b w:val="0"/>
          <w:bCs/>
          <w:kern w:val="44"/>
          <w:sz w:val="32"/>
          <w:szCs w:val="24"/>
          <w:lang w:val="en-US" w:eastAsia="zh-CN" w:bidi="ar-SA"/>
        </w:rPr>
      </w:pPr>
      <w:bookmarkStart w:id="269" w:name="_Toc70909190"/>
      <w:bookmarkStart w:id="270" w:name="_Toc358366145"/>
      <w:r>
        <w:rPr>
          <w:rFonts w:hint="eastAsia" w:ascii="Times New Roman" w:hAnsi="Times New Roman" w:eastAsia="黑体" w:cs="Times New Roman"/>
          <w:b w:val="0"/>
          <w:bCs/>
          <w:kern w:val="44"/>
          <w:sz w:val="32"/>
          <w:szCs w:val="24"/>
          <w:lang w:val="en-US" w:eastAsia="zh-CN" w:bidi="ar-SA"/>
        </w:rPr>
        <w:t>七、应急处理流程</w:t>
      </w:r>
      <w:bookmarkEnd w:id="269"/>
      <w:r>
        <w:rPr>
          <w:rFonts w:hint="eastAsia" w:ascii="Times New Roman" w:hAnsi="Times New Roman" w:eastAsia="黑体" w:cs="Times New Roman"/>
          <w:b w:val="0"/>
          <w:bCs/>
          <w:kern w:val="44"/>
          <w:sz w:val="32"/>
          <w:szCs w:val="24"/>
          <w:lang w:val="en-US" w:eastAsia="zh-CN" w:bidi="ar-SA"/>
        </w:rPr>
        <w:t>的终止</w:t>
      </w:r>
      <w:bookmarkEnd w:id="270"/>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根据省公司各相关部门、各直属中心、各地市公司和报告的数据安全事件发展和应急处理效果等情况，省公司信息安全管理部对网络数据安全状况进行分析，判断事件影响已降低到最低级别安全事件影响水平之下时，报经省公司网络安全领导小组批准后，指示省公司各相关部门、各地市公司和终止应急处理工作。</w:t>
      </w:r>
      <w:bookmarkStart w:id="271" w:name="_Hlt70909416"/>
      <w:bookmarkEnd w:id="271"/>
      <w:bookmarkStart w:id="272" w:name="_Hlt70909421"/>
      <w:bookmarkEnd w:id="272"/>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lang w:eastAsia="zh-CN"/>
        </w:rPr>
      </w:pPr>
      <w:bookmarkStart w:id="273" w:name="_Toc358366146"/>
      <w:r>
        <w:rPr>
          <w:rFonts w:hint="eastAsia" w:ascii="仿宋_GB2312" w:hAnsi="宋体" w:eastAsia="仿宋_GB2312" w:cs="Times New Roman"/>
          <w:sz w:val="32"/>
          <w:szCs w:val="32"/>
        </w:rPr>
        <w:t>对外协调机制</w:t>
      </w:r>
      <w:bookmarkEnd w:id="273"/>
      <w:r>
        <w:rPr>
          <w:rFonts w:hint="eastAsia" w:ascii="仿宋_GB2312" w:hAnsi="宋体" w:eastAsia="仿宋_GB2312" w:cs="Times New Roman"/>
          <w:sz w:val="32"/>
          <w:szCs w:val="32"/>
          <w:lang w:eastAsia="zh-CN"/>
        </w:rPr>
        <w:t>：</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应急处理工作如涉及政府部门、重要信息系统主管部门或其他单位，由省公司信息安全管理部负责相关协调工作。</w:t>
      </w:r>
    </w:p>
    <w:p>
      <w:pPr>
        <w:pageBreakBefore w:val="0"/>
        <w:widowControl w:val="0"/>
        <w:kinsoku/>
        <w:wordWrap/>
        <w:overflowPunct/>
        <w:topLinePunct w:val="0"/>
        <w:autoSpaceDE/>
        <w:autoSpaceDN/>
        <w:bidi w:val="0"/>
        <w:spacing w:line="560" w:lineRule="exact"/>
        <w:ind w:left="0" w:firstLine="640" w:firstLineChars="200"/>
        <w:jc w:val="both"/>
        <w:textAlignment w:val="auto"/>
        <w:rPr>
          <w:rFonts w:hint="eastAsia"/>
          <w:sz w:val="32"/>
          <w:szCs w:val="32"/>
        </w:rPr>
      </w:pPr>
    </w:p>
    <w:p>
      <w:pPr>
        <w:pStyle w:val="2"/>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firstLine="640" w:firstLineChars="200"/>
        <w:jc w:val="both"/>
        <w:textAlignment w:val="auto"/>
        <w:rPr>
          <w:rFonts w:hint="eastAsia" w:ascii="Times New Roman" w:hAnsi="Times New Roman" w:eastAsia="黑体" w:cs="Times New Roman"/>
          <w:b w:val="0"/>
          <w:bCs/>
          <w:kern w:val="44"/>
          <w:sz w:val="32"/>
          <w:szCs w:val="24"/>
          <w:lang w:val="en-US" w:eastAsia="zh-CN" w:bidi="ar-SA"/>
        </w:rPr>
      </w:pPr>
      <w:bookmarkStart w:id="274" w:name="_Toc358366147"/>
      <w:bookmarkStart w:id="275" w:name="_Toc70909192"/>
      <w:r>
        <w:rPr>
          <w:rFonts w:hint="eastAsia" w:ascii="Times New Roman" w:hAnsi="Times New Roman" w:eastAsia="黑体" w:cs="Times New Roman"/>
          <w:b w:val="0"/>
          <w:bCs/>
          <w:kern w:val="44"/>
          <w:sz w:val="32"/>
          <w:szCs w:val="24"/>
          <w:lang w:val="en-US" w:eastAsia="zh-CN" w:bidi="ar-SA"/>
        </w:rPr>
        <w:t>八、后期处置</w:t>
      </w:r>
      <w:bookmarkEnd w:id="274"/>
      <w:bookmarkEnd w:id="275"/>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76" w:name="_Toc358366148"/>
      <w:r>
        <w:rPr>
          <w:rFonts w:hint="eastAsia" w:ascii="楷体_GB2312" w:hAnsi="楷体_GB2312" w:eastAsia="楷体_GB2312" w:cs="楷体_GB2312"/>
          <w:b w:val="0"/>
          <w:bCs/>
          <w:sz w:val="32"/>
          <w:szCs w:val="32"/>
          <w:lang w:eastAsia="zh-CN"/>
        </w:rPr>
        <w:t>（一）受损系统的恢复</w:t>
      </w:r>
      <w:bookmarkEnd w:id="276"/>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应急处置结束后，省公司各相关部门、各地市公司应投入必要的人力和物力，尽快将受损业务系统完全恢复至事发前水平，避免由于事件带来的连带损失扩大化。</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77" w:name="_Toc358366149"/>
      <w:r>
        <w:rPr>
          <w:rFonts w:hint="eastAsia" w:ascii="楷体_GB2312" w:hAnsi="楷体_GB2312" w:eastAsia="楷体_GB2312" w:cs="楷体_GB2312"/>
          <w:b w:val="0"/>
          <w:bCs/>
          <w:sz w:val="32"/>
          <w:szCs w:val="32"/>
          <w:lang w:eastAsia="zh-CN"/>
        </w:rPr>
        <w:t>（二）业务安全加固和整改</w:t>
      </w:r>
      <w:bookmarkEnd w:id="277"/>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省公司各相关部门、直属中心和地市公司应就数据安全事件中暴露出的业务系统弱点和缺陷尽快制定整改措施，对系统进行安全加固，消除安全隐患，并根据该次应急工作的经验和教训进一步完善修订各自的数据安全应急预案，改进应急工作部署，使其在今后更加有效地发挥作用。</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78" w:name="_Toc358366150"/>
      <w:r>
        <w:rPr>
          <w:rFonts w:hint="eastAsia" w:ascii="楷体_GB2312" w:hAnsi="楷体_GB2312" w:eastAsia="楷体_GB2312" w:cs="楷体_GB2312"/>
          <w:b w:val="0"/>
          <w:bCs/>
          <w:sz w:val="32"/>
          <w:szCs w:val="32"/>
          <w:lang w:eastAsia="zh-CN"/>
        </w:rPr>
        <w:t>（三）情况汇报及总结</w:t>
      </w:r>
      <w:bookmarkEnd w:id="278"/>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安全事件应急处理结束后，省公司各相关部门、直属中心和地市公司及时对本次安全事件发生的原因、事件规模进行调查，估算事件损失后果，对应急处理手段效果和后续风险进行评估，总结应急处理的经验教训并提出改进建议，于应急处置结束后一个月内向省公司信息安全管理部上报相关的总结评估报告。</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省公司信息安全管理部在汇总分析省公司各相关部门、直属中心和地市公司上报的总结评估报告的基础上，向省公司网络安全领导小组及时上报本次事件的处理报告，包括事件规模、损失估算、应急处理手段效果评估、经验教训及下一步改进建议等。</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79" w:name="_Toc358366151"/>
      <w:r>
        <w:rPr>
          <w:rFonts w:hint="eastAsia" w:ascii="楷体_GB2312" w:hAnsi="楷体_GB2312" w:eastAsia="楷体_GB2312" w:cs="楷体_GB2312"/>
          <w:b w:val="0"/>
          <w:bCs/>
          <w:sz w:val="32"/>
          <w:szCs w:val="32"/>
          <w:lang w:eastAsia="zh-CN"/>
        </w:rPr>
        <w:t>（四）奖惩评定及表彰</w:t>
      </w:r>
      <w:bookmarkEnd w:id="279"/>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为提高数据安全应急工作的效率和积极性，按照有关规定，对在数据安全应急处理过程中表现突出的省公司部门、各直属中心、地市公司和个人给与表彰；对于处理不力，给中国移动吉林公司造成损失的省公司部门、地市公司和个人进行惩处。</w:t>
      </w:r>
    </w:p>
    <w:p>
      <w:pPr>
        <w:pageBreakBefore w:val="0"/>
        <w:widowControl w:val="0"/>
        <w:kinsoku/>
        <w:wordWrap/>
        <w:overflowPunct/>
        <w:topLinePunct w:val="0"/>
        <w:autoSpaceDE/>
        <w:autoSpaceDN/>
        <w:bidi w:val="0"/>
        <w:spacing w:line="560" w:lineRule="exact"/>
        <w:ind w:left="0" w:firstLine="640" w:firstLineChars="200"/>
        <w:jc w:val="both"/>
        <w:textAlignment w:val="auto"/>
        <w:rPr>
          <w:rFonts w:hint="eastAsia"/>
          <w:sz w:val="32"/>
          <w:szCs w:val="32"/>
        </w:rPr>
      </w:pPr>
    </w:p>
    <w:p>
      <w:pPr>
        <w:pStyle w:val="2"/>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firstLine="640" w:firstLineChars="200"/>
        <w:jc w:val="both"/>
        <w:textAlignment w:val="auto"/>
        <w:rPr>
          <w:rFonts w:hint="eastAsia" w:ascii="Times New Roman" w:hAnsi="Times New Roman" w:eastAsia="黑体" w:cs="Times New Roman"/>
          <w:b w:val="0"/>
          <w:bCs/>
          <w:kern w:val="44"/>
          <w:sz w:val="32"/>
          <w:szCs w:val="24"/>
          <w:lang w:val="en-US" w:eastAsia="zh-CN" w:bidi="ar-SA"/>
        </w:rPr>
      </w:pPr>
      <w:bookmarkStart w:id="280" w:name="_Toc358366152"/>
      <w:bookmarkStart w:id="281" w:name="_Toc70909205"/>
      <w:r>
        <w:rPr>
          <w:rFonts w:hint="eastAsia" w:ascii="Times New Roman" w:hAnsi="Times New Roman" w:eastAsia="黑体" w:cs="Times New Roman"/>
          <w:b w:val="0"/>
          <w:bCs/>
          <w:kern w:val="44"/>
          <w:sz w:val="32"/>
          <w:szCs w:val="24"/>
          <w:lang w:val="en-US" w:eastAsia="zh-CN" w:bidi="ar-SA"/>
        </w:rPr>
        <w:t>九、附　则</w:t>
      </w:r>
      <w:bookmarkEnd w:id="280"/>
      <w:bookmarkEnd w:id="281"/>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82" w:name="_Hlt70908226"/>
      <w:bookmarkEnd w:id="282"/>
      <w:bookmarkStart w:id="283" w:name="_Toc70909206"/>
      <w:bookmarkStart w:id="284" w:name="_Toc358366153"/>
      <w:r>
        <w:rPr>
          <w:rFonts w:hint="eastAsia" w:ascii="楷体_GB2312" w:hAnsi="楷体_GB2312" w:eastAsia="楷体_GB2312" w:cs="楷体_GB2312"/>
          <w:b w:val="0"/>
          <w:bCs/>
          <w:sz w:val="32"/>
          <w:szCs w:val="32"/>
          <w:lang w:eastAsia="zh-CN"/>
        </w:rPr>
        <w:t>（一）预案管理与更新</w:t>
      </w:r>
      <w:bookmarkEnd w:id="283"/>
      <w:bookmarkEnd w:id="284"/>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本预案由省公司信息安全管理部负责管理和保存，并根据数据安全发展的实际情况及时进行修改更新。修改的预案经网络安全领导小组批准后发布实施。</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85" w:name="_Hlt70908057"/>
      <w:bookmarkEnd w:id="285"/>
      <w:bookmarkStart w:id="286" w:name="_Hlt70909447"/>
      <w:bookmarkEnd w:id="286"/>
      <w:bookmarkStart w:id="287" w:name="_Hlt70909461"/>
      <w:bookmarkEnd w:id="287"/>
      <w:bookmarkStart w:id="288" w:name="_Hlt70909438"/>
      <w:bookmarkEnd w:id="288"/>
      <w:bookmarkStart w:id="289" w:name="_Hlt70908061"/>
      <w:bookmarkEnd w:id="289"/>
      <w:bookmarkStart w:id="290" w:name="_Hlt70908065"/>
      <w:bookmarkEnd w:id="290"/>
      <w:bookmarkStart w:id="291" w:name="_Toc358366154"/>
      <w:r>
        <w:rPr>
          <w:rFonts w:hint="eastAsia" w:ascii="楷体_GB2312" w:hAnsi="楷体_GB2312" w:eastAsia="楷体_GB2312" w:cs="楷体_GB2312"/>
          <w:b w:val="0"/>
          <w:bCs/>
          <w:sz w:val="32"/>
          <w:szCs w:val="32"/>
          <w:lang w:eastAsia="zh-CN"/>
        </w:rPr>
        <w:t>（二）制定与解释部门</w:t>
      </w:r>
      <w:bookmarkEnd w:id="291"/>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本预案由省公司信息安全管理部制定并负责解释。</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92" w:name="_Toc358366155"/>
      <w:r>
        <w:rPr>
          <w:rFonts w:hint="eastAsia" w:ascii="楷体_GB2312" w:hAnsi="楷体_GB2312" w:eastAsia="楷体_GB2312" w:cs="楷体_GB2312"/>
          <w:b w:val="0"/>
          <w:bCs/>
          <w:sz w:val="32"/>
          <w:szCs w:val="32"/>
          <w:lang w:eastAsia="zh-CN"/>
        </w:rPr>
        <w:t>（三）预案生效</w:t>
      </w:r>
      <w:bookmarkEnd w:id="292"/>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本预案自印发之日起生效。</w:t>
      </w:r>
    </w:p>
    <w:p>
      <w:pPr>
        <w:pageBreakBefore w:val="0"/>
        <w:widowControl w:val="0"/>
        <w:kinsoku/>
        <w:wordWrap/>
        <w:overflowPunct/>
        <w:topLinePunct w:val="0"/>
        <w:autoSpaceDE/>
        <w:autoSpaceDN/>
        <w:bidi w:val="0"/>
        <w:spacing w:line="560" w:lineRule="exact"/>
        <w:ind w:left="0" w:firstLine="640" w:firstLineChars="200"/>
        <w:jc w:val="both"/>
        <w:textAlignment w:val="auto"/>
        <w:rPr>
          <w:rFonts w:hint="eastAsia"/>
          <w:sz w:val="32"/>
          <w:szCs w:val="32"/>
        </w:rPr>
      </w:pPr>
    </w:p>
    <w:sectPr>
      <w:footerReference r:id="rId3" w:type="default"/>
      <w:pgSz w:w="11906" w:h="16838"/>
      <w:pgMar w:top="1418" w:right="1701" w:bottom="1418" w:left="1701" w:header="851" w:footer="992" w:gutter="0"/>
      <w:pgNumType w:fmt="numberInDash" w:start="1"/>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4D"/>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仿宋_GB2312">
    <w:altName w:val="仿宋"/>
    <w:panose1 w:val="02010609030101010101"/>
    <w:charset w:val="86"/>
    <w:family w:val="auto"/>
    <w:pitch w:val="default"/>
    <w:sig w:usb0="00000001" w:usb1="080E0000" w:usb2="00000000" w:usb3="00000000" w:csb0="00040000" w:csb1="00000000"/>
  </w:font>
  <w:font w:name="Arial Unicode MS">
    <w:altName w:val="宋体"/>
    <w:panose1 w:val="020B0604020202020204"/>
    <w:charset w:val="86"/>
    <w:family w:val="swiss"/>
    <w:pitch w:val="default"/>
    <w:sig w:usb0="FFFFFFFF" w:usb1="E9FFFFFF" w:usb2="0000003F" w:usb3="00000000" w:csb0="603F01FF" w:csb1="FFFF0000"/>
  </w:font>
  <w:font w:name="Cambria">
    <w:panose1 w:val="02040503050406030204"/>
    <w:charset w:val="00"/>
    <w:family w:val="roman"/>
    <w:pitch w:val="default"/>
    <w:sig w:usb0="E00006FF" w:usb1="420024FF" w:usb2="02000000" w:usb3="00000000" w:csb0="2000019F"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rPr>
        <w:rStyle w:val="27"/>
      </w:rPr>
      <w:fldChar w:fldCharType="begin"/>
    </w:r>
    <w:r>
      <w:rPr>
        <w:rStyle w:val="27"/>
      </w:rPr>
      <w:instrText xml:space="preserve"> PAGE </w:instrText>
    </w:r>
    <w:r>
      <w:rPr>
        <w:rStyle w:val="27"/>
      </w:rPr>
      <w:fldChar w:fldCharType="separate"/>
    </w:r>
    <w:r>
      <w:rPr>
        <w:rStyle w:val="27"/>
        <w:lang/>
      </w:rPr>
      <w:t>- 1 -</w:t>
    </w:r>
    <w:r>
      <w:rPr>
        <w:rStyle w:val="27"/>
        <w:rFonts w:hint="eastAsia"/>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C6D"/>
    <w:rsid w:val="0000413A"/>
    <w:rsid w:val="00005782"/>
    <w:rsid w:val="0001176B"/>
    <w:rsid w:val="00011E66"/>
    <w:rsid w:val="00014C08"/>
    <w:rsid w:val="0002451A"/>
    <w:rsid w:val="0002473E"/>
    <w:rsid w:val="00033963"/>
    <w:rsid w:val="00044712"/>
    <w:rsid w:val="0004635F"/>
    <w:rsid w:val="00052F52"/>
    <w:rsid w:val="00054EEC"/>
    <w:rsid w:val="00064FEF"/>
    <w:rsid w:val="0006564D"/>
    <w:rsid w:val="0007260F"/>
    <w:rsid w:val="00072EC3"/>
    <w:rsid w:val="000801A1"/>
    <w:rsid w:val="00083A85"/>
    <w:rsid w:val="00084B63"/>
    <w:rsid w:val="00096494"/>
    <w:rsid w:val="00096B29"/>
    <w:rsid w:val="000A1D78"/>
    <w:rsid w:val="000B08CE"/>
    <w:rsid w:val="000B7657"/>
    <w:rsid w:val="000B7C1B"/>
    <w:rsid w:val="000C0BE7"/>
    <w:rsid w:val="000C0FF3"/>
    <w:rsid w:val="000C390A"/>
    <w:rsid w:val="000C473F"/>
    <w:rsid w:val="000D1D31"/>
    <w:rsid w:val="000D4E86"/>
    <w:rsid w:val="000D74FF"/>
    <w:rsid w:val="000E218B"/>
    <w:rsid w:val="000E5161"/>
    <w:rsid w:val="000E689D"/>
    <w:rsid w:val="000F3FA7"/>
    <w:rsid w:val="000F59AF"/>
    <w:rsid w:val="00103F10"/>
    <w:rsid w:val="00106765"/>
    <w:rsid w:val="00107466"/>
    <w:rsid w:val="001079A3"/>
    <w:rsid w:val="0011174C"/>
    <w:rsid w:val="00111873"/>
    <w:rsid w:val="001120C8"/>
    <w:rsid w:val="0012263F"/>
    <w:rsid w:val="00123F9D"/>
    <w:rsid w:val="00127FC2"/>
    <w:rsid w:val="00130DBC"/>
    <w:rsid w:val="00134466"/>
    <w:rsid w:val="00151270"/>
    <w:rsid w:val="001531A1"/>
    <w:rsid w:val="00153C6D"/>
    <w:rsid w:val="00156A3D"/>
    <w:rsid w:val="0016608C"/>
    <w:rsid w:val="00166F4E"/>
    <w:rsid w:val="00167206"/>
    <w:rsid w:val="001727EF"/>
    <w:rsid w:val="001728A5"/>
    <w:rsid w:val="00172DDD"/>
    <w:rsid w:val="00174BCD"/>
    <w:rsid w:val="00177EDF"/>
    <w:rsid w:val="00180A62"/>
    <w:rsid w:val="001830FA"/>
    <w:rsid w:val="0019711B"/>
    <w:rsid w:val="0019774D"/>
    <w:rsid w:val="001A288C"/>
    <w:rsid w:val="001A3A0D"/>
    <w:rsid w:val="001A3B01"/>
    <w:rsid w:val="001B0713"/>
    <w:rsid w:val="001B2B3A"/>
    <w:rsid w:val="001B3F05"/>
    <w:rsid w:val="001B768D"/>
    <w:rsid w:val="001C3875"/>
    <w:rsid w:val="001C58B0"/>
    <w:rsid w:val="001C5C0D"/>
    <w:rsid w:val="001D007D"/>
    <w:rsid w:val="001D2E8C"/>
    <w:rsid w:val="001D381A"/>
    <w:rsid w:val="001E2D7F"/>
    <w:rsid w:val="001E42C4"/>
    <w:rsid w:val="001E4F2D"/>
    <w:rsid w:val="001E5026"/>
    <w:rsid w:val="001E585E"/>
    <w:rsid w:val="001F0184"/>
    <w:rsid w:val="001F1A77"/>
    <w:rsid w:val="001F3958"/>
    <w:rsid w:val="001F3CCF"/>
    <w:rsid w:val="00203E0A"/>
    <w:rsid w:val="0020558B"/>
    <w:rsid w:val="00207147"/>
    <w:rsid w:val="00211018"/>
    <w:rsid w:val="0022003C"/>
    <w:rsid w:val="002211BB"/>
    <w:rsid w:val="00222D1E"/>
    <w:rsid w:val="00224633"/>
    <w:rsid w:val="00225D16"/>
    <w:rsid w:val="0023351E"/>
    <w:rsid w:val="00240C5D"/>
    <w:rsid w:val="00241B1E"/>
    <w:rsid w:val="00252B6F"/>
    <w:rsid w:val="00252D09"/>
    <w:rsid w:val="00254089"/>
    <w:rsid w:val="002542FB"/>
    <w:rsid w:val="00254308"/>
    <w:rsid w:val="00257A60"/>
    <w:rsid w:val="00261A84"/>
    <w:rsid w:val="00271024"/>
    <w:rsid w:val="00275CF6"/>
    <w:rsid w:val="00276EF0"/>
    <w:rsid w:val="00280490"/>
    <w:rsid w:val="002916F5"/>
    <w:rsid w:val="00291F3D"/>
    <w:rsid w:val="002939DE"/>
    <w:rsid w:val="002A256F"/>
    <w:rsid w:val="002A2621"/>
    <w:rsid w:val="002A495C"/>
    <w:rsid w:val="002A50BF"/>
    <w:rsid w:val="002C2EB8"/>
    <w:rsid w:val="002D1C80"/>
    <w:rsid w:val="002D26A3"/>
    <w:rsid w:val="002E5323"/>
    <w:rsid w:val="002E737D"/>
    <w:rsid w:val="002F3287"/>
    <w:rsid w:val="002F3833"/>
    <w:rsid w:val="002F4919"/>
    <w:rsid w:val="00304CD1"/>
    <w:rsid w:val="00312EC7"/>
    <w:rsid w:val="00316AFD"/>
    <w:rsid w:val="00324CAA"/>
    <w:rsid w:val="003321A9"/>
    <w:rsid w:val="003327F6"/>
    <w:rsid w:val="0033690F"/>
    <w:rsid w:val="00350D47"/>
    <w:rsid w:val="00360AE4"/>
    <w:rsid w:val="00362C2F"/>
    <w:rsid w:val="00372AAA"/>
    <w:rsid w:val="0039544E"/>
    <w:rsid w:val="00397BCD"/>
    <w:rsid w:val="003A10E1"/>
    <w:rsid w:val="003A16A0"/>
    <w:rsid w:val="003A2E50"/>
    <w:rsid w:val="003A47FF"/>
    <w:rsid w:val="003A6002"/>
    <w:rsid w:val="003A6315"/>
    <w:rsid w:val="003A6D46"/>
    <w:rsid w:val="003B312E"/>
    <w:rsid w:val="003B7823"/>
    <w:rsid w:val="003B7B14"/>
    <w:rsid w:val="003C252A"/>
    <w:rsid w:val="003C2D82"/>
    <w:rsid w:val="003C32A3"/>
    <w:rsid w:val="003C6DFB"/>
    <w:rsid w:val="003E0A63"/>
    <w:rsid w:val="003E4EA2"/>
    <w:rsid w:val="003E7A16"/>
    <w:rsid w:val="003F2399"/>
    <w:rsid w:val="003F353D"/>
    <w:rsid w:val="003F373F"/>
    <w:rsid w:val="003F6DC8"/>
    <w:rsid w:val="00400004"/>
    <w:rsid w:val="004037A6"/>
    <w:rsid w:val="00403D35"/>
    <w:rsid w:val="004063B3"/>
    <w:rsid w:val="00411055"/>
    <w:rsid w:val="00412C0E"/>
    <w:rsid w:val="00415635"/>
    <w:rsid w:val="0042032A"/>
    <w:rsid w:val="00425DD4"/>
    <w:rsid w:val="004270DD"/>
    <w:rsid w:val="004339DA"/>
    <w:rsid w:val="00442C63"/>
    <w:rsid w:val="00444E15"/>
    <w:rsid w:val="0046004A"/>
    <w:rsid w:val="00463E3B"/>
    <w:rsid w:val="00464043"/>
    <w:rsid w:val="00472F9D"/>
    <w:rsid w:val="0047615D"/>
    <w:rsid w:val="004804DA"/>
    <w:rsid w:val="00482BD5"/>
    <w:rsid w:val="0048782C"/>
    <w:rsid w:val="00490AEF"/>
    <w:rsid w:val="00497CFF"/>
    <w:rsid w:val="004A013A"/>
    <w:rsid w:val="004A38D0"/>
    <w:rsid w:val="004A5FC5"/>
    <w:rsid w:val="004B26F8"/>
    <w:rsid w:val="004B58A1"/>
    <w:rsid w:val="004C3228"/>
    <w:rsid w:val="004C607F"/>
    <w:rsid w:val="004C6DB7"/>
    <w:rsid w:val="004D52BA"/>
    <w:rsid w:val="004E5B81"/>
    <w:rsid w:val="004F3587"/>
    <w:rsid w:val="004F5E30"/>
    <w:rsid w:val="00502F26"/>
    <w:rsid w:val="00506A07"/>
    <w:rsid w:val="00512072"/>
    <w:rsid w:val="00514448"/>
    <w:rsid w:val="0052376A"/>
    <w:rsid w:val="00523ADA"/>
    <w:rsid w:val="005242D0"/>
    <w:rsid w:val="00524DB8"/>
    <w:rsid w:val="00525E97"/>
    <w:rsid w:val="00532184"/>
    <w:rsid w:val="0053296B"/>
    <w:rsid w:val="00536AC3"/>
    <w:rsid w:val="0054229E"/>
    <w:rsid w:val="00550865"/>
    <w:rsid w:val="00550AE0"/>
    <w:rsid w:val="00554E3E"/>
    <w:rsid w:val="00556933"/>
    <w:rsid w:val="00560DF8"/>
    <w:rsid w:val="00560E9B"/>
    <w:rsid w:val="00564B63"/>
    <w:rsid w:val="005702B5"/>
    <w:rsid w:val="00573BED"/>
    <w:rsid w:val="00574D9B"/>
    <w:rsid w:val="00581F72"/>
    <w:rsid w:val="0058718D"/>
    <w:rsid w:val="00587D68"/>
    <w:rsid w:val="005A1520"/>
    <w:rsid w:val="005A2588"/>
    <w:rsid w:val="005A33BA"/>
    <w:rsid w:val="005A3883"/>
    <w:rsid w:val="005B2B16"/>
    <w:rsid w:val="005B5E47"/>
    <w:rsid w:val="005C3A11"/>
    <w:rsid w:val="005C4E1E"/>
    <w:rsid w:val="005C6A18"/>
    <w:rsid w:val="005D3CC7"/>
    <w:rsid w:val="005D5EFC"/>
    <w:rsid w:val="005D6FF9"/>
    <w:rsid w:val="005E1E8F"/>
    <w:rsid w:val="005E7E21"/>
    <w:rsid w:val="005F7528"/>
    <w:rsid w:val="00600744"/>
    <w:rsid w:val="0060314C"/>
    <w:rsid w:val="00610C01"/>
    <w:rsid w:val="006124DC"/>
    <w:rsid w:val="00615A4D"/>
    <w:rsid w:val="00617FEF"/>
    <w:rsid w:val="00624BB1"/>
    <w:rsid w:val="00630C04"/>
    <w:rsid w:val="00631F4D"/>
    <w:rsid w:val="006422B2"/>
    <w:rsid w:val="006455E2"/>
    <w:rsid w:val="006512A4"/>
    <w:rsid w:val="006570C3"/>
    <w:rsid w:val="00665B4B"/>
    <w:rsid w:val="006709FF"/>
    <w:rsid w:val="00674185"/>
    <w:rsid w:val="00677844"/>
    <w:rsid w:val="00677A4E"/>
    <w:rsid w:val="006827A1"/>
    <w:rsid w:val="006832CE"/>
    <w:rsid w:val="00685229"/>
    <w:rsid w:val="006866E3"/>
    <w:rsid w:val="00692777"/>
    <w:rsid w:val="0069557D"/>
    <w:rsid w:val="00696D96"/>
    <w:rsid w:val="00697BED"/>
    <w:rsid w:val="006A22A2"/>
    <w:rsid w:val="006A2858"/>
    <w:rsid w:val="006A2F07"/>
    <w:rsid w:val="006A5DAB"/>
    <w:rsid w:val="006B6E18"/>
    <w:rsid w:val="006C2BC9"/>
    <w:rsid w:val="006C4187"/>
    <w:rsid w:val="006C66AD"/>
    <w:rsid w:val="006D00CB"/>
    <w:rsid w:val="006D047D"/>
    <w:rsid w:val="006D5C9A"/>
    <w:rsid w:val="006E598E"/>
    <w:rsid w:val="006F1F64"/>
    <w:rsid w:val="0070725F"/>
    <w:rsid w:val="00707BCE"/>
    <w:rsid w:val="00711ADC"/>
    <w:rsid w:val="00713DEB"/>
    <w:rsid w:val="00716BCA"/>
    <w:rsid w:val="00720538"/>
    <w:rsid w:val="00721240"/>
    <w:rsid w:val="00731E83"/>
    <w:rsid w:val="00733E66"/>
    <w:rsid w:val="0074572B"/>
    <w:rsid w:val="00747E2A"/>
    <w:rsid w:val="00751AC3"/>
    <w:rsid w:val="00756D4F"/>
    <w:rsid w:val="00763508"/>
    <w:rsid w:val="00763F04"/>
    <w:rsid w:val="007704E4"/>
    <w:rsid w:val="00773BAC"/>
    <w:rsid w:val="007808B0"/>
    <w:rsid w:val="00781D5F"/>
    <w:rsid w:val="007825F8"/>
    <w:rsid w:val="00785F8B"/>
    <w:rsid w:val="0078625D"/>
    <w:rsid w:val="00794209"/>
    <w:rsid w:val="00794F23"/>
    <w:rsid w:val="007A458F"/>
    <w:rsid w:val="007A4B81"/>
    <w:rsid w:val="007B1301"/>
    <w:rsid w:val="007B45FB"/>
    <w:rsid w:val="007C009F"/>
    <w:rsid w:val="007C3D35"/>
    <w:rsid w:val="007C6843"/>
    <w:rsid w:val="007D056D"/>
    <w:rsid w:val="007E073F"/>
    <w:rsid w:val="007E2EBF"/>
    <w:rsid w:val="007E6F1A"/>
    <w:rsid w:val="007F2C22"/>
    <w:rsid w:val="007F3D8B"/>
    <w:rsid w:val="007F5F40"/>
    <w:rsid w:val="00801BE6"/>
    <w:rsid w:val="0081235E"/>
    <w:rsid w:val="008134F2"/>
    <w:rsid w:val="00814030"/>
    <w:rsid w:val="0081580E"/>
    <w:rsid w:val="008169D6"/>
    <w:rsid w:val="008250ED"/>
    <w:rsid w:val="00831E10"/>
    <w:rsid w:val="00837972"/>
    <w:rsid w:val="008406FE"/>
    <w:rsid w:val="008433E7"/>
    <w:rsid w:val="0084577B"/>
    <w:rsid w:val="00847CA1"/>
    <w:rsid w:val="00852EB6"/>
    <w:rsid w:val="00863BE5"/>
    <w:rsid w:val="00867BE2"/>
    <w:rsid w:val="0087197B"/>
    <w:rsid w:val="008723AE"/>
    <w:rsid w:val="00874846"/>
    <w:rsid w:val="00876452"/>
    <w:rsid w:val="00884CCF"/>
    <w:rsid w:val="00891C58"/>
    <w:rsid w:val="00892D98"/>
    <w:rsid w:val="008935B7"/>
    <w:rsid w:val="008940E0"/>
    <w:rsid w:val="008A4CE9"/>
    <w:rsid w:val="008A78CA"/>
    <w:rsid w:val="008B1AB4"/>
    <w:rsid w:val="008C2D2D"/>
    <w:rsid w:val="008C3830"/>
    <w:rsid w:val="008C5AA9"/>
    <w:rsid w:val="008D0DA9"/>
    <w:rsid w:val="008D5908"/>
    <w:rsid w:val="008E238E"/>
    <w:rsid w:val="008E23AE"/>
    <w:rsid w:val="00900B2A"/>
    <w:rsid w:val="00902BD9"/>
    <w:rsid w:val="009168F7"/>
    <w:rsid w:val="00920371"/>
    <w:rsid w:val="00924905"/>
    <w:rsid w:val="00925819"/>
    <w:rsid w:val="00926B1D"/>
    <w:rsid w:val="00931E51"/>
    <w:rsid w:val="00931F7E"/>
    <w:rsid w:val="009322EF"/>
    <w:rsid w:val="00933E21"/>
    <w:rsid w:val="0093589F"/>
    <w:rsid w:val="00940AF4"/>
    <w:rsid w:val="00955174"/>
    <w:rsid w:val="009572E7"/>
    <w:rsid w:val="009622A0"/>
    <w:rsid w:val="00964907"/>
    <w:rsid w:val="009649CA"/>
    <w:rsid w:val="00967E78"/>
    <w:rsid w:val="009840EB"/>
    <w:rsid w:val="0098571A"/>
    <w:rsid w:val="009927C4"/>
    <w:rsid w:val="00994012"/>
    <w:rsid w:val="00997777"/>
    <w:rsid w:val="009A09EF"/>
    <w:rsid w:val="009B22C1"/>
    <w:rsid w:val="009B35FC"/>
    <w:rsid w:val="009C2EAA"/>
    <w:rsid w:val="009C5A33"/>
    <w:rsid w:val="009D3EB5"/>
    <w:rsid w:val="009E0A00"/>
    <w:rsid w:val="009E20F7"/>
    <w:rsid w:val="009E3602"/>
    <w:rsid w:val="009F3CE0"/>
    <w:rsid w:val="009F4DEE"/>
    <w:rsid w:val="00A0401C"/>
    <w:rsid w:val="00A04817"/>
    <w:rsid w:val="00A061E1"/>
    <w:rsid w:val="00A14EB1"/>
    <w:rsid w:val="00A17584"/>
    <w:rsid w:val="00A35ED7"/>
    <w:rsid w:val="00A369ED"/>
    <w:rsid w:val="00A410B2"/>
    <w:rsid w:val="00A421AE"/>
    <w:rsid w:val="00A43A8A"/>
    <w:rsid w:val="00A52F5E"/>
    <w:rsid w:val="00A62068"/>
    <w:rsid w:val="00A67E1D"/>
    <w:rsid w:val="00A71DEA"/>
    <w:rsid w:val="00A8321F"/>
    <w:rsid w:val="00A87EA1"/>
    <w:rsid w:val="00A916E8"/>
    <w:rsid w:val="00A9311B"/>
    <w:rsid w:val="00A952D3"/>
    <w:rsid w:val="00AA2467"/>
    <w:rsid w:val="00AA2B79"/>
    <w:rsid w:val="00AB265D"/>
    <w:rsid w:val="00AB3919"/>
    <w:rsid w:val="00AB3B37"/>
    <w:rsid w:val="00AB465B"/>
    <w:rsid w:val="00AB5AC7"/>
    <w:rsid w:val="00AC00F4"/>
    <w:rsid w:val="00AC1D59"/>
    <w:rsid w:val="00AD0937"/>
    <w:rsid w:val="00AD460A"/>
    <w:rsid w:val="00AE4E74"/>
    <w:rsid w:val="00B00E17"/>
    <w:rsid w:val="00B067A5"/>
    <w:rsid w:val="00B14A6B"/>
    <w:rsid w:val="00B22503"/>
    <w:rsid w:val="00B26747"/>
    <w:rsid w:val="00B32004"/>
    <w:rsid w:val="00B36528"/>
    <w:rsid w:val="00B37DFB"/>
    <w:rsid w:val="00B43A9D"/>
    <w:rsid w:val="00B467EF"/>
    <w:rsid w:val="00B52EB2"/>
    <w:rsid w:val="00B612C0"/>
    <w:rsid w:val="00B63114"/>
    <w:rsid w:val="00B6433E"/>
    <w:rsid w:val="00B64B8D"/>
    <w:rsid w:val="00B6691A"/>
    <w:rsid w:val="00B7045F"/>
    <w:rsid w:val="00B705AA"/>
    <w:rsid w:val="00B7206E"/>
    <w:rsid w:val="00B72EC8"/>
    <w:rsid w:val="00B8100D"/>
    <w:rsid w:val="00B82029"/>
    <w:rsid w:val="00B822AF"/>
    <w:rsid w:val="00B85585"/>
    <w:rsid w:val="00B92BD6"/>
    <w:rsid w:val="00BA2AA2"/>
    <w:rsid w:val="00BA64C9"/>
    <w:rsid w:val="00BB2E9D"/>
    <w:rsid w:val="00BC3980"/>
    <w:rsid w:val="00BC6155"/>
    <w:rsid w:val="00BC6906"/>
    <w:rsid w:val="00BD643E"/>
    <w:rsid w:val="00BE1751"/>
    <w:rsid w:val="00BE199A"/>
    <w:rsid w:val="00BE1B16"/>
    <w:rsid w:val="00BE4B71"/>
    <w:rsid w:val="00BF0243"/>
    <w:rsid w:val="00BF24B6"/>
    <w:rsid w:val="00BF252D"/>
    <w:rsid w:val="00BF32BE"/>
    <w:rsid w:val="00BF5623"/>
    <w:rsid w:val="00C03C35"/>
    <w:rsid w:val="00C14800"/>
    <w:rsid w:val="00C15A74"/>
    <w:rsid w:val="00C27753"/>
    <w:rsid w:val="00C31607"/>
    <w:rsid w:val="00C35183"/>
    <w:rsid w:val="00C37E54"/>
    <w:rsid w:val="00C4049F"/>
    <w:rsid w:val="00C46849"/>
    <w:rsid w:val="00C46A88"/>
    <w:rsid w:val="00C60CC3"/>
    <w:rsid w:val="00C67685"/>
    <w:rsid w:val="00C71FA3"/>
    <w:rsid w:val="00C76599"/>
    <w:rsid w:val="00C76EE0"/>
    <w:rsid w:val="00C7713F"/>
    <w:rsid w:val="00C82E82"/>
    <w:rsid w:val="00C83E9B"/>
    <w:rsid w:val="00C86B71"/>
    <w:rsid w:val="00C90654"/>
    <w:rsid w:val="00C92184"/>
    <w:rsid w:val="00C944F5"/>
    <w:rsid w:val="00CB0ADC"/>
    <w:rsid w:val="00CB0F14"/>
    <w:rsid w:val="00CB6505"/>
    <w:rsid w:val="00CC055E"/>
    <w:rsid w:val="00CC498F"/>
    <w:rsid w:val="00CD208B"/>
    <w:rsid w:val="00CD3D96"/>
    <w:rsid w:val="00CD6AB5"/>
    <w:rsid w:val="00CE0430"/>
    <w:rsid w:val="00CE204B"/>
    <w:rsid w:val="00CE2083"/>
    <w:rsid w:val="00CE5052"/>
    <w:rsid w:val="00CE68B3"/>
    <w:rsid w:val="00CF0962"/>
    <w:rsid w:val="00CF3D5E"/>
    <w:rsid w:val="00D0042C"/>
    <w:rsid w:val="00D019C4"/>
    <w:rsid w:val="00D155C5"/>
    <w:rsid w:val="00D15A35"/>
    <w:rsid w:val="00D17FF0"/>
    <w:rsid w:val="00D33361"/>
    <w:rsid w:val="00D45584"/>
    <w:rsid w:val="00D46F71"/>
    <w:rsid w:val="00D518DE"/>
    <w:rsid w:val="00D52792"/>
    <w:rsid w:val="00D55F02"/>
    <w:rsid w:val="00D57C31"/>
    <w:rsid w:val="00D63BAC"/>
    <w:rsid w:val="00D6435D"/>
    <w:rsid w:val="00D65EA6"/>
    <w:rsid w:val="00D7051F"/>
    <w:rsid w:val="00D7226A"/>
    <w:rsid w:val="00D802B6"/>
    <w:rsid w:val="00D9668C"/>
    <w:rsid w:val="00D97023"/>
    <w:rsid w:val="00DA3351"/>
    <w:rsid w:val="00DA5887"/>
    <w:rsid w:val="00DC09FD"/>
    <w:rsid w:val="00DD346A"/>
    <w:rsid w:val="00DD36DD"/>
    <w:rsid w:val="00DD376D"/>
    <w:rsid w:val="00DD6CE8"/>
    <w:rsid w:val="00DE4036"/>
    <w:rsid w:val="00DE463E"/>
    <w:rsid w:val="00DF024E"/>
    <w:rsid w:val="00DF13D1"/>
    <w:rsid w:val="00DF16EF"/>
    <w:rsid w:val="00DF2990"/>
    <w:rsid w:val="00DF446D"/>
    <w:rsid w:val="00E1217E"/>
    <w:rsid w:val="00E121EF"/>
    <w:rsid w:val="00E1234A"/>
    <w:rsid w:val="00E136BD"/>
    <w:rsid w:val="00E21500"/>
    <w:rsid w:val="00E220DA"/>
    <w:rsid w:val="00E222C9"/>
    <w:rsid w:val="00E24DE4"/>
    <w:rsid w:val="00E269B7"/>
    <w:rsid w:val="00E34F30"/>
    <w:rsid w:val="00E357DA"/>
    <w:rsid w:val="00E432C7"/>
    <w:rsid w:val="00E43A72"/>
    <w:rsid w:val="00E43B5E"/>
    <w:rsid w:val="00E45547"/>
    <w:rsid w:val="00E45F4C"/>
    <w:rsid w:val="00E56CA0"/>
    <w:rsid w:val="00E615DC"/>
    <w:rsid w:val="00E61AC9"/>
    <w:rsid w:val="00E62FFC"/>
    <w:rsid w:val="00E64007"/>
    <w:rsid w:val="00E67AAA"/>
    <w:rsid w:val="00E7039C"/>
    <w:rsid w:val="00E726D5"/>
    <w:rsid w:val="00E81E22"/>
    <w:rsid w:val="00E90A32"/>
    <w:rsid w:val="00E90CFD"/>
    <w:rsid w:val="00EA269F"/>
    <w:rsid w:val="00EA2C89"/>
    <w:rsid w:val="00EA30C9"/>
    <w:rsid w:val="00EB495C"/>
    <w:rsid w:val="00EB6025"/>
    <w:rsid w:val="00EC17A3"/>
    <w:rsid w:val="00EC2265"/>
    <w:rsid w:val="00ED496F"/>
    <w:rsid w:val="00ED79F3"/>
    <w:rsid w:val="00EF140D"/>
    <w:rsid w:val="00EF2350"/>
    <w:rsid w:val="00EF368E"/>
    <w:rsid w:val="00EF3819"/>
    <w:rsid w:val="00F05CB3"/>
    <w:rsid w:val="00F07F1C"/>
    <w:rsid w:val="00F11106"/>
    <w:rsid w:val="00F14F55"/>
    <w:rsid w:val="00F163ED"/>
    <w:rsid w:val="00F16F48"/>
    <w:rsid w:val="00F1762B"/>
    <w:rsid w:val="00F203BC"/>
    <w:rsid w:val="00F207A9"/>
    <w:rsid w:val="00F25693"/>
    <w:rsid w:val="00F30C92"/>
    <w:rsid w:val="00F362E3"/>
    <w:rsid w:val="00F37B3A"/>
    <w:rsid w:val="00F41973"/>
    <w:rsid w:val="00F42D16"/>
    <w:rsid w:val="00F450BD"/>
    <w:rsid w:val="00F47BBF"/>
    <w:rsid w:val="00F53B46"/>
    <w:rsid w:val="00F53C25"/>
    <w:rsid w:val="00F56B17"/>
    <w:rsid w:val="00F6300F"/>
    <w:rsid w:val="00F64D6E"/>
    <w:rsid w:val="00F755D5"/>
    <w:rsid w:val="00F87CF7"/>
    <w:rsid w:val="00F87E95"/>
    <w:rsid w:val="00F92605"/>
    <w:rsid w:val="00F96C40"/>
    <w:rsid w:val="00FA32B9"/>
    <w:rsid w:val="00FA7C9F"/>
    <w:rsid w:val="00FB21D6"/>
    <w:rsid w:val="00FB23EE"/>
    <w:rsid w:val="00FC1DE0"/>
    <w:rsid w:val="00FC486A"/>
    <w:rsid w:val="00FC7673"/>
    <w:rsid w:val="00FD571B"/>
    <w:rsid w:val="00FE0042"/>
    <w:rsid w:val="00FE00FB"/>
    <w:rsid w:val="00FE054E"/>
    <w:rsid w:val="00FE09A9"/>
    <w:rsid w:val="00FE73C2"/>
    <w:rsid w:val="00FF2499"/>
    <w:rsid w:val="289566A3"/>
    <w:rsid w:val="35305E38"/>
    <w:rsid w:val="3AF960D4"/>
    <w:rsid w:val="65136C97"/>
    <w:rsid w:val="7BF46EB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link w:val="30"/>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qFormat/>
    <w:uiPriority w:val="0"/>
    <w:pPr>
      <w:keepNext/>
      <w:keepLines/>
      <w:spacing w:before="280" w:after="290" w:line="376" w:lineRule="auto"/>
      <w:outlineLvl w:val="3"/>
    </w:pPr>
    <w:rPr>
      <w:rFonts w:ascii="Arial" w:hAnsi="Arial" w:eastAsia="黑体"/>
      <w:b/>
      <w:bCs/>
      <w:sz w:val="28"/>
      <w:szCs w:val="28"/>
    </w:rPr>
  </w:style>
  <w:style w:type="character" w:default="1" w:styleId="26">
    <w:name w:val="Default Paragraph Font"/>
    <w:semiHidden/>
    <w:uiPriority w:val="0"/>
  </w:style>
  <w:style w:type="table" w:default="1" w:styleId="23">
    <w:name w:val="Normal Table"/>
    <w:semiHidden/>
    <w:uiPriority w:val="0"/>
    <w:tblPr>
      <w:tblStyle w:val="23"/>
      <w:tblCellMar>
        <w:top w:w="0" w:type="dxa"/>
        <w:left w:w="108" w:type="dxa"/>
        <w:bottom w:w="0" w:type="dxa"/>
        <w:right w:w="108" w:type="dxa"/>
      </w:tblCellMar>
    </w:tblPr>
  </w:style>
  <w:style w:type="paragraph" w:styleId="6">
    <w:name w:val="caption"/>
    <w:basedOn w:val="1"/>
    <w:next w:val="1"/>
    <w:qFormat/>
    <w:uiPriority w:val="0"/>
    <w:rPr>
      <w:rFonts w:ascii="Arial" w:hAnsi="Arial" w:eastAsia="黑体" w:cs="Arial"/>
      <w:sz w:val="20"/>
      <w:szCs w:val="20"/>
    </w:rPr>
  </w:style>
  <w:style w:type="paragraph" w:styleId="7">
    <w:name w:val="Document Map"/>
    <w:basedOn w:val="1"/>
    <w:semiHidden/>
    <w:uiPriority w:val="0"/>
    <w:pPr>
      <w:shd w:val="clear" w:color="auto" w:fill="000080"/>
    </w:pPr>
  </w:style>
  <w:style w:type="paragraph" w:styleId="8">
    <w:name w:val="annotation text"/>
    <w:basedOn w:val="1"/>
    <w:semiHidden/>
    <w:uiPriority w:val="0"/>
    <w:pPr>
      <w:jc w:val="left"/>
    </w:pPr>
  </w:style>
  <w:style w:type="paragraph" w:styleId="9">
    <w:name w:val="Body Text"/>
    <w:basedOn w:val="1"/>
    <w:uiPriority w:val="0"/>
    <w:pPr>
      <w:autoSpaceDE w:val="0"/>
      <w:autoSpaceDN w:val="0"/>
      <w:adjustRightInd w:val="0"/>
      <w:jc w:val="center"/>
    </w:pPr>
    <w:rPr>
      <w:color w:val="000000"/>
      <w:lang w:val="zh-CN"/>
    </w:rPr>
  </w:style>
  <w:style w:type="paragraph" w:styleId="10">
    <w:name w:val="Body Text Indent"/>
    <w:basedOn w:val="1"/>
    <w:uiPriority w:val="0"/>
    <w:pPr>
      <w:ind w:firstLine="538" w:firstLineChars="192"/>
    </w:pPr>
    <w:rPr>
      <w:sz w:val="28"/>
    </w:rPr>
  </w:style>
  <w:style w:type="paragraph" w:styleId="11">
    <w:name w:val="toc 3"/>
    <w:basedOn w:val="1"/>
    <w:next w:val="1"/>
    <w:uiPriority w:val="39"/>
    <w:pPr>
      <w:tabs>
        <w:tab w:val="left" w:pos="1680"/>
        <w:tab w:val="right" w:leader="dot" w:pos="8494"/>
      </w:tabs>
      <w:ind w:left="540" w:leftChars="257"/>
    </w:pPr>
    <w:rPr>
      <w:rFonts w:ascii="仿宋_GB2312" w:eastAsia="仿宋_GB2312"/>
      <w:sz w:val="24"/>
      <w:lang/>
    </w:rPr>
  </w:style>
  <w:style w:type="paragraph" w:styleId="12">
    <w:name w:val="Body Text Indent 2"/>
    <w:basedOn w:val="1"/>
    <w:uiPriority w:val="0"/>
    <w:pPr>
      <w:ind w:firstLine="630"/>
    </w:pPr>
    <w:rPr>
      <w:sz w:val="32"/>
    </w:rPr>
  </w:style>
  <w:style w:type="paragraph" w:styleId="13">
    <w:name w:val="Balloon Text"/>
    <w:basedOn w:val="1"/>
    <w:semiHidden/>
    <w:uiPriority w:val="0"/>
    <w:rPr>
      <w:sz w:val="18"/>
      <w:szCs w:val="18"/>
    </w:rPr>
  </w:style>
  <w:style w:type="paragraph" w:styleId="14">
    <w:name w:val="footer"/>
    <w:basedOn w:val="1"/>
    <w:uiPriority w:val="0"/>
    <w:pPr>
      <w:tabs>
        <w:tab w:val="center" w:pos="4153"/>
        <w:tab w:val="right" w:pos="8306"/>
      </w:tabs>
      <w:snapToGrid w:val="0"/>
      <w:jc w:val="left"/>
    </w:pPr>
    <w:rPr>
      <w:sz w:val="18"/>
      <w:szCs w:val="18"/>
    </w:rPr>
  </w:style>
  <w:style w:type="paragraph" w:styleId="1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uiPriority w:val="39"/>
    <w:pPr>
      <w:tabs>
        <w:tab w:val="right" w:leader="dot" w:pos="8494"/>
      </w:tabs>
      <w:spacing w:line="360" w:lineRule="auto"/>
      <w:ind w:left="360" w:hanging="360" w:hangingChars="150"/>
    </w:pPr>
    <w:rPr>
      <w:rFonts w:ascii="黑体" w:eastAsia="黑体"/>
      <w:bCs/>
      <w:sz w:val="24"/>
      <w:lang/>
    </w:rPr>
  </w:style>
  <w:style w:type="paragraph" w:styleId="17">
    <w:name w:val="Body Text Indent 3"/>
    <w:basedOn w:val="1"/>
    <w:uiPriority w:val="0"/>
    <w:pPr>
      <w:ind w:firstLine="640"/>
    </w:pPr>
    <w:rPr>
      <w:bCs/>
      <w:sz w:val="32"/>
    </w:rPr>
  </w:style>
  <w:style w:type="paragraph" w:styleId="18">
    <w:name w:val="toc 2"/>
    <w:basedOn w:val="1"/>
    <w:next w:val="1"/>
    <w:uiPriority w:val="39"/>
    <w:pPr>
      <w:tabs>
        <w:tab w:val="left" w:pos="1080"/>
        <w:tab w:val="right" w:leader="dot" w:pos="8494"/>
      </w:tabs>
      <w:ind w:left="1078" w:leftChars="199" w:hanging="660" w:hangingChars="275"/>
    </w:pPr>
    <w:rPr>
      <w:rFonts w:ascii="仿宋_GB2312" w:eastAsia="仿宋_GB2312"/>
      <w:sz w:val="24"/>
      <w:lang/>
    </w:rPr>
  </w:style>
  <w:style w:type="paragraph" w:styleId="19">
    <w:name w:val="Body Text 2"/>
    <w:basedOn w:val="1"/>
    <w:uiPriority w:val="0"/>
    <w:rPr>
      <w:sz w:val="32"/>
    </w:rPr>
  </w:style>
  <w:style w:type="paragraph" w:styleId="20">
    <w:name w:val="Normal (Web)"/>
    <w:basedOn w:val="1"/>
    <w:uiPriority w:val="0"/>
    <w:pPr>
      <w:widowControl/>
      <w:spacing w:before="100" w:beforeAutospacing="1" w:after="100" w:afterAutospacing="1"/>
      <w:jc w:val="left"/>
    </w:pPr>
    <w:rPr>
      <w:rFonts w:ascii="Arial Unicode MS" w:hAnsi="Arial Unicode MS" w:eastAsia="Arial Unicode MS"/>
      <w:color w:val="000000"/>
      <w:kern w:val="0"/>
      <w:sz w:val="24"/>
    </w:rPr>
  </w:style>
  <w:style w:type="paragraph" w:styleId="21">
    <w:name w:val="Title"/>
    <w:basedOn w:val="1"/>
    <w:next w:val="1"/>
    <w:link w:val="32"/>
    <w:qFormat/>
    <w:uiPriority w:val="0"/>
    <w:pPr>
      <w:spacing w:before="240" w:after="60"/>
      <w:jc w:val="center"/>
      <w:outlineLvl w:val="0"/>
    </w:pPr>
    <w:rPr>
      <w:rFonts w:ascii="Cambria" w:hAnsi="Cambria" w:cs="Times New Roman"/>
      <w:b/>
      <w:bCs/>
      <w:sz w:val="32"/>
      <w:szCs w:val="32"/>
    </w:rPr>
  </w:style>
  <w:style w:type="paragraph" w:styleId="22">
    <w:name w:val="annotation subject"/>
    <w:basedOn w:val="8"/>
    <w:next w:val="8"/>
    <w:semiHidden/>
    <w:uiPriority w:val="0"/>
    <w:rPr>
      <w:b/>
      <w:bCs/>
    </w:rPr>
  </w:style>
  <w:style w:type="table" w:styleId="24">
    <w:name w:val="Table Grid"/>
    <w:basedOn w:val="23"/>
    <w:uiPriority w:val="0"/>
    <w:pPr>
      <w:widowControl w:val="0"/>
      <w:jc w:val="both"/>
    </w:pPr>
    <w:tblPr>
      <w:tblStyle w:val="2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5">
    <w:name w:val="Table Professional"/>
    <w:basedOn w:val="23"/>
    <w:uiPriority w:val="0"/>
    <w:pPr>
      <w:widowControl w:val="0"/>
      <w:jc w:val="both"/>
    </w:pPr>
    <w:tblPr>
      <w:tblStyle w:val="23"/>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blStyle w:val="23"/>
      </w:tblPr>
      <w:tcPr>
        <w:tcBorders>
          <w:top w:val="nil"/>
          <w:left w:val="nil"/>
          <w:bottom w:val="nil"/>
          <w:right w:val="nil"/>
          <w:insideH w:val="nil"/>
          <w:insideV w:val="nil"/>
          <w:tl2br w:val="nil"/>
          <w:tr2bl w:val="nil"/>
        </w:tcBorders>
        <w:shd w:val="solid" w:color="000000" w:fill="FFFFFF"/>
      </w:tcPr>
    </w:tblStylePr>
  </w:style>
  <w:style w:type="character" w:styleId="27">
    <w:name w:val="page number"/>
    <w:basedOn w:val="26"/>
    <w:uiPriority w:val="0"/>
  </w:style>
  <w:style w:type="character" w:styleId="28">
    <w:name w:val="Hyperlink"/>
    <w:uiPriority w:val="99"/>
    <w:rPr>
      <w:color w:val="0000FF"/>
      <w:u w:val="single"/>
    </w:rPr>
  </w:style>
  <w:style w:type="character" w:styleId="29">
    <w:name w:val="annotation reference"/>
    <w:semiHidden/>
    <w:uiPriority w:val="0"/>
    <w:rPr>
      <w:sz w:val="21"/>
      <w:szCs w:val="21"/>
    </w:rPr>
  </w:style>
  <w:style w:type="character" w:customStyle="1" w:styleId="30">
    <w:name w:val="标题 1 Char"/>
    <w:link w:val="2"/>
    <w:uiPriority w:val="0"/>
    <w:rPr>
      <w:rFonts w:eastAsia="宋体"/>
      <w:b/>
      <w:bCs/>
      <w:kern w:val="44"/>
      <w:sz w:val="44"/>
      <w:szCs w:val="44"/>
      <w:lang w:val="en-US" w:eastAsia="zh-CN" w:bidi="ar-SA"/>
    </w:rPr>
  </w:style>
  <w:style w:type="character" w:customStyle="1" w:styleId="31">
    <w:name w:val="标题 2 Char"/>
    <w:link w:val="3"/>
    <w:uiPriority w:val="0"/>
    <w:rPr>
      <w:rFonts w:ascii="Arial" w:hAnsi="Arial" w:eastAsia="黑体"/>
      <w:b/>
      <w:bCs/>
      <w:kern w:val="2"/>
      <w:sz w:val="32"/>
      <w:szCs w:val="32"/>
      <w:lang w:val="en-US" w:eastAsia="zh-CN" w:bidi="ar-SA"/>
    </w:rPr>
  </w:style>
  <w:style w:type="character" w:customStyle="1" w:styleId="32">
    <w:name w:val="标题 Char"/>
    <w:basedOn w:val="26"/>
    <w:link w:val="21"/>
    <w:uiPriority w:val="0"/>
    <w:rPr>
      <w:rFonts w:ascii="Cambria" w:hAnsi="Cambria" w:cs="Times New Roman"/>
      <w:b/>
      <w:bCs/>
      <w:kern w:val="2"/>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 China</Company>
  <Pages>21</Pages>
  <Words>1129</Words>
  <Characters>6436</Characters>
  <Lines>53</Lines>
  <Paragraphs>15</Paragraphs>
  <TotalTime>53</TotalTime>
  <ScaleCrop>false</ScaleCrop>
  <LinksUpToDate>false</LinksUpToDate>
  <CharactersWithSpaces>7550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2018-08-08T07:15:00Z</dcterms:created>
  <dc:creator>Zhang Bing</dc:creator>
  <cp:lastModifiedBy>黄凯</cp:lastModifiedBy>
  <cp:lastPrinted>2013-06-07T03:07:00Z</cp:lastPrinted>
  <dcterms:modified xsi:type="dcterms:W3CDTF">2025-09-01T08:25:10Z</dcterms:modified>
  <dc:title>信息产业部公共互联网</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9898D32B1B4C40F8AAEC887D78BACBA7_13</vt:lpwstr>
  </property>
</Properties>
</file>