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4A6E"/>
          <w:sz w:val="68"/>
        </w:rPr>
        <w:t>PULSETWIN</w:t>
      </w:r>
    </w:p>
    <w:p>
      <w:pPr>
        <w:jc w:val="center"/>
      </w:pPr>
      <w:r>
        <w:rPr>
          <w:b/>
          <w:color w:val="007E91"/>
          <w:sz w:val="44"/>
        </w:rPr>
        <w:t>Complete Development Specification</w:t>
      </w:r>
    </w:p>
    <w:p>
      <w:pPr>
        <w:jc w:val="center"/>
      </w:pPr>
      <w:r>
        <w:rPr>
          <w:i/>
        </w:rPr>
        <w:t>AI-assisted education continuity • Interconnected digital twins • Trusted intervention planning</w:t>
      </w:r>
    </w:p>
    <w:p/>
    <w:p>
      <w:pPr>
        <w:jc w:val="center"/>
      </w:pPr>
      <w:r>
        <w:t>Merged product brief, UI specification, architecture, simulation logic, trust model, and delivery plan</w:t>
      </w:r>
    </w:p>
    <w:p/>
    <w:p>
      <w:pPr>
        <w:spacing w:before="700"/>
        <w:jc w:val="center"/>
      </w:pPr>
      <w:r>
        <w:rPr>
          <w:b/>
          <w:color w:val="007E91"/>
          <w:sz w:val="28"/>
        </w:rPr>
        <w:t>Core principle</w:t>
      </w:r>
    </w:p>
    <w:p>
      <w:pPr>
        <w:jc w:val="center"/>
      </w:pPr>
      <w:r>
        <w:t>Prove one complete path first:</w:t>
        <w:br/>
        <w:t>Weather input → Town disruption → Campus disruption → Learning Access Index → Intervention comparison → Cryptographic verification</w:t>
      </w:r>
    </w:p>
    <w:p>
      <w:r>
        <w:br w:type="page"/>
      </w:r>
    </w:p>
    <w:p>
      <w:pPr>
        <w:pStyle w:val="Heading1"/>
      </w:pPr>
      <w:r>
        <w:t>How to use this document</w:t>
      </w:r>
    </w:p>
    <w:p>
      <w:r>
        <w:t>This is the consolidated implementation brief for PulseTwin. It combines the original dashboard requirements with the engineering roadmap in the supplied planning document. Use it as the master prompt for a coding agent or development team.</w:t>
      </w:r>
    </w:p>
    <w:p>
      <w:r>
        <w:t>Implementation rule: build a working vertical slice before expanding every page. The initial application must run with deterministic synthetic data and no API keys. The architecture must allow the browser demo service to be replaced by FastAPI without rewriting the UI.</w:t>
      </w:r>
    </w:p>
    <w:p>
      <w:r>
        <w:t>Truthfulness rule: all sample readings, forecasts, risk scores, costs, emissions, attendance estimates, and simulation outputs must be labelled as illustrative until validated data and calibrated models are connected.</w:t>
      </w:r>
    </w:p>
    <w:p>
      <w:pPr>
        <w:pStyle w:val="Heading1"/>
      </w:pPr>
      <w:r>
        <w:t>1. Product mission</w:t>
      </w:r>
    </w:p>
    <w:p>
      <w:r>
        <w:t>Build PulseTwin, a polished, responsive climate-intelligence and education-continuity platform that helps schools, campuses, and local authorities understand how extreme weather, power failures, and transport disruptions may affect students’ access to safe, timely education.</w:t>
      </w:r>
    </w:p>
    <w:p>
      <w:r>
        <w:t>Problem statement: Extreme weather, power failures, and transport disruptions reduce students’ access to safe, timely education, while town and campus systems operate independently and fail to predict cascading impacts. Unverified sensor data and the lack of safe intervention testing prevent authorities from making trustworthy, cost-effective, and climate-resilient decisions to protect learning days.</w:t>
      </w:r>
    </w:p>
    <w:p>
      <w:r>
        <w:t>PulseTwin links a town digital twin and a campus digital twin, simulates how disruptions propagate, estimates a Learning Access Index (LAI), compares possible interventions, and demonstrates whether incoming sensor events pass cryptographic verification.</w:t>
      </w:r>
    </w:p>
    <w:p>
      <w:pPr>
        <w:pStyle w:val="Heading2"/>
      </w:pPr>
      <w:r>
        <w:t>Product principles</w:t>
      </w:r>
    </w:p>
    <w:p>
      <w:pPr>
        <w:pStyle w:val="ListBullet"/>
      </w:pPr>
      <w:r>
        <w:t>Synthetic-first: the prototype works immediately without paid services, API keys, or physical IoT devices.</w:t>
      </w:r>
    </w:p>
    <w:p>
      <w:pPr>
        <w:pStyle w:val="ListBullet"/>
      </w:pPr>
      <w:r>
        <w:t>Explainable: every score exposes its inputs, assumptions, contributing factors, and limitations.</w:t>
      </w:r>
    </w:p>
    <w:p>
      <w:pPr>
        <w:pStyle w:val="ListBullet"/>
      </w:pPr>
      <w:r>
        <w:t>Connected: town transport/weather conditions affect campus access and classroom functionality.</w:t>
      </w:r>
    </w:p>
    <w:p>
      <w:pPr>
        <w:pStyle w:val="ListBullet"/>
      </w:pPr>
      <w:r>
        <w:t>Action-oriented: compare interventions using the same baseline, not hard-coded rankings.</w:t>
      </w:r>
    </w:p>
    <w:p>
      <w:pPr>
        <w:pStyle w:val="ListBullet"/>
      </w:pPr>
      <w:r>
        <w:t>Trustworthy: invalid or tampered readings must not affect simulation state.</w:t>
      </w:r>
    </w:p>
    <w:p>
      <w:pPr>
        <w:pStyle w:val="ListBullet"/>
      </w:pPr>
      <w:r>
        <w:t>Privacy-aware: use aggregated cohorts, not identifiable student records.</w:t>
      </w:r>
    </w:p>
    <w:p>
      <w:pPr>
        <w:pStyle w:val="ListBullet"/>
      </w:pPr>
      <w:r>
        <w:t>Configurable: additional twins should be registered through configuration rather than duplicated engine code.</w:t>
      </w:r>
    </w:p>
    <w:p>
      <w:pPr>
        <w:pStyle w:val="Heading1"/>
      </w:pPr>
      <w:r>
        <w:t>2. Scope and delivery priorities</w:t>
      </w:r>
    </w:p>
    <w:tbl>
      <w:tblPr>
        <w:tblStyle w:val="TableGrid"/>
        <w:tblW w:type="auto" w:w="0"/>
        <w:tblLook w:firstColumn="1" w:firstRow="1" w:lastColumn="0" w:lastRow="0" w:noHBand="0" w:noVBand="1" w:val="04A0"/>
      </w:tblPr>
      <w:tblGrid>
        <w:gridCol w:w="3312"/>
        <w:gridCol w:w="3312"/>
        <w:gridCol w:w="3312"/>
      </w:tblGrid>
      <w:tr>
        <w:tc>
          <w:tcPr>
            <w:tcW w:type="dxa" w:w="1800"/>
            <w:vAlign w:val="center"/>
            <w:shd w:fill="18365C"/>
          </w:tcPr>
          <w:p>
            <w:pPr>
              <w:spacing w:after="40"/>
            </w:pPr>
            <w:r/>
            <w:r>
              <w:rPr>
                <w:rFonts w:ascii="Aptos" w:hAnsi="Aptos"/>
                <w:b/>
                <w:color w:val="FFFFFF"/>
                <w:sz w:val="18"/>
              </w:rPr>
              <w:t>Priority</w:t>
            </w:r>
          </w:p>
        </w:tc>
        <w:tc>
          <w:tcPr>
            <w:tcW w:type="dxa" w:w="4464"/>
            <w:vAlign w:val="center"/>
            <w:shd w:fill="18365C"/>
          </w:tcPr>
          <w:p>
            <w:pPr>
              <w:spacing w:after="40"/>
            </w:pPr>
            <w:r/>
            <w:r>
              <w:rPr>
                <w:rFonts w:ascii="Aptos" w:hAnsi="Aptos"/>
                <w:b/>
                <w:color w:val="FFFFFF"/>
                <w:sz w:val="18"/>
              </w:rPr>
              <w:t>Scope</w:t>
            </w:r>
          </w:p>
        </w:tc>
        <w:tc>
          <w:tcPr>
            <w:tcW w:type="dxa" w:w="3744"/>
            <w:vAlign w:val="center"/>
            <w:shd w:fill="18365C"/>
          </w:tcPr>
          <w:p>
            <w:pPr>
              <w:spacing w:after="40"/>
            </w:pPr>
            <w:r/>
            <w:r>
              <w:rPr>
                <w:rFonts w:ascii="Aptos" w:hAnsi="Aptos"/>
                <w:b/>
                <w:color w:val="FFFFFF"/>
                <w:sz w:val="18"/>
              </w:rPr>
              <w:t>Acceptance condition</w:t>
            </w:r>
          </w:p>
        </w:tc>
      </w:tr>
      <w:tr>
        <w:tc>
          <w:tcPr>
            <w:tcW w:type="dxa" w:w="1800"/>
            <w:vAlign w:val="center"/>
            <w:shd w:fill="F1F6FA"/>
          </w:tcPr>
          <w:p>
            <w:pPr>
              <w:spacing w:after="40"/>
            </w:pPr>
            <w:r/>
            <w:r>
              <w:rPr>
                <w:rFonts w:ascii="Aptos" w:hAnsi="Aptos"/>
                <w:b w:val="0"/>
                <w:sz w:val="17"/>
              </w:rPr>
              <w:t>P0 — Required MVP</w:t>
            </w:r>
          </w:p>
        </w:tc>
        <w:tc>
          <w:tcPr>
            <w:tcW w:type="dxa" w:w="4464"/>
            <w:vAlign w:val="center"/>
            <w:shd w:fill="F1F6FA"/>
          </w:tcPr>
          <w:p>
            <w:pPr>
              <w:spacing w:after="40"/>
            </w:pPr>
            <w:r/>
            <w:r>
              <w:rPr>
                <w:rFonts w:ascii="Aptos" w:hAnsi="Aptos"/>
                <w:b w:val="0"/>
                <w:sz w:val="17"/>
              </w:rPr>
              <w:t>Responsive dashboard; deterministic demo data; town and campus twins; at least one full cascade; LAI; three re-simulated interventions; signed event verification; tamper demo; audit view; configuration-based extra twin.</w:t>
            </w:r>
          </w:p>
        </w:tc>
        <w:tc>
          <w:tcPr>
            <w:tcW w:type="dxa" w:w="3744"/>
            <w:vAlign w:val="center"/>
            <w:shd w:fill="F1F6FA"/>
          </w:tcPr>
          <w:p>
            <w:pPr>
              <w:spacing w:after="40"/>
            </w:pPr>
            <w:r/>
            <w:r>
              <w:rPr>
                <w:rFonts w:ascii="Aptos" w:hAnsi="Aptos"/>
                <w:b w:val="0"/>
                <w:sz w:val="17"/>
              </w:rPr>
              <w:t>A user can complete the full workflow from the UI without API keys and reproduce the result.</w:t>
            </w:r>
          </w:p>
        </w:tc>
      </w:tr>
      <w:tr>
        <w:tc>
          <w:tcPr>
            <w:tcW w:type="dxa" w:w="1800"/>
            <w:vAlign w:val="center"/>
          </w:tcPr>
          <w:p>
            <w:pPr>
              <w:spacing w:after="40"/>
            </w:pPr>
            <w:r/>
            <w:r>
              <w:rPr>
                <w:rFonts w:ascii="Aptos" w:hAnsi="Aptos"/>
                <w:b w:val="0"/>
                <w:sz w:val="17"/>
              </w:rPr>
              <w:t>P1 — Required dashboard breadth</w:t>
            </w:r>
          </w:p>
        </w:tc>
        <w:tc>
          <w:tcPr>
            <w:tcW w:type="dxa" w:w="4464"/>
            <w:vAlign w:val="center"/>
          </w:tcPr>
          <w:p>
            <w:pPr>
              <w:spacing w:after="40"/>
            </w:pPr>
            <w:r/>
            <w:r>
              <w:rPr>
                <w:rFonts w:ascii="Aptos" w:hAnsi="Aptos"/>
                <w:b w:val="0"/>
                <w:sz w:val="17"/>
              </w:rPr>
              <w:t>Weather, Energy &amp; Sensors, Transport, Attendance, Predictions, Data Sources, Settings; charts; alerts; loading/error/empty states.</w:t>
            </w:r>
          </w:p>
        </w:tc>
        <w:tc>
          <w:tcPr>
            <w:tcW w:type="dxa" w:w="3744"/>
            <w:vAlign w:val="center"/>
          </w:tcPr>
          <w:p>
            <w:pPr>
              <w:spacing w:after="40"/>
            </w:pPr>
            <w:r/>
            <w:r>
              <w:rPr>
                <w:rFonts w:ascii="Aptos" w:hAnsi="Aptos"/>
                <w:b w:val="0"/>
                <w:sz w:val="17"/>
              </w:rPr>
              <w:t>Every navigation item opens a useful working page and controls affect displayed data.</w:t>
            </w:r>
          </w:p>
        </w:tc>
      </w:tr>
      <w:tr>
        <w:tc>
          <w:tcPr>
            <w:tcW w:type="dxa" w:w="1800"/>
            <w:vAlign w:val="center"/>
            <w:shd w:fill="F1F6FA"/>
          </w:tcPr>
          <w:p>
            <w:pPr>
              <w:spacing w:after="40"/>
            </w:pPr>
            <w:r/>
            <w:r>
              <w:rPr>
                <w:rFonts w:ascii="Aptos" w:hAnsi="Aptos"/>
                <w:b w:val="0"/>
                <w:sz w:val="17"/>
              </w:rPr>
              <w:t>P2 — After vertical slice</w:t>
            </w:r>
          </w:p>
        </w:tc>
        <w:tc>
          <w:tcPr>
            <w:tcW w:type="dxa" w:w="4464"/>
            <w:vAlign w:val="center"/>
            <w:shd w:fill="F1F6FA"/>
          </w:tcPr>
          <w:p>
            <w:pPr>
              <w:spacing w:after="40"/>
            </w:pPr>
            <w:r/>
            <w:r>
              <w:rPr>
                <w:rFonts w:ascii="Aptos" w:hAnsi="Aptos"/>
                <w:b w:val="0"/>
                <w:sz w:val="17"/>
              </w:rPr>
              <w:t>FastAPI integration, SQLite persistence, historical comparisons, more scenarios, improved optimization, real-data adapters.</w:t>
            </w:r>
          </w:p>
        </w:tc>
        <w:tc>
          <w:tcPr>
            <w:tcW w:type="dxa" w:w="3744"/>
            <w:vAlign w:val="center"/>
            <w:shd w:fill="F1F6FA"/>
          </w:tcPr>
          <w:p>
            <w:pPr>
              <w:spacing w:after="40"/>
            </w:pPr>
            <w:r/>
            <w:r>
              <w:rPr>
                <w:rFonts w:ascii="Aptos" w:hAnsi="Aptos"/>
                <w:b w:val="0"/>
                <w:sz w:val="17"/>
              </w:rPr>
              <w:t>Frontend uses typed service contracts and degrades gracefully if backend is offline.</w:t>
            </w:r>
          </w:p>
        </w:tc>
      </w:tr>
      <w:tr>
        <w:tc>
          <w:tcPr>
            <w:tcW w:type="dxa" w:w="1800"/>
            <w:vAlign w:val="center"/>
          </w:tcPr>
          <w:p>
            <w:pPr>
              <w:spacing w:after="40"/>
            </w:pPr>
            <w:r/>
            <w:r>
              <w:rPr>
                <w:rFonts w:ascii="Aptos" w:hAnsi="Aptos"/>
                <w:b w:val="0"/>
                <w:sz w:val="17"/>
              </w:rPr>
              <w:t>P3 — Future production</w:t>
            </w:r>
          </w:p>
        </w:tc>
        <w:tc>
          <w:tcPr>
            <w:tcW w:type="dxa" w:w="4464"/>
            <w:vAlign w:val="center"/>
          </w:tcPr>
          <w:p>
            <w:pPr>
              <w:spacing w:after="40"/>
            </w:pPr>
            <w:r/>
            <w:r>
              <w:rPr>
                <w:rFonts w:ascii="Aptos" w:hAnsi="Aptos"/>
                <w:b w:val="0"/>
                <w:sz w:val="17"/>
              </w:rPr>
              <w:t>Calibrated ML, real IoT integration, identity and access management, device key lifecycle, live maps and external feeds.</w:t>
            </w:r>
          </w:p>
        </w:tc>
        <w:tc>
          <w:tcPr>
            <w:tcW w:type="dxa" w:w="3744"/>
            <w:vAlign w:val="center"/>
          </w:tcPr>
          <w:p>
            <w:pPr>
              <w:spacing w:after="40"/>
            </w:pPr>
            <w:r/>
            <w:r>
              <w:rPr>
                <w:rFonts w:ascii="Aptos" w:hAnsi="Aptos"/>
                <w:b w:val="0"/>
                <w:sz w:val="17"/>
              </w:rPr>
              <w:t>Only enabled after security, data governance, validation, and operational requirements are met.</w:t>
            </w:r>
          </w:p>
        </w:tc>
      </w:tr>
    </w:tbl>
    <w:p/>
    <w:p>
      <w:pPr>
        <w:pStyle w:val="Heading1"/>
      </w:pPr>
      <w:r>
        <w:t>3. Technology stack and architecture</w:t>
      </w:r>
    </w:p>
    <w:tbl>
      <w:tblPr>
        <w:tblStyle w:val="TableGrid"/>
        <w:tblW w:type="auto" w:w="0"/>
        <w:tblLook w:firstColumn="1" w:firstRow="1" w:lastColumn="0" w:lastRow="0" w:noHBand="0" w:noVBand="1" w:val="04A0"/>
      </w:tblPr>
      <w:tblGrid>
        <w:gridCol w:w="3312"/>
        <w:gridCol w:w="3312"/>
        <w:gridCol w:w="3312"/>
      </w:tblGrid>
      <w:tr>
        <w:tc>
          <w:tcPr>
            <w:tcW w:type="dxa" w:w="1728"/>
            <w:vAlign w:val="center"/>
            <w:shd w:fill="18365C"/>
          </w:tcPr>
          <w:p>
            <w:pPr>
              <w:spacing w:after="40"/>
            </w:pPr>
            <w:r/>
            <w:r>
              <w:rPr>
                <w:rFonts w:ascii="Aptos" w:hAnsi="Aptos"/>
                <w:b/>
                <w:color w:val="FFFFFF"/>
                <w:sz w:val="18"/>
              </w:rPr>
              <w:t>Layer</w:t>
            </w:r>
          </w:p>
        </w:tc>
        <w:tc>
          <w:tcPr>
            <w:tcW w:type="dxa" w:w="2880"/>
            <w:vAlign w:val="center"/>
            <w:shd w:fill="18365C"/>
          </w:tcPr>
          <w:p>
            <w:pPr>
              <w:spacing w:after="40"/>
            </w:pPr>
            <w:r/>
            <w:r>
              <w:rPr>
                <w:rFonts w:ascii="Aptos" w:hAnsi="Aptos"/>
                <w:b/>
                <w:color w:val="FFFFFF"/>
                <w:sz w:val="18"/>
              </w:rPr>
              <w:t>Technology</w:t>
            </w:r>
          </w:p>
        </w:tc>
        <w:tc>
          <w:tcPr>
            <w:tcW w:type="dxa" w:w="5328"/>
            <w:vAlign w:val="center"/>
            <w:shd w:fill="18365C"/>
          </w:tcPr>
          <w:p>
            <w:pPr>
              <w:spacing w:after="40"/>
            </w:pPr>
            <w:r/>
            <w:r>
              <w:rPr>
                <w:rFonts w:ascii="Aptos" w:hAnsi="Aptos"/>
                <w:b/>
                <w:color w:val="FFFFFF"/>
                <w:sz w:val="18"/>
              </w:rPr>
              <w:t>Responsibility</w:t>
            </w:r>
          </w:p>
        </w:tc>
      </w:tr>
      <w:tr>
        <w:tc>
          <w:tcPr>
            <w:tcW w:type="dxa" w:w="1728"/>
            <w:vAlign w:val="center"/>
            <w:shd w:fill="F1F6FA"/>
          </w:tcPr>
          <w:p>
            <w:pPr>
              <w:spacing w:after="40"/>
            </w:pPr>
            <w:r/>
            <w:r>
              <w:rPr>
                <w:rFonts w:ascii="Aptos" w:hAnsi="Aptos"/>
                <w:b w:val="0"/>
                <w:sz w:val="17"/>
              </w:rPr>
              <w:t>Frontend</w:t>
            </w:r>
          </w:p>
        </w:tc>
        <w:tc>
          <w:tcPr>
            <w:tcW w:type="dxa" w:w="2880"/>
            <w:vAlign w:val="center"/>
            <w:shd w:fill="F1F6FA"/>
          </w:tcPr>
          <w:p>
            <w:pPr>
              <w:spacing w:after="40"/>
            </w:pPr>
            <w:r/>
            <w:r>
              <w:rPr>
                <w:rFonts w:ascii="Aptos" w:hAnsi="Aptos"/>
                <w:b w:val="0"/>
                <w:sz w:val="17"/>
              </w:rPr>
              <w:t>React + TypeScript + Vite</w:t>
            </w:r>
          </w:p>
        </w:tc>
        <w:tc>
          <w:tcPr>
            <w:tcW w:type="dxa" w:w="5328"/>
            <w:vAlign w:val="center"/>
            <w:shd w:fill="F1F6FA"/>
          </w:tcPr>
          <w:p>
            <w:pPr>
              <w:spacing w:after="40"/>
            </w:pPr>
            <w:r/>
            <w:r>
              <w:rPr>
                <w:rFonts w:ascii="Aptos" w:hAnsi="Aptos"/>
                <w:b w:val="0"/>
                <w:sz w:val="17"/>
              </w:rPr>
              <w:t>Responsive application, navigation, forms, state, accessibility.</w:t>
            </w:r>
          </w:p>
        </w:tc>
      </w:tr>
      <w:tr>
        <w:tc>
          <w:tcPr>
            <w:tcW w:type="dxa" w:w="1728"/>
            <w:vAlign w:val="center"/>
          </w:tcPr>
          <w:p>
            <w:pPr>
              <w:spacing w:after="40"/>
            </w:pPr>
            <w:r/>
            <w:r>
              <w:rPr>
                <w:rFonts w:ascii="Aptos" w:hAnsi="Aptos"/>
                <w:b w:val="0"/>
                <w:sz w:val="17"/>
              </w:rPr>
              <w:t>Styling</w:t>
            </w:r>
          </w:p>
        </w:tc>
        <w:tc>
          <w:tcPr>
            <w:tcW w:type="dxa" w:w="2880"/>
            <w:vAlign w:val="center"/>
          </w:tcPr>
          <w:p>
            <w:pPr>
              <w:spacing w:after="40"/>
            </w:pPr>
            <w:r/>
            <w:r>
              <w:rPr>
                <w:rFonts w:ascii="Aptos" w:hAnsi="Aptos"/>
                <w:b w:val="0"/>
                <w:sz w:val="17"/>
              </w:rPr>
              <w:t>Tailwind CSS</w:t>
            </w:r>
          </w:p>
        </w:tc>
        <w:tc>
          <w:tcPr>
            <w:tcW w:type="dxa" w:w="5328"/>
            <w:vAlign w:val="center"/>
          </w:tcPr>
          <w:p>
            <w:pPr>
              <w:spacing w:after="40"/>
            </w:pPr>
            <w:r/>
            <w:r>
              <w:rPr>
                <w:rFonts w:ascii="Aptos" w:hAnsi="Aptos"/>
                <w:b w:val="0"/>
                <w:sz w:val="17"/>
              </w:rPr>
              <w:t>Design tokens, responsive layout, glass-inspired cards, focus and hover states.</w:t>
            </w:r>
          </w:p>
        </w:tc>
      </w:tr>
      <w:tr>
        <w:tc>
          <w:tcPr>
            <w:tcW w:type="dxa" w:w="1728"/>
            <w:vAlign w:val="center"/>
            <w:shd w:fill="F1F6FA"/>
          </w:tcPr>
          <w:p>
            <w:pPr>
              <w:spacing w:after="40"/>
            </w:pPr>
            <w:r/>
            <w:r>
              <w:rPr>
                <w:rFonts w:ascii="Aptos" w:hAnsi="Aptos"/>
                <w:b w:val="0"/>
                <w:sz w:val="17"/>
              </w:rPr>
              <w:t>Charts</w:t>
            </w:r>
          </w:p>
        </w:tc>
        <w:tc>
          <w:tcPr>
            <w:tcW w:type="dxa" w:w="2880"/>
            <w:vAlign w:val="center"/>
            <w:shd w:fill="F1F6FA"/>
          </w:tcPr>
          <w:p>
            <w:pPr>
              <w:spacing w:after="40"/>
            </w:pPr>
            <w:r/>
            <w:r>
              <w:rPr>
                <w:rFonts w:ascii="Aptos" w:hAnsi="Aptos"/>
                <w:b w:val="0"/>
                <w:sz w:val="17"/>
              </w:rPr>
              <w:t>Recharts</w:t>
            </w:r>
          </w:p>
        </w:tc>
        <w:tc>
          <w:tcPr>
            <w:tcW w:type="dxa" w:w="5328"/>
            <w:vAlign w:val="center"/>
            <w:shd w:fill="F1F6FA"/>
          </w:tcPr>
          <w:p>
            <w:pPr>
              <w:spacing w:after="40"/>
            </w:pPr>
            <w:r/>
            <w:r>
              <w:rPr>
                <w:rFonts w:ascii="Aptos" w:hAnsi="Aptos"/>
                <w:b w:val="0"/>
                <w:sz w:val="17"/>
              </w:rPr>
              <w:t>Interactive line, area, bar, and comparison charts.</w:t>
            </w:r>
          </w:p>
        </w:tc>
      </w:tr>
      <w:tr>
        <w:tc>
          <w:tcPr>
            <w:tcW w:type="dxa" w:w="1728"/>
            <w:vAlign w:val="center"/>
          </w:tcPr>
          <w:p>
            <w:pPr>
              <w:spacing w:after="40"/>
            </w:pPr>
            <w:r/>
            <w:r>
              <w:rPr>
                <w:rFonts w:ascii="Aptos" w:hAnsi="Aptos"/>
                <w:b w:val="0"/>
                <w:sz w:val="17"/>
              </w:rPr>
              <w:t>Icons</w:t>
            </w:r>
          </w:p>
        </w:tc>
        <w:tc>
          <w:tcPr>
            <w:tcW w:type="dxa" w:w="2880"/>
            <w:vAlign w:val="center"/>
          </w:tcPr>
          <w:p>
            <w:pPr>
              <w:spacing w:after="40"/>
            </w:pPr>
            <w:r/>
            <w:r>
              <w:rPr>
                <w:rFonts w:ascii="Aptos" w:hAnsi="Aptos"/>
                <w:b w:val="0"/>
                <w:sz w:val="17"/>
              </w:rPr>
              <w:t>Lucide React</w:t>
            </w:r>
          </w:p>
        </w:tc>
        <w:tc>
          <w:tcPr>
            <w:tcW w:type="dxa" w:w="5328"/>
            <w:vAlign w:val="center"/>
          </w:tcPr>
          <w:p>
            <w:pPr>
              <w:spacing w:after="40"/>
            </w:pPr>
            <w:r/>
            <w:r>
              <w:rPr>
                <w:rFonts w:ascii="Aptos" w:hAnsi="Aptos"/>
                <w:b w:val="0"/>
                <w:sz w:val="17"/>
              </w:rPr>
              <w:t>Consistent navigation and metric icons.</w:t>
            </w:r>
          </w:p>
        </w:tc>
      </w:tr>
      <w:tr>
        <w:tc>
          <w:tcPr>
            <w:tcW w:type="dxa" w:w="1728"/>
            <w:vAlign w:val="center"/>
            <w:shd w:fill="F1F6FA"/>
          </w:tcPr>
          <w:p>
            <w:pPr>
              <w:spacing w:after="40"/>
            </w:pPr>
            <w:r/>
            <w:r>
              <w:rPr>
                <w:rFonts w:ascii="Aptos" w:hAnsi="Aptos"/>
                <w:b w:val="0"/>
                <w:sz w:val="17"/>
              </w:rPr>
              <w:t>Demo service</w:t>
            </w:r>
          </w:p>
        </w:tc>
        <w:tc>
          <w:tcPr>
            <w:tcW w:type="dxa" w:w="2880"/>
            <w:vAlign w:val="center"/>
            <w:shd w:fill="F1F6FA"/>
          </w:tcPr>
          <w:p>
            <w:pPr>
              <w:spacing w:after="40"/>
            </w:pPr>
            <w:r/>
            <w:r>
              <w:rPr>
                <w:rFonts w:ascii="Aptos" w:hAnsi="Aptos"/>
                <w:b w:val="0"/>
                <w:sz w:val="17"/>
              </w:rPr>
              <w:t>TypeScript modules</w:t>
            </w:r>
          </w:p>
        </w:tc>
        <w:tc>
          <w:tcPr>
            <w:tcW w:type="dxa" w:w="5328"/>
            <w:vAlign w:val="center"/>
            <w:shd w:fill="F1F6FA"/>
          </w:tcPr>
          <w:p>
            <w:pPr>
              <w:spacing w:after="40"/>
            </w:pPr>
            <w:r/>
            <w:r>
              <w:rPr>
                <w:rFonts w:ascii="Aptos" w:hAnsi="Aptos"/>
                <w:b w:val="0"/>
                <w:sz w:val="17"/>
              </w:rPr>
              <w:t>Deterministic synthetic data, transparent prediction and simulation fallback.</w:t>
            </w:r>
          </w:p>
        </w:tc>
      </w:tr>
      <w:tr>
        <w:tc>
          <w:tcPr>
            <w:tcW w:type="dxa" w:w="1728"/>
            <w:vAlign w:val="center"/>
          </w:tcPr>
          <w:p>
            <w:pPr>
              <w:spacing w:after="40"/>
            </w:pPr>
            <w:r/>
            <w:r>
              <w:rPr>
                <w:rFonts w:ascii="Aptos" w:hAnsi="Aptos"/>
                <w:b w:val="0"/>
                <w:sz w:val="17"/>
              </w:rPr>
              <w:t>Backend</w:t>
            </w:r>
          </w:p>
        </w:tc>
        <w:tc>
          <w:tcPr>
            <w:tcW w:type="dxa" w:w="2880"/>
            <w:vAlign w:val="center"/>
          </w:tcPr>
          <w:p>
            <w:pPr>
              <w:spacing w:after="40"/>
            </w:pPr>
            <w:r/>
            <w:r>
              <w:rPr>
                <w:rFonts w:ascii="Aptos" w:hAnsi="Aptos"/>
                <w:b w:val="0"/>
                <w:sz w:val="17"/>
              </w:rPr>
              <w:t>Python + FastAPI</w:t>
            </w:r>
          </w:p>
        </w:tc>
        <w:tc>
          <w:tcPr>
            <w:tcW w:type="dxa" w:w="5328"/>
            <w:vAlign w:val="center"/>
          </w:tcPr>
          <w:p>
            <w:pPr>
              <w:spacing w:after="40"/>
            </w:pPr>
            <w:r/>
            <w:r>
              <w:rPr>
                <w:rFonts w:ascii="Aptos" w:hAnsi="Aptos"/>
                <w:b w:val="0"/>
                <w:sz w:val="17"/>
              </w:rPr>
              <w:t>Simulation engine, LAI, optimizer, event verification, API contracts.</w:t>
            </w:r>
          </w:p>
        </w:tc>
      </w:tr>
      <w:tr>
        <w:tc>
          <w:tcPr>
            <w:tcW w:type="dxa" w:w="1728"/>
            <w:vAlign w:val="center"/>
            <w:shd w:fill="F1F6FA"/>
          </w:tcPr>
          <w:p>
            <w:pPr>
              <w:spacing w:after="40"/>
            </w:pPr>
            <w:r/>
            <w:r>
              <w:rPr>
                <w:rFonts w:ascii="Aptos" w:hAnsi="Aptos"/>
                <w:b w:val="0"/>
                <w:sz w:val="17"/>
              </w:rPr>
              <w:t>Persistence</w:t>
            </w:r>
          </w:p>
        </w:tc>
        <w:tc>
          <w:tcPr>
            <w:tcW w:type="dxa" w:w="2880"/>
            <w:vAlign w:val="center"/>
            <w:shd w:fill="F1F6FA"/>
          </w:tcPr>
          <w:p>
            <w:pPr>
              <w:spacing w:after="40"/>
            </w:pPr>
            <w:r/>
            <w:r>
              <w:rPr>
                <w:rFonts w:ascii="Aptos" w:hAnsi="Aptos"/>
                <w:b w:val="0"/>
                <w:sz w:val="17"/>
              </w:rPr>
              <w:t>SQLite initially</w:t>
            </w:r>
          </w:p>
        </w:tc>
        <w:tc>
          <w:tcPr>
            <w:tcW w:type="dxa" w:w="5328"/>
            <w:vAlign w:val="center"/>
            <w:shd w:fill="F1F6FA"/>
          </w:tcPr>
          <w:p>
            <w:pPr>
              <w:spacing w:after="40"/>
            </w:pPr>
            <w:r/>
            <w:r>
              <w:rPr>
                <w:rFonts w:ascii="Aptos" w:hAnsi="Aptos"/>
                <w:b w:val="0"/>
                <w:sz w:val="17"/>
              </w:rPr>
              <w:t>Scenario runs, configurations, events, and audit records.</w:t>
            </w:r>
          </w:p>
        </w:tc>
      </w:tr>
      <w:tr>
        <w:tc>
          <w:tcPr>
            <w:tcW w:type="dxa" w:w="1728"/>
            <w:vAlign w:val="center"/>
          </w:tcPr>
          <w:p>
            <w:pPr>
              <w:spacing w:after="40"/>
            </w:pPr>
            <w:r/>
            <w:r>
              <w:rPr>
                <w:rFonts w:ascii="Aptos" w:hAnsi="Aptos"/>
                <w:b w:val="0"/>
                <w:sz w:val="17"/>
              </w:rPr>
              <w:t>Cryptography</w:t>
            </w:r>
          </w:p>
        </w:tc>
        <w:tc>
          <w:tcPr>
            <w:tcW w:type="dxa" w:w="2880"/>
            <w:vAlign w:val="center"/>
          </w:tcPr>
          <w:p>
            <w:pPr>
              <w:spacing w:after="40"/>
            </w:pPr>
            <w:r/>
            <w:r>
              <w:rPr>
                <w:rFonts w:ascii="Aptos" w:hAnsi="Aptos"/>
                <w:b w:val="0"/>
                <w:sz w:val="17"/>
              </w:rPr>
              <w:t>Ed25519 + SHA-256</w:t>
            </w:r>
          </w:p>
        </w:tc>
        <w:tc>
          <w:tcPr>
            <w:tcW w:type="dxa" w:w="5328"/>
            <w:vAlign w:val="center"/>
          </w:tcPr>
          <w:p>
            <w:pPr>
              <w:spacing w:after="40"/>
            </w:pPr>
            <w:r/>
            <w:r>
              <w:rPr>
                <w:rFonts w:ascii="Aptos" w:hAnsi="Aptos"/>
                <w:b w:val="0"/>
                <w:sz w:val="17"/>
              </w:rPr>
              <w:t>Event signatures and tamper-evident audit-chain links.</w:t>
            </w:r>
          </w:p>
        </w:tc>
      </w:tr>
      <w:tr>
        <w:tc>
          <w:tcPr>
            <w:tcW w:type="dxa" w:w="1728"/>
            <w:vAlign w:val="center"/>
            <w:shd w:fill="F1F6FA"/>
          </w:tcPr>
          <w:p>
            <w:pPr>
              <w:spacing w:after="40"/>
            </w:pPr>
            <w:r/>
            <w:r>
              <w:rPr>
                <w:rFonts w:ascii="Aptos" w:hAnsi="Aptos"/>
                <w:b w:val="0"/>
                <w:sz w:val="17"/>
              </w:rPr>
              <w:t>Configuration</w:t>
            </w:r>
          </w:p>
        </w:tc>
        <w:tc>
          <w:tcPr>
            <w:tcW w:type="dxa" w:w="2880"/>
            <w:vAlign w:val="center"/>
            <w:shd w:fill="F1F6FA"/>
          </w:tcPr>
          <w:p>
            <w:pPr>
              <w:spacing w:after="40"/>
            </w:pPr>
            <w:r/>
            <w:r>
              <w:rPr>
                <w:rFonts w:ascii="Aptos" w:hAnsi="Aptos"/>
                <w:b w:val="0"/>
                <w:sz w:val="17"/>
              </w:rPr>
              <w:t>JSON + environment variables</w:t>
            </w:r>
          </w:p>
        </w:tc>
        <w:tc>
          <w:tcPr>
            <w:tcW w:type="dxa" w:w="5328"/>
            <w:vAlign w:val="center"/>
            <w:shd w:fill="F1F6FA"/>
          </w:tcPr>
          <w:p>
            <w:pPr>
              <w:spacing w:after="40"/>
            </w:pPr>
            <w:r/>
            <w:r>
              <w:rPr>
                <w:rFonts w:ascii="Aptos" w:hAnsi="Aptos"/>
                <w:b w:val="0"/>
                <w:sz w:val="17"/>
              </w:rPr>
              <w:t>Twin/scenario definitions and configurable API base URL.</w:t>
            </w:r>
          </w:p>
        </w:tc>
      </w:tr>
    </w:tbl>
    <w:p/>
    <w:p>
      <w:r>
        <w:t>Architecture decision: keep UI presentation in React, with domain logic isolated in service modules. The initial demo adapter must implement the same interfaces as the future API adapter. Avoid embedding scoring and simulation logic directly inside React components.</w:t>
      </w:r>
    </w:p>
    <w:p>
      <w:pPr>
        <w:pStyle w:val="Heading2"/>
      </w:pPr>
      <w:r>
        <w:t>Environment variables</w:t>
      </w:r>
    </w:p>
    <w:p>
      <w:pPr>
        <w:spacing w:before="60" w:after="140"/>
        <w:ind w:left="288"/>
        <w:shd w:fill="F1F4F8"/>
      </w:pPr>
      <w:r>
        <w:rPr>
          <w:rFonts w:ascii="Consolas" w:hAnsi="Consolas"/>
          <w:color w:val="283746"/>
          <w:sz w:val="17"/>
        </w:rPr>
        <w:t>VITE_API_BASE_URL=http://localhost:8000</w:t>
        <w:br/>
        <w:t>VITE_DEMO_MODE=true</w:t>
      </w:r>
    </w:p>
    <w:p>
      <w:r>
        <w:t>Do not commit secrets. The demo must not require an API key. If the backend is unavailable, show a clear Demo Mode / Backend Offline state and continue using synthetic data where appropriate.</w:t>
      </w:r>
    </w:p>
    <w:p>
      <w:pPr>
        <w:pStyle w:val="Heading1"/>
      </w:pPr>
      <w:r>
        <w:t>4. Visual design and interaction</w:t>
      </w:r>
    </w:p>
    <w:p>
      <w:pPr>
        <w:pStyle w:val="ListBullet"/>
      </w:pPr>
      <w:r>
        <w:t>Premium enterprise analytics interface with white/light-grey surfaces, blue, cyan, violet, teal, and restrained coral accents.</w:t>
      </w:r>
    </w:p>
    <w:p>
      <w:pPr>
        <w:pStyle w:val="ListBullet"/>
      </w:pPr>
      <w:r>
        <w:t>Use subtle transparency, shadows, fine borders, rounded cards, and restrained motion; prioritize legibility over decoration.</w:t>
      </w:r>
    </w:p>
    <w:p>
      <w:pPr>
        <w:pStyle w:val="ListBullet"/>
      </w:pPr>
      <w:r>
        <w:t>Use clear typographic hierarchy, generous spacing, consistent chart legends, units, timestamps, and accessible contrast.</w:t>
      </w:r>
    </w:p>
    <w:p>
      <w:pPr>
        <w:pStyle w:val="ListBullet"/>
      </w:pPr>
      <w:r>
        <w:t>Desktop: collapsible sidebar and top header. Mobile: drawer or compact navigation with keyboard-accessible controls.</w:t>
      </w:r>
    </w:p>
    <w:p>
      <w:pPr>
        <w:pStyle w:val="ListBullet"/>
      </w:pPr>
      <w:r>
        <w:t>Provide visible keyboard focus, semantic labels, form validation messages, and non-color-only status indicators.</w:t>
      </w:r>
    </w:p>
    <w:p>
      <w:pPr>
        <w:pStyle w:val="ListBullet"/>
      </w:pPr>
      <w:r>
        <w:t>Every icon button must have an accessible name; tooltips must not contain the only explanation of a critical metric.</w:t>
      </w:r>
    </w:p>
    <w:p>
      <w:pPr>
        <w:pStyle w:val="ListBullet"/>
      </w:pPr>
      <w:r>
        <w:t>Use a map library only if it is already available and does not add unnecessary setup; otherwise use a clearly labelled illustrative regional schematic, not a fake live map.</w:t>
      </w:r>
    </w:p>
    <w:p>
      <w:pPr>
        <w:pStyle w:val="ListBullet"/>
      </w:pPr>
      <w:r>
        <w:t>All sample content must visibly say Demo, Simulated, or Illustrative. Never imply synthetic weather is an official warning.</w:t>
      </w:r>
    </w:p>
    <w:p>
      <w:pPr>
        <w:pStyle w:val="Heading1"/>
      </w:pPr>
      <w:r>
        <w:t>5. Application navigation and pages</w:t>
      </w:r>
    </w:p>
    <w:tbl>
      <w:tblPr>
        <w:tblStyle w:val="TableGrid"/>
        <w:tblW w:type="auto" w:w="0"/>
        <w:tblLook w:firstColumn="1" w:firstRow="1" w:lastColumn="0" w:lastRow="0" w:noHBand="0" w:noVBand="1" w:val="04A0"/>
      </w:tblPr>
      <w:tblGrid>
        <w:gridCol w:w="4968"/>
        <w:gridCol w:w="4968"/>
      </w:tblGrid>
      <w:tr>
        <w:tc>
          <w:tcPr>
            <w:tcW w:type="dxa" w:w="2376"/>
            <w:vAlign w:val="center"/>
            <w:shd w:fill="18365C"/>
          </w:tcPr>
          <w:p>
            <w:pPr>
              <w:spacing w:after="40"/>
            </w:pPr>
            <w:r/>
            <w:r>
              <w:rPr>
                <w:rFonts w:ascii="Aptos" w:hAnsi="Aptos"/>
                <w:b/>
                <w:color w:val="FFFFFF"/>
                <w:sz w:val="18"/>
              </w:rPr>
              <w:t>Navigation</w:t>
            </w:r>
          </w:p>
        </w:tc>
        <w:tc>
          <w:tcPr>
            <w:tcW w:type="dxa" w:w="7560"/>
            <w:vAlign w:val="center"/>
            <w:shd w:fill="18365C"/>
          </w:tcPr>
          <w:p>
            <w:pPr>
              <w:spacing w:after="40"/>
            </w:pPr>
            <w:r/>
            <w:r>
              <w:rPr>
                <w:rFonts w:ascii="Aptos" w:hAnsi="Aptos"/>
                <w:b/>
                <w:color w:val="FFFFFF"/>
                <w:sz w:val="18"/>
              </w:rPr>
              <w:t>Purpose and required functionality</w:t>
            </w:r>
          </w:p>
        </w:tc>
      </w:tr>
      <w:tr>
        <w:tc>
          <w:tcPr>
            <w:tcW w:type="dxa" w:w="2376"/>
            <w:vAlign w:val="center"/>
            <w:shd w:fill="F1F6FA"/>
          </w:tcPr>
          <w:p>
            <w:pPr>
              <w:spacing w:after="40"/>
            </w:pPr>
            <w:r/>
            <w:r>
              <w:rPr>
                <w:rFonts w:ascii="Aptos" w:hAnsi="Aptos"/>
                <w:b w:val="0"/>
                <w:sz w:val="17"/>
              </w:rPr>
              <w:t>Overview</w:t>
            </w:r>
          </w:p>
        </w:tc>
        <w:tc>
          <w:tcPr>
            <w:tcW w:type="dxa" w:w="7560"/>
            <w:vAlign w:val="center"/>
            <w:shd w:fill="F1F6FA"/>
          </w:tcPr>
          <w:p>
            <w:pPr>
              <w:spacing w:after="40"/>
            </w:pPr>
            <w:r/>
            <w:r>
              <w:rPr>
                <w:rFonts w:ascii="Aptos" w:hAnsi="Aptos"/>
                <w:b w:val="0"/>
                <w:sz w:val="17"/>
              </w:rPr>
              <w:t>LAI, education continuity index, risk, weather, campus power, twin status, sensor integrity, recent alerts, cascade summary, compact prediction, and recent scenario runs.</w:t>
            </w:r>
          </w:p>
        </w:tc>
      </w:tr>
      <w:tr>
        <w:tc>
          <w:tcPr>
            <w:tcW w:type="dxa" w:w="2376"/>
            <w:vAlign w:val="center"/>
          </w:tcPr>
          <w:p>
            <w:pPr>
              <w:spacing w:after="40"/>
            </w:pPr>
            <w:r/>
            <w:r>
              <w:rPr>
                <w:rFonts w:ascii="Aptos" w:hAnsi="Aptos"/>
                <w:b w:val="0"/>
                <w:sz w:val="17"/>
              </w:rPr>
              <w:t>AI Predictions</w:t>
            </w:r>
          </w:p>
        </w:tc>
        <w:tc>
          <w:tcPr>
            <w:tcW w:type="dxa" w:w="7560"/>
            <w:vAlign w:val="center"/>
          </w:tcPr>
          <w:p>
            <w:pPr>
              <w:spacing w:after="40"/>
            </w:pPr>
            <w:r/>
            <w:r>
              <w:rPr>
                <w:rFonts w:ascii="Aptos" w:hAnsi="Aptos"/>
                <w:b w:val="0"/>
                <w:sz w:val="17"/>
              </w:rPr>
              <w:t>Validated input form; deterministic risk score 0–100; Low/Medium/High category; factor contributions; explanation; suggested cautious action; timestamp and exact input snapshot.</w:t>
            </w:r>
          </w:p>
        </w:tc>
      </w:tr>
      <w:tr>
        <w:tc>
          <w:tcPr>
            <w:tcW w:type="dxa" w:w="2376"/>
            <w:vAlign w:val="center"/>
            <w:shd w:fill="F1F6FA"/>
          </w:tcPr>
          <w:p>
            <w:pPr>
              <w:spacing w:after="40"/>
            </w:pPr>
            <w:r/>
            <w:r>
              <w:rPr>
                <w:rFonts w:ascii="Aptos" w:hAnsi="Aptos"/>
                <w:b w:val="0"/>
                <w:sz w:val="17"/>
              </w:rPr>
              <w:t>Weather Intelligence</w:t>
            </w:r>
          </w:p>
        </w:tc>
        <w:tc>
          <w:tcPr>
            <w:tcW w:type="dxa" w:w="7560"/>
            <w:vAlign w:val="center"/>
            <w:shd w:fill="F1F6FA"/>
          </w:tcPr>
          <w:p>
            <w:pPr>
              <w:spacing w:after="40"/>
            </w:pPr>
            <w:r/>
            <w:r>
              <w:rPr>
                <w:rFonts w:ascii="Aptos" w:hAnsi="Aptos"/>
                <w:b w:val="0"/>
                <w:sz w:val="17"/>
              </w:rPr>
              <w:t>Rainfall and temperature history, humidity, optional wind, daily/weekly demo forecast charts, configurable thresholds, alert history, source label, and forecast limitations.</w:t>
            </w:r>
          </w:p>
        </w:tc>
      </w:tr>
      <w:tr>
        <w:tc>
          <w:tcPr>
            <w:tcW w:type="dxa" w:w="2376"/>
            <w:vAlign w:val="center"/>
          </w:tcPr>
          <w:p>
            <w:pPr>
              <w:spacing w:after="40"/>
            </w:pPr>
            <w:r/>
            <w:r>
              <w:rPr>
                <w:rFonts w:ascii="Aptos" w:hAnsi="Aptos"/>
                <w:b w:val="0"/>
                <w:sz w:val="17"/>
              </w:rPr>
              <w:t>Energy &amp; Sensors</w:t>
            </w:r>
          </w:p>
        </w:tc>
        <w:tc>
          <w:tcPr>
            <w:tcW w:type="dxa" w:w="7560"/>
            <w:vAlign w:val="center"/>
          </w:tcPr>
          <w:p>
            <w:pPr>
              <w:spacing w:after="40"/>
            </w:pPr>
            <w:r/>
            <w:r>
              <w:rPr>
                <w:rFonts w:ascii="Aptos" w:hAnsi="Aptos"/>
                <w:b w:val="0"/>
                <w:sz w:val="17"/>
              </w:rPr>
              <w:t>Power availability, load in kW, outage duration, cooling status, sensor inventory, freshness, health, anomalies, and verification status.</w:t>
            </w:r>
          </w:p>
        </w:tc>
      </w:tr>
      <w:tr>
        <w:tc>
          <w:tcPr>
            <w:tcW w:type="dxa" w:w="2376"/>
            <w:vAlign w:val="center"/>
            <w:shd w:fill="F1F6FA"/>
          </w:tcPr>
          <w:p>
            <w:pPr>
              <w:spacing w:after="40"/>
            </w:pPr>
            <w:r/>
            <w:r>
              <w:rPr>
                <w:rFonts w:ascii="Aptos" w:hAnsi="Aptos"/>
                <w:b w:val="0"/>
                <w:sz w:val="17"/>
              </w:rPr>
              <w:t>Transport Monitoring</w:t>
            </w:r>
          </w:p>
        </w:tc>
        <w:tc>
          <w:tcPr>
            <w:tcW w:type="dxa" w:w="7560"/>
            <w:vAlign w:val="center"/>
            <w:shd w:fill="F1F6FA"/>
          </w:tcPr>
          <w:p>
            <w:pPr>
              <w:spacing w:after="40"/>
            </w:pPr>
            <w:r/>
            <w:r>
              <w:rPr>
                <w:rFonts w:ascii="Aptos" w:hAnsi="Aptos"/>
                <w:b w:val="0"/>
                <w:sz w:val="17"/>
              </w:rPr>
              <w:t>Route list, baseline/predicted travel times, delay, traffic level, flood-risk estimate, affected route/cohort, and modeled capacity.</w:t>
            </w:r>
          </w:p>
        </w:tc>
      </w:tr>
      <w:tr>
        <w:tc>
          <w:tcPr>
            <w:tcW w:type="dxa" w:w="2376"/>
            <w:vAlign w:val="center"/>
          </w:tcPr>
          <w:p>
            <w:pPr>
              <w:spacing w:after="40"/>
            </w:pPr>
            <w:r/>
            <w:r>
              <w:rPr>
                <w:rFonts w:ascii="Aptos" w:hAnsi="Aptos"/>
                <w:b w:val="0"/>
                <w:sz w:val="17"/>
              </w:rPr>
              <w:t>School Attendance</w:t>
            </w:r>
          </w:p>
        </w:tc>
        <w:tc>
          <w:tcPr>
            <w:tcW w:type="dxa" w:w="7560"/>
            <w:vAlign w:val="center"/>
          </w:tcPr>
          <w:p>
            <w:pPr>
              <w:spacing w:after="40"/>
            </w:pPr>
            <w:r/>
            <w:r>
              <w:rPr>
                <w:rFonts w:ascii="Aptos" w:hAnsi="Aptos"/>
                <w:b w:val="0"/>
                <w:sz w:val="17"/>
              </w:rPr>
              <w:t>Aggregated expected cohort counts, estimated on-time fraction, functional classroom fraction, attendance/access trends, and links to disruption scenarios. Never expose student-level identities.</w:t>
            </w:r>
          </w:p>
        </w:tc>
      </w:tr>
      <w:tr>
        <w:tc>
          <w:tcPr>
            <w:tcW w:type="dxa" w:w="2376"/>
            <w:vAlign w:val="center"/>
            <w:shd w:fill="F1F6FA"/>
          </w:tcPr>
          <w:p>
            <w:pPr>
              <w:spacing w:after="40"/>
            </w:pPr>
            <w:r/>
            <w:r>
              <w:rPr>
                <w:rFonts w:ascii="Aptos" w:hAnsi="Aptos"/>
                <w:b w:val="0"/>
                <w:sz w:val="17"/>
              </w:rPr>
              <w:t>Scenario Simulator / Scenario Lab</w:t>
            </w:r>
          </w:p>
        </w:tc>
        <w:tc>
          <w:tcPr>
            <w:tcW w:type="dxa" w:w="7560"/>
            <w:vAlign w:val="center"/>
            <w:shd w:fill="F1F6FA"/>
          </w:tcPr>
          <w:p>
            <w:pPr>
              <w:spacing w:after="40"/>
            </w:pPr>
            <w:r/>
            <w:r>
              <w:rPr>
                <w:rFonts w:ascii="Aptos" w:hAnsi="Aptos"/>
                <w:b w:val="0"/>
                <w:sz w:val="17"/>
              </w:rPr>
              <w:t>Presets for heavy rain, heatwave, power dip, and combined event; editable weather/energy/transport inputs; run baseline and disrupted scenario; show cascade and LAI before/after.</w:t>
            </w:r>
          </w:p>
        </w:tc>
      </w:tr>
      <w:tr>
        <w:tc>
          <w:tcPr>
            <w:tcW w:type="dxa" w:w="2376"/>
            <w:vAlign w:val="center"/>
          </w:tcPr>
          <w:p>
            <w:pPr>
              <w:spacing w:after="40"/>
            </w:pPr>
            <w:r/>
            <w:r>
              <w:rPr>
                <w:rFonts w:ascii="Aptos" w:hAnsi="Aptos"/>
                <w:b w:val="0"/>
                <w:sz w:val="17"/>
              </w:rPr>
              <w:t>Twin Explorer</w:t>
            </w:r>
          </w:p>
        </w:tc>
        <w:tc>
          <w:tcPr>
            <w:tcW w:type="dxa" w:w="7560"/>
            <w:vAlign w:val="center"/>
          </w:tcPr>
          <w:p>
            <w:pPr>
              <w:spacing w:after="40"/>
            </w:pPr>
            <w:r/>
            <w:r>
              <w:rPr>
                <w:rFonts w:ascii="Aptos" w:hAnsi="Aptos"/>
                <w:b w:val="0"/>
                <w:sz w:val="17"/>
              </w:rPr>
              <w:t>Visual town-to-campus system graph showing dependencies, affected nodes, causal paths, route/building status, and the direction of simulated effects.</w:t>
            </w:r>
          </w:p>
        </w:tc>
      </w:tr>
      <w:tr>
        <w:tc>
          <w:tcPr>
            <w:tcW w:type="dxa" w:w="2376"/>
            <w:vAlign w:val="center"/>
            <w:shd w:fill="F1F6FA"/>
          </w:tcPr>
          <w:p>
            <w:pPr>
              <w:spacing w:after="40"/>
            </w:pPr>
            <w:r/>
            <w:r>
              <w:rPr>
                <w:rFonts w:ascii="Aptos" w:hAnsi="Aptos"/>
                <w:b w:val="0"/>
                <w:sz w:val="17"/>
              </w:rPr>
              <w:t>Intervention Center</w:t>
            </w:r>
          </w:p>
        </w:tc>
        <w:tc>
          <w:tcPr>
            <w:tcW w:type="dxa" w:w="7560"/>
            <w:vAlign w:val="center"/>
            <w:shd w:fill="F1F6FA"/>
          </w:tcPr>
          <w:p>
            <w:pPr>
              <w:spacing w:after="40"/>
            </w:pPr>
            <w:r/>
            <w:r>
              <w:rPr>
                <w:rFonts w:ascii="Aptos" w:hAnsi="Aptos"/>
                <w:b w:val="0"/>
                <w:sz w:val="17"/>
              </w:rPr>
              <w:t>Compare extra bus, shifted school hours, and off-peak pre-cooling. Re-run each intervention against the same baseline and rank by visible cost/carbon trade-offs.</w:t>
            </w:r>
          </w:p>
        </w:tc>
      </w:tr>
      <w:tr>
        <w:tc>
          <w:tcPr>
            <w:tcW w:type="dxa" w:w="2376"/>
            <w:vAlign w:val="center"/>
          </w:tcPr>
          <w:p>
            <w:pPr>
              <w:spacing w:after="40"/>
            </w:pPr>
            <w:r/>
            <w:r>
              <w:rPr>
                <w:rFonts w:ascii="Aptos" w:hAnsi="Aptos"/>
                <w:b w:val="0"/>
                <w:sz w:val="17"/>
              </w:rPr>
              <w:t>Trust Center</w:t>
            </w:r>
          </w:p>
        </w:tc>
        <w:tc>
          <w:tcPr>
            <w:tcW w:type="dxa" w:w="7560"/>
            <w:vAlign w:val="center"/>
          </w:tcPr>
          <w:p>
            <w:pPr>
              <w:spacing w:after="40"/>
            </w:pPr>
            <w:r/>
            <w:r>
              <w:rPr>
                <w:rFonts w:ascii="Aptos" w:hAnsi="Aptos"/>
                <w:b w:val="0"/>
                <w:sz w:val="17"/>
              </w:rPr>
              <w:t>Valid signed event, modified-after-signing event, rejected status, signature result, prediction provenance, audit-chain verification, and audit history.</w:t>
            </w:r>
          </w:p>
        </w:tc>
      </w:tr>
      <w:tr>
        <w:tc>
          <w:tcPr>
            <w:tcW w:type="dxa" w:w="2376"/>
            <w:vAlign w:val="center"/>
            <w:shd w:fill="F1F6FA"/>
          </w:tcPr>
          <w:p>
            <w:pPr>
              <w:spacing w:after="40"/>
            </w:pPr>
            <w:r/>
            <w:r>
              <w:rPr>
                <w:rFonts w:ascii="Aptos" w:hAnsi="Aptos"/>
                <w:b w:val="0"/>
                <w:sz w:val="17"/>
              </w:rPr>
              <w:t>Data Sources</w:t>
            </w:r>
          </w:p>
        </w:tc>
        <w:tc>
          <w:tcPr>
            <w:tcW w:type="dxa" w:w="7560"/>
            <w:vAlign w:val="center"/>
            <w:shd w:fill="F1F6FA"/>
          </w:tcPr>
          <w:p>
            <w:pPr>
              <w:spacing w:after="40"/>
            </w:pPr>
            <w:r/>
            <w:r>
              <w:rPr>
                <w:rFonts w:ascii="Aptos" w:hAnsi="Aptos"/>
                <w:b w:val="0"/>
                <w:sz w:val="17"/>
              </w:rPr>
              <w:t>Demo source catalog, source type, last update, freshness, schema/range validation, quality status, and future adapter status. Do not claim real connectivity when absent.</w:t>
            </w:r>
          </w:p>
        </w:tc>
      </w:tr>
      <w:tr>
        <w:tc>
          <w:tcPr>
            <w:tcW w:type="dxa" w:w="2376"/>
            <w:vAlign w:val="center"/>
          </w:tcPr>
          <w:p>
            <w:pPr>
              <w:spacing w:after="40"/>
            </w:pPr>
            <w:r/>
            <w:r>
              <w:rPr>
                <w:rFonts w:ascii="Aptos" w:hAnsi="Aptos"/>
                <w:b w:val="0"/>
                <w:sz w:val="17"/>
              </w:rPr>
              <w:t>Settings</w:t>
            </w:r>
          </w:p>
        </w:tc>
        <w:tc>
          <w:tcPr>
            <w:tcW w:type="dxa" w:w="7560"/>
            <w:vAlign w:val="center"/>
          </w:tcPr>
          <w:p>
            <w:pPr>
              <w:spacing w:after="40"/>
            </w:pPr>
            <w:r/>
            <w:r>
              <w:rPr>
                <w:rFonts w:ascii="Aptos" w:hAnsi="Aptos"/>
                <w:b w:val="0"/>
                <w:sz w:val="17"/>
              </w:rPr>
              <w:t>Editable prototype thresholds, campus/twin selection, demo mode, scenario assumptions, units, and display preferences. Validate and provide reset-to-default.</w:t>
            </w:r>
          </w:p>
        </w:tc>
      </w:tr>
    </w:tbl>
    <w:p/>
    <w:p>
      <w:r>
        <w:t>Header: show page title/breadcrumb, demo date/time with timezone, connection/demo status, refresh action, notifications, and a placeholder profile. Refresh must update or reload demo state deterministically; it must not falsely claim a live data fetch.</w:t>
      </w:r>
    </w:p>
    <w:p>
      <w:pPr>
        <w:pStyle w:val="Heading1"/>
      </w:pPr>
      <w:r>
        <w:t>6. Overview dashboard</w:t>
      </w:r>
    </w:p>
    <w:p>
      <w:pPr>
        <w:pStyle w:val="Heading2"/>
      </w:pPr>
      <w:r>
        <w:t>Primary metric cards</w:t>
      </w:r>
    </w:p>
    <w:tbl>
      <w:tblPr>
        <w:tblStyle w:val="TableGrid"/>
        <w:tblW w:type="auto" w:w="0"/>
        <w:tblLook w:firstColumn="1" w:firstRow="1" w:lastColumn="0" w:lastRow="0" w:noHBand="0" w:noVBand="1" w:val="04A0"/>
      </w:tblPr>
      <w:tblGrid>
        <w:gridCol w:w="4968"/>
        <w:gridCol w:w="4968"/>
      </w:tblGrid>
      <w:tr>
        <w:tc>
          <w:tcPr>
            <w:tcW w:type="dxa" w:w="2592"/>
            <w:vAlign w:val="center"/>
            <w:shd w:fill="18365C"/>
          </w:tcPr>
          <w:p>
            <w:pPr>
              <w:spacing w:after="40"/>
            </w:pPr>
            <w:r/>
            <w:r>
              <w:rPr>
                <w:rFonts w:ascii="Aptos" w:hAnsi="Aptos"/>
                <w:b/>
                <w:color w:val="FFFFFF"/>
                <w:sz w:val="18"/>
              </w:rPr>
              <w:t>Metric</w:t>
            </w:r>
          </w:p>
        </w:tc>
        <w:tc>
          <w:tcPr>
            <w:tcW w:type="dxa" w:w="7344"/>
            <w:vAlign w:val="center"/>
            <w:shd w:fill="18365C"/>
          </w:tcPr>
          <w:p>
            <w:pPr>
              <w:spacing w:after="40"/>
            </w:pPr>
            <w:r/>
            <w:r>
              <w:rPr>
                <w:rFonts w:ascii="Aptos" w:hAnsi="Aptos"/>
                <w:b/>
                <w:color w:val="FFFFFF"/>
                <w:sz w:val="18"/>
              </w:rPr>
              <w:t>Display requirements</w:t>
            </w:r>
          </w:p>
        </w:tc>
      </w:tr>
      <w:tr>
        <w:tc>
          <w:tcPr>
            <w:tcW w:type="dxa" w:w="2592"/>
            <w:vAlign w:val="center"/>
            <w:shd w:fill="F1F6FA"/>
          </w:tcPr>
          <w:p>
            <w:pPr>
              <w:spacing w:after="40"/>
            </w:pPr>
            <w:r/>
            <w:r>
              <w:rPr>
                <w:rFonts w:ascii="Aptos" w:hAnsi="Aptos"/>
                <w:b w:val="0"/>
                <w:sz w:val="17"/>
              </w:rPr>
              <w:t>Education Continuity Index</w:t>
            </w:r>
          </w:p>
        </w:tc>
        <w:tc>
          <w:tcPr>
            <w:tcW w:type="dxa" w:w="7344"/>
            <w:vAlign w:val="center"/>
            <w:shd w:fill="F1F6FA"/>
          </w:tcPr>
          <w:p>
            <w:pPr>
              <w:spacing w:after="40"/>
            </w:pPr>
            <w:r/>
            <w:r>
              <w:rPr>
                <w:rFonts w:ascii="Aptos" w:hAnsi="Aptos"/>
                <w:b w:val="0"/>
                <w:sz w:val="17"/>
              </w:rPr>
              <w:t>Illustrative 0–100 score with trend and tooltip. Define its relationship to LAI; do not present it as a second unexplained score.</w:t>
            </w:r>
          </w:p>
        </w:tc>
      </w:tr>
      <w:tr>
        <w:tc>
          <w:tcPr>
            <w:tcW w:type="dxa" w:w="2592"/>
            <w:vAlign w:val="center"/>
          </w:tcPr>
          <w:p>
            <w:pPr>
              <w:spacing w:after="40"/>
            </w:pPr>
            <w:r/>
            <w:r>
              <w:rPr>
                <w:rFonts w:ascii="Aptos" w:hAnsi="Aptos"/>
                <w:b w:val="0"/>
                <w:sz w:val="17"/>
              </w:rPr>
              <w:t>Disruption Risk</w:t>
            </w:r>
          </w:p>
        </w:tc>
        <w:tc>
          <w:tcPr>
            <w:tcW w:type="dxa" w:w="7344"/>
            <w:vAlign w:val="center"/>
          </w:tcPr>
          <w:p>
            <w:pPr>
              <w:spacing w:after="40"/>
            </w:pPr>
            <w:r/>
            <w:r>
              <w:rPr>
                <w:rFonts w:ascii="Aptos" w:hAnsi="Aptos"/>
                <w:b w:val="0"/>
                <w:sz w:val="17"/>
              </w:rPr>
              <w:t>Low/Medium/High plus a 0–100 prototype score, timestamp, and contributing factors.</w:t>
            </w:r>
          </w:p>
        </w:tc>
      </w:tr>
      <w:tr>
        <w:tc>
          <w:tcPr>
            <w:tcW w:type="dxa" w:w="2592"/>
            <w:vAlign w:val="center"/>
            <w:shd w:fill="F1F6FA"/>
          </w:tcPr>
          <w:p>
            <w:pPr>
              <w:spacing w:after="40"/>
            </w:pPr>
            <w:r/>
            <w:r>
              <w:rPr>
                <w:rFonts w:ascii="Aptos" w:hAnsi="Aptos"/>
                <w:b w:val="0"/>
                <w:sz w:val="17"/>
              </w:rPr>
              <w:t>Weather Alert</w:t>
            </w:r>
          </w:p>
        </w:tc>
        <w:tc>
          <w:tcPr>
            <w:tcW w:type="dxa" w:w="7344"/>
            <w:vAlign w:val="center"/>
            <w:shd w:fill="F1F6FA"/>
          </w:tcPr>
          <w:p>
            <w:pPr>
              <w:spacing w:after="40"/>
            </w:pPr>
            <w:r/>
            <w:r>
              <w:rPr>
                <w:rFonts w:ascii="Aptos" w:hAnsi="Aptos"/>
                <w:b w:val="0"/>
                <w:sz w:val="17"/>
              </w:rPr>
              <w:t>Current simulated condition and threshold status, with an explicit synthetic-data label.</w:t>
            </w:r>
          </w:p>
        </w:tc>
      </w:tr>
      <w:tr>
        <w:tc>
          <w:tcPr>
            <w:tcW w:type="dxa" w:w="2592"/>
            <w:vAlign w:val="center"/>
          </w:tcPr>
          <w:p>
            <w:pPr>
              <w:spacing w:after="40"/>
            </w:pPr>
            <w:r/>
            <w:r>
              <w:rPr>
                <w:rFonts w:ascii="Aptos" w:hAnsi="Aptos"/>
                <w:b w:val="0"/>
                <w:sz w:val="17"/>
              </w:rPr>
              <w:t>Campus Energy Status</w:t>
            </w:r>
          </w:p>
        </w:tc>
        <w:tc>
          <w:tcPr>
            <w:tcW w:type="dxa" w:w="7344"/>
            <w:vAlign w:val="center"/>
          </w:tcPr>
          <w:p>
            <w:pPr>
              <w:spacing w:after="40"/>
            </w:pPr>
            <w:r/>
            <w:r>
              <w:rPr>
                <w:rFonts w:ascii="Aptos" w:hAnsi="Aptos"/>
                <w:b w:val="0"/>
                <w:sz w:val="17"/>
              </w:rPr>
              <w:t>Power available/unavailable, load in kW, outage duration, and cooling state.</w:t>
            </w:r>
          </w:p>
        </w:tc>
      </w:tr>
    </w:tbl>
    <w:p/>
    <w:p>
      <w:r>
        <w:t>Where both Education Continuity Index and LAI are displayed, define the Education Continuity Index as a presentation-level alias of LAI in the MVP, or clearly document a different formula. Avoid confusing duplicate scores.</w:t>
      </w:r>
    </w:p>
    <w:p>
      <w:pPr>
        <w:pStyle w:val="Heading2"/>
      </w:pPr>
      <w:r>
        <w:t>Overview charts and panels</w:t>
      </w:r>
    </w:p>
    <w:p>
      <w:pPr>
        <w:pStyle w:val="ListBullet"/>
      </w:pPr>
      <w:r>
        <w:t>Disruption-risk trend over time.</w:t>
      </w:r>
    </w:p>
    <w:p>
      <w:pPr>
        <w:pStyle w:val="ListBullet"/>
      </w:pPr>
      <w:r>
        <w:t>Rainfall (mm) and temperature (°C) history.</w:t>
      </w:r>
    </w:p>
    <w:p>
      <w:pPr>
        <w:pStyle w:val="ListBullet"/>
      </w:pPr>
      <w:r>
        <w:t>Power consumption (kW) and outage periods.</w:t>
      </w:r>
    </w:p>
    <w:p>
      <w:pPr>
        <w:pStyle w:val="ListBullet"/>
      </w:pPr>
      <w:r>
        <w:t>Transport delay (minutes) by route or time.</w:t>
      </w:r>
    </w:p>
    <w:p>
      <w:pPr>
        <w:pStyle w:val="ListBullet"/>
      </w:pPr>
      <w:r>
        <w:t>Illustrative regional/town-campus schematic with named demo locations.</w:t>
      </w:r>
    </w:p>
    <w:p>
      <w:pPr>
        <w:pStyle w:val="ListBullet"/>
      </w:pPr>
      <w:r>
        <w:t>Recent alerts and events with severity, time, source, and verification status.</w:t>
      </w:r>
    </w:p>
    <w:p>
      <w:pPr>
        <w:pStyle w:val="ListBullet"/>
      </w:pPr>
      <w:r>
        <w:t>Sensor health and data quality: valid, stale, missing, rejected, and total events.</w:t>
      </w:r>
    </w:p>
    <w:p>
      <w:pPr>
        <w:pStyle w:val="ListBullet"/>
      </w:pPr>
      <w:r>
        <w:t>Compact prediction panel and prominent Run Scenario action.</w:t>
      </w:r>
    </w:p>
    <w:p>
      <w:r>
        <w:t>Use coherent time axes and units. Tooltips should show exact values. Charts need loading, empty, and error states and must remain usable on narrow screens.</w:t>
      </w:r>
    </w:p>
    <w:p>
      <w:pPr>
        <w:pStyle w:val="Heading1"/>
      </w:pPr>
      <w:r>
        <w:t>7. AI Predictions: transparent prototype risk estimator</w:t>
      </w:r>
    </w:p>
    <w:p>
      <w:r>
        <w:t>Implement a deterministic TypeScript scoring function in a separate service file. It is a rule-based prototype estimate, not a trained AI model and not a calibrated probability of school disruption.</w:t>
      </w:r>
    </w:p>
    <w:p>
      <w:pPr>
        <w:pStyle w:val="Heading2"/>
      </w:pPr>
      <w:r>
        <w:t>Inputs and validation</w:t>
      </w:r>
    </w:p>
    <w:p>
      <w:pPr>
        <w:pStyle w:val="ListBullet"/>
      </w:pPr>
      <w:r>
        <w:t>Rainfall in millimetres (mm), temperature in degrees Celsius (°C), power outage duration in hours, transport delay in minutes, and optional campus/twin selector.</w:t>
      </w:r>
    </w:p>
    <w:p>
      <w:pPr>
        <w:pStyle w:val="ListBullet"/>
      </w:pPr>
      <w:r>
        <w:t>Set explicit acceptable ranges and reject blank, non-numeric, infinite, or out-of-range values with clear inline messages.</w:t>
      </w:r>
    </w:p>
    <w:p>
      <w:pPr>
        <w:pStyle w:val="ListBullet"/>
      </w:pPr>
      <w:r>
        <w:t>Allow zero values where valid; do not silently clamp invalid inputs.</w:t>
      </w:r>
    </w:p>
    <w:p>
      <w:pPr>
        <w:pStyle w:val="ListBullet"/>
      </w:pPr>
      <w:r>
        <w:t>Show the exact input values and timestamp used for each result.</w:t>
      </w:r>
    </w:p>
    <w:p>
      <w:pPr>
        <w:pStyle w:val="Heading2"/>
      </w:pPr>
      <w:r>
        <w:t>Scoring design</w:t>
      </w:r>
    </w:p>
    <w:p>
      <w:r>
        <w:t>Use a documented weighted rule model. Normalize each input to a 0–1 severity range using configurable thresholds, multiply by visible weights, sum, and clamp the final score to 0–100. Keep thresholds and weights in a typed configuration file.</w:t>
      </w:r>
    </w:p>
    <w:p>
      <w:pPr>
        <w:spacing w:before="60" w:after="140"/>
        <w:ind w:left="288"/>
        <w:shd w:fill="F1F4F8"/>
      </w:pPr>
      <w:r>
        <w:rPr>
          <w:rFonts w:ascii="Consolas" w:hAnsi="Consolas"/>
          <w:color w:val="283746"/>
          <w:sz w:val="17"/>
        </w:rPr>
        <w:t>riskScore = round(100 * (wRain * rainSeverity</w:t>
        <w:br/>
        <w:t xml:space="preserve">                  + wHeat * heatSeverity</w:t>
        <w:br/>
        <w:t xml:space="preserve">                  + wPower * powerSeverity</w:t>
        <w:br/>
        <w:t xml:space="preserve">                  + wTransport * transportSeverity))</w:t>
        <w:br/>
        <w:t>// Require non-negative weights that sum to 1.0.</w:t>
        <w:br/>
        <w:t>// Severity normalization, thresholds, and weights must be documented and editable.</w:t>
      </w:r>
    </w:p>
    <w:p>
      <w:r>
        <w:t>Define category thresholds explicitly (for example, Low 0–29, Medium 30–59, High 60–100) and make them configurable. These are prototype policy thresholds, not validated safety thresholds.</w:t>
      </w:r>
    </w:p>
    <w:p>
      <w:pPr>
        <w:pStyle w:val="Heading2"/>
      </w:pPr>
      <w:r>
        <w:t>Prediction result</w:t>
      </w:r>
    </w:p>
    <w:p>
      <w:pPr>
        <w:pStyle w:val="ListBullet"/>
      </w:pPr>
      <w:r>
        <w:t>Risk category and numeric score.</w:t>
      </w:r>
    </w:p>
    <w:p>
      <w:pPr>
        <w:pStyle w:val="ListBullet"/>
      </w:pPr>
      <w:r>
        <w:t>A factor breakdown showing each normalized severity, weight, and point contribution.</w:t>
      </w:r>
    </w:p>
    <w:p>
      <w:pPr>
        <w:pStyle w:val="ListBullet"/>
      </w:pPr>
      <w:r>
        <w:t>Plain-language explanation tied to actual inputs, avoiding invented causal certainty.</w:t>
      </w:r>
    </w:p>
    <w:p>
      <w:pPr>
        <w:pStyle w:val="ListBullet"/>
      </w:pPr>
      <w:r>
        <w:t>Cautious recommended next step: check official local alerts, confirm transport status, or verify backup power.</w:t>
      </w:r>
    </w:p>
    <w:p>
      <w:pPr>
        <w:pStyle w:val="ListBullet"/>
      </w:pPr>
      <w:r>
        <w:t>Timestamp, selected campus/twin, data provenance, and label: “Prototype estimate based on illustrative demo data.”</w:t>
      </w:r>
    </w:p>
    <w:p>
      <w:pPr>
        <w:pStyle w:val="ListBullet"/>
      </w:pPr>
      <w:r>
        <w:t>Repeatable results: same inputs and configuration produce the same score.</w:t>
      </w:r>
    </w:p>
    <w:p>
      <w:pPr>
        <w:pStyle w:val="Heading1"/>
      </w:pPr>
      <w:r>
        <w:t>8. Weather Intelligence</w:t>
      </w:r>
    </w:p>
    <w:p>
      <w:pPr>
        <w:pStyle w:val="ListBullet"/>
      </w:pPr>
      <w:r>
        <w:t>Historical rainfall and temperature line/area charts, plus humidity and optional wind when present.</w:t>
      </w:r>
    </w:p>
    <w:p>
      <w:pPr>
        <w:pStyle w:val="ListBullet"/>
      </w:pPr>
      <w:r>
        <w:t>Daily and weekly forecast-style demo series clearly labelled as simulated, not actual forecasts.</w:t>
      </w:r>
    </w:p>
    <w:p>
      <w:pPr>
        <w:pStyle w:val="ListBullet"/>
      </w:pPr>
      <w:r>
        <w:t>Severe-weather indicators driven by editable prototype thresholds.</w:t>
      </w:r>
    </w:p>
    <w:p>
      <w:pPr>
        <w:pStyle w:val="ListBullet"/>
      </w:pPr>
      <w:r>
        <w:t>Threshold settings with units, validation, reset-to-default, and an explanation that settings are illustrative.</w:t>
      </w:r>
    </w:p>
    <w:p>
      <w:pPr>
        <w:pStyle w:val="ListBullet"/>
      </w:pPr>
      <w:r>
        <w:t>Weather alert history with event time, trigger, severity, status, and source.</w:t>
      </w:r>
    </w:p>
    <w:p>
      <w:pPr>
        <w:pStyle w:val="ListBullet"/>
      </w:pPr>
      <w:r>
        <w:t>Source panel stating Synthetic Demo Dataset unless a real source adapter is connected.</w:t>
      </w:r>
    </w:p>
    <w:p>
      <w:pPr>
        <w:pStyle w:val="ListBullet"/>
      </w:pPr>
      <w:r>
        <w:t>No official warnings or real-world safety advice should be generated from synthetic data.</w:t>
      </w:r>
    </w:p>
    <w:p>
      <w:pPr>
        <w:pStyle w:val="Heading1"/>
      </w:pPr>
      <w:r>
        <w:t>9. Energy &amp; Sensors</w:t>
      </w:r>
    </w:p>
    <w:p>
      <w:pPr>
        <w:pStyle w:val="ListBullet"/>
      </w:pPr>
      <w:r>
        <w:t>Campus/building load in kW, power availability, outage duration, cooling availability, and timestamp.</w:t>
      </w:r>
    </w:p>
    <w:p>
      <w:pPr>
        <w:pStyle w:val="ListBullet"/>
      </w:pPr>
      <w:r>
        <w:t>Sensor table with sensor ID, twin, metric, value/unit, timestamp, freshness, health, and signature status.</w:t>
      </w:r>
    </w:p>
    <w:p>
      <w:pPr>
        <w:pStyle w:val="ListBullet"/>
      </w:pPr>
      <w:r>
        <w:t>Quality checks for schema, allowed range, stale timestamp, duplicate/replayed sequence, and signature validity.</w:t>
      </w:r>
    </w:p>
    <w:p>
      <w:pPr>
        <w:pStyle w:val="ListBullet"/>
      </w:pPr>
      <w:r>
        <w:t>Separate operational anomaly detection from cryptographic authenticity: a signed reading may still be physically implausible.</w:t>
      </w:r>
    </w:p>
    <w:p>
      <w:pPr>
        <w:pStyle w:val="ListBullet"/>
      </w:pPr>
      <w:r>
        <w:t>Rejected events must be visible in Trust Center and must not alter trusted simulation inputs.</w:t>
      </w:r>
    </w:p>
    <w:p>
      <w:pPr>
        <w:pStyle w:val="ListBullet"/>
      </w:pPr>
      <w:r>
        <w:t>Use synthetic events only in the demo; do not imply actual sensor hardware is connected.</w:t>
      </w:r>
    </w:p>
    <w:p>
      <w:pPr>
        <w:pStyle w:val="Heading1"/>
      </w:pPr>
      <w:r>
        <w:t>10. Transport Monitoring</w:t>
      </w:r>
    </w:p>
    <w:p>
      <w:pPr>
        <w:pStyle w:val="ListBullet"/>
      </w:pPr>
      <w:r>
        <w:t>Route ID, baseline travel minutes, predicted travel minutes, delay minutes, traffic level, flood-risk estimate on a 0–1 scale, and modeled capacity.</w:t>
      </w:r>
    </w:p>
    <w:p>
      <w:pPr>
        <w:pStyle w:val="ListBullet"/>
      </w:pPr>
      <w:r>
        <w:t>Rainfall and traffic affect delay through configurable deterministic rules.</w:t>
      </w:r>
    </w:p>
    <w:p>
      <w:pPr>
        <w:pStyle w:val="ListBullet"/>
      </w:pPr>
      <w:r>
        <w:t>An extra bus may increase modeled capacity, subject to visible cost/emissions assumptions.</w:t>
      </w:r>
    </w:p>
    <w:p>
      <w:pPr>
        <w:pStyle w:val="ListBullet"/>
      </w:pPr>
      <w:r>
        <w:t>Show which aggregated cohorts use which route and the estimated effect on on-time arrival.</w:t>
      </w:r>
    </w:p>
    <w:p>
      <w:pPr>
        <w:pStyle w:val="ListBullet"/>
      </w:pPr>
      <w:r>
        <w:t>Clearly distinguish modeled values from measured GPS or live traffic data.</w:t>
      </w:r>
    </w:p>
    <w:p>
      <w:pPr>
        <w:pStyle w:val="Heading1"/>
      </w:pPr>
      <w:r>
        <w:t>11. School Attendance and Learning Access Index</w:t>
      </w:r>
    </w:p>
    <w:p>
      <w:r>
        <w:t>Represent student access through aggregated cohorts. Avoid collecting or displaying names, student IDs, precise individual location, or unnecessary personal data.</w:t>
      </w:r>
    </w:p>
    <w:p>
      <w:r>
        <w:t>For each cohort c, define expected_students N_c, on_time_fraction P_c(on time), and functional_classroom_fraction P_c(classroom functional and safe). These are model estimates unless observed and validated data is connected.</w:t>
      </w:r>
    </w:p>
    <w:p>
      <w:pPr>
        <w:spacing w:before="60" w:after="140"/>
        <w:ind w:left="288"/>
        <w:shd w:fill="F1F4F8"/>
      </w:pPr>
      <w:r>
        <w:rPr>
          <w:rFonts w:ascii="Consolas" w:hAnsi="Consolas"/>
          <w:color w:val="283746"/>
          <w:sz w:val="17"/>
        </w:rPr>
        <w:t>Access_c = N_c * P_c(on time) * P_c(classroom functional and safe)</w:t>
        <w:br/>
        <w:t>LAI = 100 * sum(Access_c) / sum(N_c)</w:t>
      </w:r>
    </w:p>
    <w:p>
      <w:pPr>
        <w:pStyle w:val="ListBullet"/>
      </w:pPr>
      <w:r>
        <w:t>Display baseline LAI, disrupted LAI, percentage-point change, and factor contributions.</w:t>
      </w:r>
    </w:p>
    <w:p>
      <w:pPr>
        <w:pStyle w:val="ListBullet"/>
      </w:pPr>
      <w:r>
        <w:t>Show cohort-level aggregate values only, with denominator and timestamp.</w:t>
      </w:r>
    </w:p>
    <w:p>
      <w:pPr>
        <w:pStyle w:val="ListBullet"/>
      </w:pPr>
      <w:r>
        <w:t>Model rainfall/traffic → route delay → on-time fraction.</w:t>
      </w:r>
    </w:p>
    <w:p>
      <w:pPr>
        <w:pStyle w:val="ListBullet"/>
      </w:pPr>
      <w:r>
        <w:t>Model heat/humidity/power/cooling → classroom functionality.</w:t>
      </w:r>
    </w:p>
    <w:p>
      <w:pPr>
        <w:pStyle w:val="ListBullet"/>
      </w:pPr>
      <w:r>
        <w:t>Make all classroom and comfort thresholds configurable assumptions; do not assert universal medical/safety thresholds without a defensible source.</w:t>
      </w:r>
    </w:p>
    <w:p>
      <w:pPr>
        <w:pStyle w:val="ListBullet"/>
      </w:pPr>
      <w:r>
        <w:t>Use consistent LAI definition in frontend, demo service, and backend tests.</w:t>
      </w:r>
    </w:p>
    <w:p>
      <w:pPr>
        <w:pStyle w:val="Heading1"/>
      </w:pPr>
      <w:r>
        <w:t>12. Town and Campus digital twins; cascade simulation</w:t>
      </w:r>
    </w:p>
    <w:p>
      <w:pPr>
        <w:pStyle w:val="Heading2"/>
      </w:pPr>
      <w:r>
        <w:t>Town twin</w:t>
      </w:r>
    </w:p>
    <w:p>
      <w:pPr>
        <w:pStyle w:val="ListBullet"/>
      </w:pPr>
      <w:r>
        <w:t>Inputs: rainfall, traffic level, route baseline travel time, flood-risk assumptions, and route capacity.</w:t>
      </w:r>
    </w:p>
    <w:p>
      <w:pPr>
        <w:pStyle w:val="ListBullet"/>
      </w:pPr>
      <w:r>
        <w:t>Outputs: predicted travel time, delay, flood-risk estimate, and transport capacity.</w:t>
      </w:r>
    </w:p>
    <w:p>
      <w:pPr>
        <w:pStyle w:val="ListBullet"/>
      </w:pPr>
      <w:r>
        <w:t>Rules must be deterministic, documented, and configurable.</w:t>
      </w:r>
    </w:p>
    <w:p>
      <w:pPr>
        <w:pStyle w:val="Heading2"/>
      </w:pPr>
      <w:r>
        <w:t>Campus twin</w:t>
      </w:r>
    </w:p>
    <w:p>
      <w:pPr>
        <w:pStyle w:val="ListBullet"/>
      </w:pPr>
      <w:r>
        <w:t>Inputs: temperature, humidity, power availability, power load, cooling status, room/building state, and aggregated cohorts.</w:t>
      </w:r>
    </w:p>
    <w:p>
      <w:pPr>
        <w:pStyle w:val="ListBullet"/>
      </w:pPr>
      <w:r>
        <w:t>Outputs: cooling demand estimate, classroom functionality fraction, and campus disruption state.</w:t>
      </w:r>
    </w:p>
    <w:p>
      <w:pPr>
        <w:pStyle w:val="ListBullet"/>
      </w:pPr>
      <w:r>
        <w:t>A power disruption can reduce cooling availability and modeled classroom functionality during a hot scenario.</w:t>
      </w:r>
    </w:p>
    <w:p>
      <w:pPr>
        <w:pStyle w:val="Heading2"/>
      </w:pPr>
      <w:r>
        <w:t>Required cascade</w:t>
      </w:r>
    </w:p>
    <w:p>
      <w:pPr>
        <w:pStyle w:val="ListNumber"/>
      </w:pPr>
      <w:r>
        <w:t>Weather input changes rainfall/heat/humidity state.</w:t>
      </w:r>
    </w:p>
    <w:p>
      <w:pPr>
        <w:pStyle w:val="ListNumber"/>
      </w:pPr>
      <w:r>
        <w:t>Town twin recalculates route/flood disruption and bus travel time.</w:t>
      </w:r>
    </w:p>
    <w:p>
      <w:pPr>
        <w:pStyle w:val="ListNumber"/>
      </w:pPr>
      <w:r>
        <w:t>Transport results change the affected cohorts’ on-time fraction.</w:t>
      </w:r>
    </w:p>
    <w:p>
      <w:pPr>
        <w:pStyle w:val="ListNumber"/>
      </w:pPr>
      <w:r>
        <w:t>Campus twin recalculates power/cooling and functional classroom fraction.</w:t>
      </w:r>
    </w:p>
    <w:p>
      <w:pPr>
        <w:pStyle w:val="ListNumber"/>
      </w:pPr>
      <w:r>
        <w:t>LAI recalculates from cohort access estimates.</w:t>
      </w:r>
    </w:p>
    <w:p>
      <w:pPr>
        <w:pStyle w:val="ListNumber"/>
      </w:pPr>
      <w:r>
        <w:t>The UI displays causal paths, changed values, and baseline-vs-scenario results.</w:t>
      </w:r>
    </w:p>
    <w:p>
      <w:r>
        <w:t>At least one scenario must prove the full cascade. Changing rainfall or power inputs must cause meaningful downstream changes, not merely update the form display.</w:t>
      </w:r>
    </w:p>
    <w:p>
      <w:pPr>
        <w:pStyle w:val="Heading1"/>
      </w:pPr>
      <w:r>
        <w:t>13. Scenario Lab</w:t>
      </w:r>
    </w:p>
    <w:p>
      <w:pPr>
        <w:pStyle w:val="ListBullet"/>
      </w:pPr>
      <w:r>
        <w:t>Presets: Normal Day, Heavy Rain, Heatwave, Power Dip, and Combined Disruption.</w:t>
      </w:r>
    </w:p>
    <w:p>
      <w:pPr>
        <w:pStyle w:val="ListBullet"/>
      </w:pPr>
      <w:r>
        <w:t>Editable inputs: rainfall, temperature, humidity, traffic level, power availability/outage duration, and transport conditions.</w:t>
      </w:r>
    </w:p>
    <w:p>
      <w:pPr>
        <w:pStyle w:val="ListBullet"/>
      </w:pPr>
      <w:r>
        <w:t>Run button validates inputs, runs the baseline and scenario with a stable seed, and shows a timestamp/run ID.</w:t>
      </w:r>
    </w:p>
    <w:p>
      <w:pPr>
        <w:pStyle w:val="ListBullet"/>
      </w:pPr>
      <w:r>
        <w:t>Show before/after LAI, route delay, classroom functionality, energy state, risk score, and causal cascade.</w:t>
      </w:r>
    </w:p>
    <w:p>
      <w:pPr>
        <w:pStyle w:val="ListBullet"/>
      </w:pPr>
      <w:r>
        <w:t>Allow repeat runs; preserve prior runs in demo memory and SQLite when backend is enabled.</w:t>
      </w:r>
    </w:p>
    <w:p>
      <w:pPr>
        <w:pStyle w:val="ListBullet"/>
      </w:pPr>
      <w:r>
        <w:t>Show assumptions, model version, input snapshot, and synthetic-data label.</w:t>
      </w:r>
    </w:p>
    <w:p>
      <w:pPr>
        <w:pStyle w:val="Heading1"/>
      </w:pPr>
      <w:r>
        <w:t>14. Intervention Center and optimization</w:t>
      </w:r>
    </w:p>
    <w:tbl>
      <w:tblPr>
        <w:tblStyle w:val="TableGrid"/>
        <w:tblW w:type="auto" w:w="0"/>
        <w:tblLook w:firstColumn="1" w:firstRow="1" w:lastColumn="0" w:lastRow="0" w:noHBand="0" w:noVBand="1" w:val="04A0"/>
      </w:tblPr>
      <w:tblGrid>
        <w:gridCol w:w="3312"/>
        <w:gridCol w:w="3312"/>
        <w:gridCol w:w="3312"/>
      </w:tblGrid>
      <w:tr>
        <w:tc>
          <w:tcPr>
            <w:tcW w:type="dxa" w:w="2160"/>
            <w:vAlign w:val="center"/>
            <w:shd w:fill="18365C"/>
          </w:tcPr>
          <w:p>
            <w:pPr>
              <w:spacing w:after="40"/>
            </w:pPr>
            <w:r/>
            <w:r>
              <w:rPr>
                <w:rFonts w:ascii="Aptos" w:hAnsi="Aptos"/>
                <w:b/>
                <w:color w:val="FFFFFF"/>
                <w:sz w:val="18"/>
              </w:rPr>
              <w:t>Intervention</w:t>
            </w:r>
          </w:p>
        </w:tc>
        <w:tc>
          <w:tcPr>
            <w:tcW w:type="dxa" w:w="3600"/>
            <w:vAlign w:val="center"/>
            <w:shd w:fill="18365C"/>
          </w:tcPr>
          <w:p>
            <w:pPr>
              <w:spacing w:after="40"/>
            </w:pPr>
            <w:r/>
            <w:r>
              <w:rPr>
                <w:rFonts w:ascii="Aptos" w:hAnsi="Aptos"/>
                <w:b/>
                <w:color w:val="FFFFFF"/>
                <w:sz w:val="18"/>
              </w:rPr>
              <w:t>Modeled impact</w:t>
            </w:r>
          </w:p>
        </w:tc>
        <w:tc>
          <w:tcPr>
            <w:tcW w:type="dxa" w:w="4176"/>
            <w:vAlign w:val="center"/>
            <w:shd w:fill="18365C"/>
          </w:tcPr>
          <w:p>
            <w:pPr>
              <w:spacing w:after="40"/>
            </w:pPr>
            <w:r/>
            <w:r>
              <w:rPr>
                <w:rFonts w:ascii="Aptos" w:hAnsi="Aptos"/>
                <w:b/>
                <w:color w:val="FFFFFF"/>
                <w:sz w:val="18"/>
              </w:rPr>
              <w:t>Trade-offs to expose</w:t>
            </w:r>
          </w:p>
        </w:tc>
      </w:tr>
      <w:tr>
        <w:tc>
          <w:tcPr>
            <w:tcW w:type="dxa" w:w="2160"/>
            <w:vAlign w:val="center"/>
            <w:shd w:fill="F1F6FA"/>
          </w:tcPr>
          <w:p>
            <w:pPr>
              <w:spacing w:after="40"/>
            </w:pPr>
            <w:r/>
            <w:r>
              <w:rPr>
                <w:rFonts w:ascii="Aptos" w:hAnsi="Aptos"/>
                <w:b w:val="0"/>
                <w:sz w:val="17"/>
              </w:rPr>
              <w:t>Add an extra bus</w:t>
            </w:r>
          </w:p>
        </w:tc>
        <w:tc>
          <w:tcPr>
            <w:tcW w:type="dxa" w:w="3600"/>
            <w:vAlign w:val="center"/>
            <w:shd w:fill="F1F6FA"/>
          </w:tcPr>
          <w:p>
            <w:pPr>
              <w:spacing w:after="40"/>
            </w:pPr>
            <w:r/>
            <w:r>
              <w:rPr>
                <w:rFonts w:ascii="Aptos" w:hAnsi="Aptos"/>
                <w:b w:val="0"/>
                <w:sz w:val="17"/>
              </w:rPr>
              <w:t>May improve transport capacity and on-time arrival.</w:t>
            </w:r>
          </w:p>
        </w:tc>
        <w:tc>
          <w:tcPr>
            <w:tcW w:type="dxa" w:w="4176"/>
            <w:vAlign w:val="center"/>
            <w:shd w:fill="F1F6FA"/>
          </w:tcPr>
          <w:p>
            <w:pPr>
              <w:spacing w:after="40"/>
            </w:pPr>
            <w:r/>
            <w:r>
              <w:rPr>
                <w:rFonts w:ascii="Aptos" w:hAnsi="Aptos"/>
                <w:b w:val="0"/>
                <w:sz w:val="17"/>
              </w:rPr>
              <w:t>Operating cost, capacity, route constraints, additional emissions.</w:t>
            </w:r>
          </w:p>
        </w:tc>
      </w:tr>
      <w:tr>
        <w:tc>
          <w:tcPr>
            <w:tcW w:type="dxa" w:w="2160"/>
            <w:vAlign w:val="center"/>
          </w:tcPr>
          <w:p>
            <w:pPr>
              <w:spacing w:after="40"/>
            </w:pPr>
            <w:r/>
            <w:r>
              <w:rPr>
                <w:rFonts w:ascii="Aptos" w:hAnsi="Aptos"/>
                <w:b w:val="0"/>
                <w:sz w:val="17"/>
              </w:rPr>
              <w:t>Shift school hours</w:t>
            </w:r>
          </w:p>
        </w:tc>
        <w:tc>
          <w:tcPr>
            <w:tcW w:type="dxa" w:w="3600"/>
            <w:vAlign w:val="center"/>
          </w:tcPr>
          <w:p>
            <w:pPr>
              <w:spacing w:after="40"/>
            </w:pPr>
            <w:r/>
            <w:r>
              <w:rPr>
                <w:rFonts w:ascii="Aptos" w:hAnsi="Aptos"/>
                <w:b w:val="0"/>
                <w:sz w:val="17"/>
              </w:rPr>
              <w:t>May avoid a modeled congestion/weather window.</w:t>
            </w:r>
          </w:p>
        </w:tc>
        <w:tc>
          <w:tcPr>
            <w:tcW w:type="dxa" w:w="4176"/>
            <w:vAlign w:val="center"/>
          </w:tcPr>
          <w:p>
            <w:pPr>
              <w:spacing w:after="40"/>
            </w:pPr>
            <w:r/>
            <w:r>
              <w:rPr>
                <w:rFonts w:ascii="Aptos" w:hAnsi="Aptos"/>
                <w:b w:val="0"/>
                <w:sz w:val="17"/>
              </w:rPr>
              <w:t>Schedule constraints, staffing assumptions, intervention duration.</w:t>
            </w:r>
          </w:p>
        </w:tc>
      </w:tr>
      <w:tr>
        <w:tc>
          <w:tcPr>
            <w:tcW w:type="dxa" w:w="2160"/>
            <w:vAlign w:val="center"/>
            <w:shd w:fill="F1F6FA"/>
          </w:tcPr>
          <w:p>
            <w:pPr>
              <w:spacing w:after="40"/>
            </w:pPr>
            <w:r/>
            <w:r>
              <w:rPr>
                <w:rFonts w:ascii="Aptos" w:hAnsi="Aptos"/>
                <w:b w:val="0"/>
                <w:sz w:val="17"/>
              </w:rPr>
              <w:t>Off-peak pre-cooling</w:t>
            </w:r>
          </w:p>
        </w:tc>
        <w:tc>
          <w:tcPr>
            <w:tcW w:type="dxa" w:w="3600"/>
            <w:vAlign w:val="center"/>
            <w:shd w:fill="F1F6FA"/>
          </w:tcPr>
          <w:p>
            <w:pPr>
              <w:spacing w:after="40"/>
            </w:pPr>
            <w:r/>
            <w:r>
              <w:rPr>
                <w:rFonts w:ascii="Aptos" w:hAnsi="Aptos"/>
                <w:b w:val="0"/>
                <w:sz w:val="17"/>
              </w:rPr>
              <w:t>May shift cooling demand and improve modeled classroom conditions during occupancy.</w:t>
            </w:r>
          </w:p>
        </w:tc>
        <w:tc>
          <w:tcPr>
            <w:tcW w:type="dxa" w:w="4176"/>
            <w:vAlign w:val="center"/>
            <w:shd w:fill="F1F6FA"/>
          </w:tcPr>
          <w:p>
            <w:pPr>
              <w:spacing w:after="40"/>
            </w:pPr>
            <w:r/>
            <w:r>
              <w:rPr>
                <w:rFonts w:ascii="Aptos" w:hAnsi="Aptos"/>
                <w:b w:val="0"/>
                <w:sz w:val="17"/>
              </w:rPr>
              <w:t>Energy use, electricity price assumptions, CO₂e.</w:t>
            </w:r>
          </w:p>
        </w:tc>
      </w:tr>
    </w:tbl>
    <w:p/>
    <w:p>
      <w:pPr>
        <w:spacing w:before="60" w:after="140"/>
        <w:ind w:left="288"/>
        <w:shd w:fill="F1F4F8"/>
      </w:pPr>
      <w:r>
        <w:rPr>
          <w:rFonts w:ascii="Consolas" w:hAnsi="Consolas"/>
          <w:color w:val="283746"/>
          <w:sz w:val="17"/>
        </w:rPr>
        <w:t>Student-days recovered = max(0, ((LAI_intervention - LAI_disrupted) / 100)</w:t>
        <w:br/>
        <w:t xml:space="preserve">                              * affected_students * affected_days)</w:t>
        <w:br/>
        <w:t>Cost efficiency = student-days recovered / intervention cost (INR)</w:t>
        <w:br/>
        <w:t>Carbon efficiency = student-days recovered / additional CO2e (kg)</w:t>
      </w:r>
    </w:p>
    <w:p>
      <w:pPr>
        <w:pStyle w:val="ListBullet"/>
      </w:pPr>
      <w:r>
        <w:t>Run each intervention through the actual simulator against the same disrupted baseline.</w:t>
      </w:r>
    </w:p>
    <w:p>
      <w:pPr>
        <w:pStyle w:val="ListBullet"/>
      </w:pPr>
      <w:r>
        <w:t>Display LAI after action, LAI improvement, estimated student-days recovered, cost in INR, additional CO₂e in kg, cost efficiency, and carbon efficiency.</w:t>
      </w:r>
    </w:p>
    <w:p>
      <w:pPr>
        <w:pStyle w:val="ListBullet"/>
      </w:pPr>
      <w:r>
        <w:t>Handle zero costs and zero/negative additional emissions explicitly; never divide by zero or conceal unfavorable trade-offs.</w:t>
      </w:r>
    </w:p>
    <w:p>
      <w:pPr>
        <w:pStyle w:val="ListBullet"/>
      </w:pPr>
      <w:r>
        <w:t>Rank using actual simulated outputs, not hard-coded ranks or scores.</w:t>
      </w:r>
    </w:p>
    <w:p>
      <w:pPr>
        <w:pStyle w:val="ListBullet"/>
      </w:pPr>
      <w:r>
        <w:t>If using a combined ranking score, expose its weights and explain the policy trade-off.</w:t>
      </w:r>
    </w:p>
    <w:p>
      <w:pPr>
        <w:pStyle w:val="ListBullet"/>
      </w:pPr>
      <w:r>
        <w:t>Label cost and emissions as illustrative estimates until calibrated.</w:t>
      </w:r>
    </w:p>
    <w:p>
      <w:pPr>
        <w:pStyle w:val="Heading1"/>
      </w:pPr>
      <w:r>
        <w:t>15. Trust Center and cryptographic verification</w:t>
      </w:r>
    </w:p>
    <w:p>
      <w:r>
        <w:t>Implement a visible, testable security workflow. A green “secure” badge alone is not sufficient. The MVP must show accepted and rejected events and prove that rejected events do not affect downstream simulation.</w:t>
      </w:r>
    </w:p>
    <w:p>
      <w:pPr>
        <w:pStyle w:val="Heading2"/>
      </w:pPr>
      <w:r>
        <w:t>Event payload</w:t>
      </w:r>
    </w:p>
    <w:p>
      <w:pPr>
        <w:pStyle w:val="ListBullet"/>
      </w:pPr>
      <w:r>
        <w:t>Event ID, timestamp, twin ID, metric, value and unit, sequence number, key ID, and schema version.</w:t>
      </w:r>
    </w:p>
    <w:p>
      <w:pPr>
        <w:pStyle w:val="ListBullet"/>
      </w:pPr>
      <w:r>
        <w:t>Canonical serialization rules must be defined so signing and verification use identical bytes.</w:t>
      </w:r>
    </w:p>
    <w:p>
      <w:pPr>
        <w:pStyle w:val="ListBullet"/>
      </w:pPr>
      <w:r>
        <w:t>Generate a demo Ed25519 key pair for simulated sensors or gateways; never expose production private keys in frontend code.</w:t>
      </w:r>
    </w:p>
    <w:p>
      <w:pPr>
        <w:pStyle w:val="Heading2"/>
      </w:pPr>
      <w:r>
        <w:t>Verification flow</w:t>
      </w:r>
    </w:p>
    <w:p>
      <w:pPr>
        <w:pStyle w:val="ListNumber"/>
      </w:pPr>
      <w:r>
        <w:t>Validate event schema, timestamp, sequence number, permitted metric, and configured value range.</w:t>
      </w:r>
    </w:p>
    <w:p>
      <w:pPr>
        <w:pStyle w:val="ListNumber"/>
      </w:pPr>
      <w:r>
        <w:t>Verify Ed25519 signature with the registered public key.</w:t>
      </w:r>
    </w:p>
    <w:p>
      <w:pPr>
        <w:pStyle w:val="ListNumber"/>
      </w:pPr>
      <w:r>
        <w:t>Accept only valid events into trusted simulation input; reject invalid/tampered/replayed events.</w:t>
      </w:r>
    </w:p>
    <w:p>
      <w:pPr>
        <w:pStyle w:val="ListNumber"/>
      </w:pPr>
      <w:r>
        <w:t>Record acceptance/rejection reason and event hash in the audit log.</w:t>
      </w:r>
    </w:p>
    <w:p>
      <w:pPr>
        <w:pStyle w:val="ListNumber"/>
      </w:pPr>
      <w:r>
        <w:t>Sign a defined prediction payload and record scenario ID, input-event hashes, and model version where supported.</w:t>
      </w:r>
    </w:p>
    <w:p>
      <w:pPr>
        <w:pStyle w:val="ListNumber"/>
      </w:pPr>
      <w:r>
        <w:t>Chain audit entries using SHA-256, including the previous entry hash, and provide an explicit chain verification action.</w:t>
      </w:r>
    </w:p>
    <w:p>
      <w:pPr>
        <w:pStyle w:val="Heading2"/>
      </w:pPr>
      <w:r>
        <w:t>Required demonstrations</w:t>
      </w:r>
    </w:p>
    <w:tbl>
      <w:tblPr>
        <w:tblStyle w:val="TableGrid"/>
        <w:tblW w:type="auto" w:w="0"/>
        <w:tblLook w:firstColumn="1" w:firstRow="1" w:lastColumn="0" w:lastRow="0" w:noHBand="0" w:noVBand="1" w:val="04A0"/>
      </w:tblPr>
      <w:tblGrid>
        <w:gridCol w:w="4968"/>
        <w:gridCol w:w="4968"/>
      </w:tblGrid>
      <w:tr>
        <w:tc>
          <w:tcPr>
            <w:tcW w:type="dxa" w:w="3168"/>
            <w:vAlign w:val="center"/>
            <w:shd w:fill="18365C"/>
          </w:tcPr>
          <w:p>
            <w:pPr>
              <w:spacing w:after="40"/>
            </w:pPr>
            <w:r/>
            <w:r>
              <w:rPr>
                <w:rFonts w:ascii="Aptos" w:hAnsi="Aptos"/>
                <w:b/>
                <w:color w:val="FFFFFF"/>
                <w:sz w:val="18"/>
              </w:rPr>
              <w:t>Test event</w:t>
            </w:r>
          </w:p>
        </w:tc>
        <w:tc>
          <w:tcPr>
            <w:tcW w:type="dxa" w:w="6768"/>
            <w:vAlign w:val="center"/>
            <w:shd w:fill="18365C"/>
          </w:tcPr>
          <w:p>
            <w:pPr>
              <w:spacing w:after="40"/>
            </w:pPr>
            <w:r/>
            <w:r>
              <w:rPr>
                <w:rFonts w:ascii="Aptos" w:hAnsi="Aptos"/>
                <w:b/>
                <w:color w:val="FFFFFF"/>
                <w:sz w:val="18"/>
              </w:rPr>
              <w:t>Expected result</w:t>
            </w:r>
          </w:p>
        </w:tc>
      </w:tr>
      <w:tr>
        <w:tc>
          <w:tcPr>
            <w:tcW w:type="dxa" w:w="3168"/>
            <w:vAlign w:val="center"/>
            <w:shd w:fill="F1F6FA"/>
          </w:tcPr>
          <w:p>
            <w:pPr>
              <w:spacing w:after="40"/>
            </w:pPr>
            <w:r/>
            <w:r>
              <w:rPr>
                <w:rFonts w:ascii="Aptos" w:hAnsi="Aptos"/>
                <w:b w:val="0"/>
                <w:sz w:val="17"/>
              </w:rPr>
              <w:t>Valid signed reading</w:t>
            </w:r>
          </w:p>
        </w:tc>
        <w:tc>
          <w:tcPr>
            <w:tcW w:type="dxa" w:w="6768"/>
            <w:vAlign w:val="center"/>
            <w:shd w:fill="F1F6FA"/>
          </w:tcPr>
          <w:p>
            <w:pPr>
              <w:spacing w:after="40"/>
            </w:pPr>
            <w:r/>
            <w:r>
              <w:rPr>
                <w:rFonts w:ascii="Aptos" w:hAnsi="Aptos"/>
                <w:b w:val="0"/>
                <w:sz w:val="17"/>
              </w:rPr>
              <w:t>Signature verifies; event accepted and shown in trusted input.</w:t>
            </w:r>
          </w:p>
        </w:tc>
      </w:tr>
      <w:tr>
        <w:tc>
          <w:tcPr>
            <w:tcW w:type="dxa" w:w="3168"/>
            <w:vAlign w:val="center"/>
          </w:tcPr>
          <w:p>
            <w:pPr>
              <w:spacing w:after="40"/>
            </w:pPr>
            <w:r/>
            <w:r>
              <w:rPr>
                <w:rFonts w:ascii="Aptos" w:hAnsi="Aptos"/>
                <w:b w:val="0"/>
                <w:sz w:val="17"/>
              </w:rPr>
              <w:t>Reading modified after signing</w:t>
            </w:r>
          </w:p>
        </w:tc>
        <w:tc>
          <w:tcPr>
            <w:tcW w:type="dxa" w:w="6768"/>
            <w:vAlign w:val="center"/>
          </w:tcPr>
          <w:p>
            <w:pPr>
              <w:spacing w:after="40"/>
            </w:pPr>
            <w:r/>
            <w:r>
              <w:rPr>
                <w:rFonts w:ascii="Aptos" w:hAnsi="Aptos"/>
                <w:b w:val="0"/>
                <w:sz w:val="17"/>
              </w:rPr>
              <w:t>Signature fails; event rejected; downstream simulation state remains unchanged.</w:t>
            </w:r>
          </w:p>
        </w:tc>
      </w:tr>
      <w:tr>
        <w:tc>
          <w:tcPr>
            <w:tcW w:type="dxa" w:w="3168"/>
            <w:vAlign w:val="center"/>
            <w:shd w:fill="F1F6FA"/>
          </w:tcPr>
          <w:p>
            <w:pPr>
              <w:spacing w:after="40"/>
            </w:pPr>
            <w:r/>
            <w:r>
              <w:rPr>
                <w:rFonts w:ascii="Aptos" w:hAnsi="Aptos"/>
                <w:b w:val="0"/>
                <w:sz w:val="17"/>
              </w:rPr>
              <w:t>Replay/duplicate sequence</w:t>
            </w:r>
          </w:p>
        </w:tc>
        <w:tc>
          <w:tcPr>
            <w:tcW w:type="dxa" w:w="6768"/>
            <w:vAlign w:val="center"/>
            <w:shd w:fill="F1F6FA"/>
          </w:tcPr>
          <w:p>
            <w:pPr>
              <w:spacing w:after="40"/>
            </w:pPr>
            <w:r/>
            <w:r>
              <w:rPr>
                <w:rFonts w:ascii="Aptos" w:hAnsi="Aptos"/>
                <w:b w:val="0"/>
                <w:sz w:val="17"/>
              </w:rPr>
              <w:t>Event rejected and reason recorded.</w:t>
            </w:r>
          </w:p>
        </w:tc>
      </w:tr>
      <w:tr>
        <w:tc>
          <w:tcPr>
            <w:tcW w:type="dxa" w:w="3168"/>
            <w:vAlign w:val="center"/>
          </w:tcPr>
          <w:p>
            <w:pPr>
              <w:spacing w:after="40"/>
            </w:pPr>
            <w:r/>
            <w:r>
              <w:rPr>
                <w:rFonts w:ascii="Aptos" w:hAnsi="Aptos"/>
                <w:b w:val="0"/>
                <w:sz w:val="17"/>
              </w:rPr>
              <w:t>Audit record modified</w:t>
            </w:r>
          </w:p>
        </w:tc>
        <w:tc>
          <w:tcPr>
            <w:tcW w:type="dxa" w:w="6768"/>
            <w:vAlign w:val="center"/>
          </w:tcPr>
          <w:p>
            <w:pPr>
              <w:spacing w:after="40"/>
            </w:pPr>
            <w:r/>
            <w:r>
              <w:rPr>
                <w:rFonts w:ascii="Aptos" w:hAnsi="Aptos"/>
                <w:b w:val="0"/>
                <w:sz w:val="17"/>
              </w:rPr>
              <w:t>Hash-chain verification detects inconsistency.</w:t>
            </w:r>
          </w:p>
        </w:tc>
      </w:tr>
      <w:tr>
        <w:tc>
          <w:tcPr>
            <w:tcW w:type="dxa" w:w="3168"/>
            <w:vAlign w:val="center"/>
            <w:shd w:fill="F1F6FA"/>
          </w:tcPr>
          <w:p>
            <w:pPr>
              <w:spacing w:after="40"/>
            </w:pPr>
            <w:r/>
            <w:r>
              <w:rPr>
                <w:rFonts w:ascii="Aptos" w:hAnsi="Aptos"/>
                <w:b w:val="0"/>
                <w:sz w:val="17"/>
              </w:rPr>
              <w:t>Valid signature but implausible reading</w:t>
            </w:r>
          </w:p>
        </w:tc>
        <w:tc>
          <w:tcPr>
            <w:tcW w:type="dxa" w:w="6768"/>
            <w:vAlign w:val="center"/>
            <w:shd w:fill="F1F6FA"/>
          </w:tcPr>
          <w:p>
            <w:pPr>
              <w:spacing w:after="40"/>
            </w:pPr>
            <w:r/>
            <w:r>
              <w:rPr>
                <w:rFonts w:ascii="Aptos" w:hAnsi="Aptos"/>
                <w:b w:val="0"/>
                <w:sz w:val="17"/>
              </w:rPr>
              <w:t>Authenticity may pass, but separate range/anomaly checks can flag or reject it per configured policy.</w:t>
            </w:r>
          </w:p>
        </w:tc>
      </w:tr>
    </w:tbl>
    <w:p/>
    <w:p>
      <w:r>
        <w:t>Security limitation: a valid signature proves integrity/authenticity relative to a key, not that a sensor's physical measurement is true. A hash chain alone does not establish sender identity. Production deployment additionally needs protected key storage, device identity, key rotation, clock handling, replay protection, access control, and threat-specific review.</w:t>
      </w:r>
    </w:p>
    <w:p>
      <w:pPr>
        <w:pStyle w:val="Heading1"/>
      </w:pPr>
      <w:r>
        <w:t>16. Data Sources and quality</w:t>
      </w:r>
    </w:p>
    <w:p>
      <w:pPr>
        <w:pStyle w:val="ListBullet"/>
      </w:pPr>
      <w:r>
        <w:t>Provide a catalog of source adapters: synthetic weather, synthetic transport, synthetic campus energy, aggregated learning-access data, and signed demo events.</w:t>
      </w:r>
    </w:p>
    <w:p>
      <w:pPr>
        <w:pStyle w:val="ListBullet"/>
      </w:pPr>
      <w:r>
        <w:t>Show status, last update, expected refresh, schema validation, range validation, freshness, and trusted/rejected counts.</w:t>
      </w:r>
    </w:p>
    <w:p>
      <w:pPr>
        <w:pStyle w:val="ListBullet"/>
      </w:pPr>
      <w:r>
        <w:t>Differentiate missing, stale, invalid, unsigned, signature-invalid, and valid-but-anomalous data.</w:t>
      </w:r>
    </w:p>
    <w:p>
      <w:pPr>
        <w:pStyle w:val="ListBullet"/>
      </w:pPr>
      <w:r>
        <w:t>Never label data as live or verified unless that status is actually supported by the implementation.</w:t>
      </w:r>
    </w:p>
    <w:p>
      <w:pPr>
        <w:pStyle w:val="ListBullet"/>
      </w:pPr>
      <w:r>
        <w:t>Design adapters so real weather/transport/IoT feeds can be added later without changing core domain schemas.</w:t>
      </w:r>
    </w:p>
    <w:p>
      <w:pPr>
        <w:pStyle w:val="Heading1"/>
      </w:pPr>
      <w:r>
        <w:t>17. Backend API contract</w:t>
      </w:r>
    </w:p>
    <w:tbl>
      <w:tblPr>
        <w:tblStyle w:val="TableGrid"/>
        <w:tblW w:type="auto" w:w="0"/>
        <w:tblLook w:firstColumn="1" w:firstRow="1" w:lastColumn="0" w:lastRow="0" w:noHBand="0" w:noVBand="1" w:val="04A0"/>
      </w:tblPr>
      <w:tblGrid>
        <w:gridCol w:w="4968"/>
        <w:gridCol w:w="4968"/>
      </w:tblGrid>
      <w:tr>
        <w:tc>
          <w:tcPr>
            <w:tcW w:type="dxa" w:w="3456"/>
            <w:vAlign w:val="center"/>
            <w:shd w:fill="18365C"/>
          </w:tcPr>
          <w:p>
            <w:pPr>
              <w:spacing w:after="40"/>
            </w:pPr>
            <w:r/>
            <w:r>
              <w:rPr>
                <w:rFonts w:ascii="Aptos" w:hAnsi="Aptos"/>
                <w:b/>
                <w:color w:val="FFFFFF"/>
                <w:sz w:val="18"/>
              </w:rPr>
              <w:t>Method and endpoint</w:t>
            </w:r>
          </w:p>
        </w:tc>
        <w:tc>
          <w:tcPr>
            <w:tcW w:type="dxa" w:w="6480"/>
            <w:vAlign w:val="center"/>
            <w:shd w:fill="18365C"/>
          </w:tcPr>
          <w:p>
            <w:pPr>
              <w:spacing w:after="40"/>
            </w:pPr>
            <w:r/>
            <w:r>
              <w:rPr>
                <w:rFonts w:ascii="Aptos" w:hAnsi="Aptos"/>
                <w:b/>
                <w:color w:val="FFFFFF"/>
                <w:sz w:val="18"/>
              </w:rPr>
              <w:t>Purpose</w:t>
            </w:r>
          </w:p>
        </w:tc>
      </w:tr>
      <w:tr>
        <w:tc>
          <w:tcPr>
            <w:tcW w:type="dxa" w:w="3456"/>
            <w:vAlign w:val="center"/>
            <w:shd w:fill="F1F6FA"/>
          </w:tcPr>
          <w:p>
            <w:pPr>
              <w:spacing w:after="40"/>
            </w:pPr>
            <w:r/>
            <w:r>
              <w:rPr>
                <w:rFonts w:ascii="Aptos" w:hAnsi="Aptos"/>
                <w:b w:val="0"/>
                <w:sz w:val="17"/>
              </w:rPr>
              <w:t>GET /api/health</w:t>
            </w:r>
          </w:p>
        </w:tc>
        <w:tc>
          <w:tcPr>
            <w:tcW w:type="dxa" w:w="6480"/>
            <w:vAlign w:val="center"/>
            <w:shd w:fill="F1F6FA"/>
          </w:tcPr>
          <w:p>
            <w:pPr>
              <w:spacing w:after="40"/>
            </w:pPr>
            <w:r/>
            <w:r>
              <w:rPr>
                <w:rFonts w:ascii="Aptos" w:hAnsi="Aptos"/>
                <w:b w:val="0"/>
                <w:sz w:val="17"/>
              </w:rPr>
              <w:t>Backend health and version.</w:t>
            </w:r>
          </w:p>
        </w:tc>
      </w:tr>
      <w:tr>
        <w:tc>
          <w:tcPr>
            <w:tcW w:type="dxa" w:w="3456"/>
            <w:vAlign w:val="center"/>
          </w:tcPr>
          <w:p>
            <w:pPr>
              <w:spacing w:after="40"/>
            </w:pPr>
            <w:r/>
            <w:r>
              <w:rPr>
                <w:rFonts w:ascii="Aptos" w:hAnsi="Aptos"/>
                <w:b w:val="0"/>
                <w:sz w:val="17"/>
              </w:rPr>
              <w:t>GET /api/twins</w:t>
            </w:r>
          </w:p>
        </w:tc>
        <w:tc>
          <w:tcPr>
            <w:tcW w:type="dxa" w:w="6480"/>
            <w:vAlign w:val="center"/>
          </w:tcPr>
          <w:p>
            <w:pPr>
              <w:spacing w:after="40"/>
            </w:pPr>
            <w:r/>
            <w:r>
              <w:rPr>
                <w:rFonts w:ascii="Aptos" w:hAnsi="Aptos"/>
                <w:b w:val="0"/>
                <w:sz w:val="17"/>
              </w:rPr>
              <w:t>Configured twins and current simulated states.</w:t>
            </w:r>
          </w:p>
        </w:tc>
      </w:tr>
      <w:tr>
        <w:tc>
          <w:tcPr>
            <w:tcW w:type="dxa" w:w="3456"/>
            <w:vAlign w:val="center"/>
            <w:shd w:fill="F1F6FA"/>
          </w:tcPr>
          <w:p>
            <w:pPr>
              <w:spacing w:after="40"/>
            </w:pPr>
            <w:r/>
            <w:r>
              <w:rPr>
                <w:rFonts w:ascii="Aptos" w:hAnsi="Aptos"/>
                <w:b w:val="0"/>
                <w:sz w:val="17"/>
              </w:rPr>
              <w:t>GET /api/scenarios</w:t>
            </w:r>
          </w:p>
        </w:tc>
        <w:tc>
          <w:tcPr>
            <w:tcW w:type="dxa" w:w="6480"/>
            <w:vAlign w:val="center"/>
            <w:shd w:fill="F1F6FA"/>
          </w:tcPr>
          <w:p>
            <w:pPr>
              <w:spacing w:after="40"/>
            </w:pPr>
            <w:r/>
            <w:r>
              <w:rPr>
                <w:rFonts w:ascii="Aptos" w:hAnsi="Aptos"/>
                <w:b w:val="0"/>
                <w:sz w:val="17"/>
              </w:rPr>
              <w:t>Scenario presets and schema.</w:t>
            </w:r>
          </w:p>
        </w:tc>
      </w:tr>
      <w:tr>
        <w:tc>
          <w:tcPr>
            <w:tcW w:type="dxa" w:w="3456"/>
            <w:vAlign w:val="center"/>
          </w:tcPr>
          <w:p>
            <w:pPr>
              <w:spacing w:after="40"/>
            </w:pPr>
            <w:r/>
            <w:r>
              <w:rPr>
                <w:rFonts w:ascii="Aptos" w:hAnsi="Aptos"/>
                <w:b w:val="0"/>
                <w:sz w:val="17"/>
              </w:rPr>
              <w:t>POST /api/scenarios/run</w:t>
            </w:r>
          </w:p>
        </w:tc>
        <w:tc>
          <w:tcPr>
            <w:tcW w:type="dxa" w:w="6480"/>
            <w:vAlign w:val="center"/>
          </w:tcPr>
          <w:p>
            <w:pPr>
              <w:spacing w:after="40"/>
            </w:pPr>
            <w:r/>
            <w:r>
              <w:rPr>
                <w:rFonts w:ascii="Aptos" w:hAnsi="Aptos"/>
                <w:b w:val="0"/>
                <w:sz w:val="17"/>
              </w:rPr>
              <w:t>Run baseline and scenario/interventions; return run ID, cascade outputs, LAI, assumptions, and rankings.</w:t>
            </w:r>
          </w:p>
        </w:tc>
      </w:tr>
      <w:tr>
        <w:tc>
          <w:tcPr>
            <w:tcW w:type="dxa" w:w="3456"/>
            <w:vAlign w:val="center"/>
            <w:shd w:fill="F1F6FA"/>
          </w:tcPr>
          <w:p>
            <w:pPr>
              <w:spacing w:after="40"/>
            </w:pPr>
            <w:r/>
            <w:r>
              <w:rPr>
                <w:rFonts w:ascii="Aptos" w:hAnsi="Aptos"/>
                <w:b w:val="0"/>
                <w:sz w:val="17"/>
              </w:rPr>
              <w:t>POST /api/events/ingest</w:t>
            </w:r>
          </w:p>
        </w:tc>
        <w:tc>
          <w:tcPr>
            <w:tcW w:type="dxa" w:w="6480"/>
            <w:vAlign w:val="center"/>
            <w:shd w:fill="F1F6FA"/>
          </w:tcPr>
          <w:p>
            <w:pPr>
              <w:spacing w:after="40"/>
            </w:pPr>
            <w:r/>
            <w:r>
              <w:rPr>
                <w:rFonts w:ascii="Aptos" w:hAnsi="Aptos"/>
                <w:b w:val="0"/>
                <w:sz w:val="17"/>
              </w:rPr>
              <w:t>Validate and verify a signed event; return acceptance/rejection details.</w:t>
            </w:r>
          </w:p>
        </w:tc>
      </w:tr>
      <w:tr>
        <w:tc>
          <w:tcPr>
            <w:tcW w:type="dxa" w:w="3456"/>
            <w:vAlign w:val="center"/>
          </w:tcPr>
          <w:p>
            <w:pPr>
              <w:spacing w:after="40"/>
            </w:pPr>
            <w:r/>
            <w:r>
              <w:rPr>
                <w:rFonts w:ascii="Aptos" w:hAnsi="Aptos"/>
                <w:b w:val="0"/>
                <w:sz w:val="17"/>
              </w:rPr>
              <w:t>GET /api/audit/events</w:t>
            </w:r>
          </w:p>
        </w:tc>
        <w:tc>
          <w:tcPr>
            <w:tcW w:type="dxa" w:w="6480"/>
            <w:vAlign w:val="center"/>
          </w:tcPr>
          <w:p>
            <w:pPr>
              <w:spacing w:after="40"/>
            </w:pPr>
            <w:r/>
            <w:r>
              <w:rPr>
                <w:rFonts w:ascii="Aptos" w:hAnsi="Aptos"/>
                <w:b w:val="0"/>
                <w:sz w:val="17"/>
              </w:rPr>
              <w:t>Accepted/rejected events and audit history.</w:t>
            </w:r>
          </w:p>
        </w:tc>
      </w:tr>
      <w:tr>
        <w:tc>
          <w:tcPr>
            <w:tcW w:type="dxa" w:w="3456"/>
            <w:vAlign w:val="center"/>
            <w:shd w:fill="F1F6FA"/>
          </w:tcPr>
          <w:p>
            <w:pPr>
              <w:spacing w:after="40"/>
            </w:pPr>
            <w:r/>
            <w:r>
              <w:rPr>
                <w:rFonts w:ascii="Aptos" w:hAnsi="Aptos"/>
                <w:b w:val="0"/>
                <w:sz w:val="17"/>
              </w:rPr>
              <w:t>GET /api/audit/verify</w:t>
            </w:r>
          </w:p>
        </w:tc>
        <w:tc>
          <w:tcPr>
            <w:tcW w:type="dxa" w:w="6480"/>
            <w:vAlign w:val="center"/>
            <w:shd w:fill="F1F6FA"/>
          </w:tcPr>
          <w:p>
            <w:pPr>
              <w:spacing w:after="40"/>
            </w:pPr>
            <w:r/>
            <w:r>
              <w:rPr>
                <w:rFonts w:ascii="Aptos" w:hAnsi="Aptos"/>
                <w:b w:val="0"/>
                <w:sz w:val="17"/>
              </w:rPr>
              <w:t>Verify audit-chain integrity.</w:t>
            </w:r>
          </w:p>
        </w:tc>
      </w:tr>
      <w:tr>
        <w:tc>
          <w:tcPr>
            <w:tcW w:type="dxa" w:w="3456"/>
            <w:vAlign w:val="center"/>
          </w:tcPr>
          <w:p>
            <w:pPr>
              <w:spacing w:after="40"/>
            </w:pPr>
            <w:r/>
            <w:r>
              <w:rPr>
                <w:rFonts w:ascii="Aptos" w:hAnsi="Aptos"/>
                <w:b w:val="0"/>
                <w:sz w:val="17"/>
              </w:rPr>
              <w:t>POST /api/demo/spoof</w:t>
            </w:r>
          </w:p>
        </w:tc>
        <w:tc>
          <w:tcPr>
            <w:tcW w:type="dxa" w:w="6480"/>
            <w:vAlign w:val="center"/>
          </w:tcPr>
          <w:p>
            <w:pPr>
              <w:spacing w:after="40"/>
            </w:pPr>
            <w:r/>
            <w:r>
              <w:rPr>
                <w:rFonts w:ascii="Aptos" w:hAnsi="Aptos"/>
                <w:b w:val="0"/>
                <w:sz w:val="17"/>
              </w:rPr>
              <w:t>Controlled demo that alters a signed event and proves rejection.</w:t>
            </w:r>
          </w:p>
        </w:tc>
      </w:tr>
    </w:tbl>
    <w:p/>
    <w:p>
      <w:r>
        <w:t>Define request/response schemas and units before wiring UI to the API. Use typed TypeScript interfaces aligned with Pydantic schemas. Handle timeout, unavailable backend, validation errors, and malformed responses. Keep demo and API adapters behind a common service interface.</w:t>
      </w:r>
    </w:p>
    <w:p>
      <w:pPr>
        <w:pStyle w:val="Heading1"/>
      </w:pPr>
      <w:r>
        <w:t>18. Suggested repository structure</w:t>
      </w:r>
    </w:p>
    <w:p>
      <w:pPr>
        <w:spacing w:before="60" w:after="140"/>
        <w:ind w:left="288"/>
        <w:shd w:fill="F1F4F8"/>
      </w:pPr>
      <w:r>
        <w:rPr>
          <w:rFonts w:ascii="Consolas" w:hAnsi="Consolas"/>
          <w:color w:val="283746"/>
          <w:sz w:val="17"/>
        </w:rPr>
        <w:t>pulsetwin/</w:t>
        <w:br/>
        <w:t xml:space="preserve">  frontend/</w:t>
        <w:br/>
        <w:t xml:space="preserve">    src/</w:t>
        <w:br/>
        <w:t xml:space="preserve">      app/</w:t>
        <w:br/>
        <w:t xml:space="preserve">      components/</w:t>
        <w:br/>
        <w:t xml:space="preserve">        MetricCard.tsx</w:t>
        <w:br/>
        <w:t xml:space="preserve">        ChartCard.tsx</w:t>
        <w:br/>
        <w:t xml:space="preserve">        TwinNetwork.tsx</w:t>
        <w:br/>
        <w:t xml:space="preserve">        CascadeGraph.tsx</w:t>
        <w:br/>
        <w:t xml:space="preserve">        VerificationBadge.tsx</w:t>
        <w:br/>
        <w:t xml:space="preserve">      pages/</w:t>
        <w:br/>
        <w:t xml:space="preserve">        Overview.tsx</w:t>
        <w:br/>
        <w:t xml:space="preserve">        Predictions.tsx</w:t>
        <w:br/>
        <w:t xml:space="preserve">        WeatherIntelligence.tsx</w:t>
        <w:br/>
        <w:t xml:space="preserve">        EnergySensors.tsx</w:t>
        <w:br/>
        <w:t xml:space="preserve">        TransportMonitoring.tsx</w:t>
        <w:br/>
        <w:t xml:space="preserve">        Attendance.tsx</w:t>
        <w:br/>
        <w:t xml:space="preserve">        ScenarioLab.tsx</w:t>
        <w:br/>
        <w:t xml:space="preserve">        TwinExplorer.tsx</w:t>
        <w:br/>
        <w:t xml:space="preserve">        InterventionCenter.tsx</w:t>
        <w:br/>
        <w:t xml:space="preserve">        TrustCenter.tsx</w:t>
        <w:br/>
        <w:t xml:space="preserve">        DataSources.tsx</w:t>
        <w:br/>
        <w:t xml:space="preserve">        Settings.tsx</w:t>
        <w:br/>
        <w:t xml:space="preserve">      services/</w:t>
        <w:br/>
        <w:t xml:space="preserve">        api.ts</w:t>
        <w:br/>
        <w:t xml:space="preserve">        demoService.ts</w:t>
        <w:br/>
        <w:t xml:space="preserve">        prediction.ts</w:t>
        <w:br/>
        <w:t xml:space="preserve">        simulation.ts</w:t>
        <w:br/>
        <w:t xml:space="preserve">      data/</w:t>
        <w:br/>
        <w:t xml:space="preserve">        synthetic/</w:t>
        <w:br/>
        <w:t xml:space="preserve">      types/</w:t>
        <w:br/>
        <w:t xml:space="preserve">      hooks/</w:t>
        <w:br/>
        <w:t xml:space="preserve">      App.tsx</w:t>
        <w:br/>
        <w:t xml:space="preserve">      main.tsx</w:t>
        <w:br/>
        <w:t xml:space="preserve">  backend/</w:t>
        <w:br/>
        <w:t xml:space="preserve">    app/</w:t>
        <w:br/>
        <w:t xml:space="preserve">      main.py</w:t>
        <w:br/>
        <w:t xml:space="preserve">      schemas.py</w:t>
        <w:br/>
        <w:t xml:space="preserve">      simulator.py</w:t>
        <w:br/>
        <w:t xml:space="preserve">      lai.py</w:t>
        <w:br/>
        <w:t xml:space="preserve">      optimizer.py</w:t>
        <w:br/>
        <w:t xml:space="preserve">      signing.py</w:t>
        <w:br/>
        <w:t xml:space="preserve">      audit.py</w:t>
        <w:br/>
        <w:t xml:space="preserve">      storage.py</w:t>
        <w:br/>
        <w:t xml:space="preserve">      config.py</w:t>
        <w:br/>
        <w:t xml:space="preserve">    tests/</w:t>
        <w:br/>
        <w:t xml:space="preserve">      test_simulator.py</w:t>
        <w:br/>
        <w:t xml:space="preserve">      test_lai.py</w:t>
        <w:br/>
        <w:t xml:space="preserve">      test_optimizer.py</w:t>
        <w:br/>
        <w:t xml:space="preserve">      test_signing.py</w:t>
        <w:br/>
        <w:t xml:space="preserve">      test_audit.py</w:t>
        <w:br/>
        <w:t xml:space="preserve">  configs/</w:t>
        <w:br/>
        <w:t xml:space="preserve">    twins/town.json</w:t>
        <w:br/>
        <w:t xml:space="preserve">    twins/campus.json</w:t>
        <w:br/>
        <w:t xml:space="preserve">    scenarios/heavy_rain.json</w:t>
        <w:br/>
        <w:t xml:space="preserve">    scenarios/heatwave.json</w:t>
        <w:br/>
        <w:t xml:space="preserve">    scenarios/power_dip.json</w:t>
        <w:br/>
        <w:t xml:space="preserve">  data/synthetic/</w:t>
        <w:br/>
        <w:t xml:space="preserve">  .env.example</w:t>
        <w:br/>
        <w:t xml:space="preserve">  README.md</w:t>
      </w:r>
    </w:p>
    <w:p>
      <w:r>
        <w:t>The exact folders may vary, but domain logic, UI components, data adapters, schemas, and tests must remain modular.</w:t>
      </w:r>
    </w:p>
    <w:p>
      <w:pPr>
        <w:pStyle w:val="Heading1"/>
      </w:pPr>
      <w:r>
        <w:t>19. Configuration-based additional twins</w:t>
      </w:r>
    </w:p>
    <w:p>
      <w:r>
        <w:t>Provide one example JSON configuration that registers a campus or town twin and declares its links, capacity, and enabled modules.</w:t>
      </w:r>
    </w:p>
    <w:p>
      <w:pPr>
        <w:spacing w:before="60" w:after="140"/>
        <w:ind w:left="288"/>
        <w:shd w:fill="F1F4F8"/>
      </w:pPr>
      <w:r>
        <w:rPr>
          <w:rFonts w:ascii="Consolas" w:hAnsi="Consolas"/>
          <w:color w:val="283746"/>
          <w:sz w:val="17"/>
        </w:rPr>
        <w:t>{</w:t>
        <w:br/>
        <w:t xml:space="preserve">  "id": "campus",</w:t>
        <w:br/>
        <w:t xml:space="preserve">  "name": "Campus Twin",</w:t>
        <w:br/>
        <w:t xml:space="preserve">  "type": "campus",</w:t>
        <w:br/>
        <w:t xml:space="preserve">  "expected_students": 1200,</w:t>
        <w:br/>
        <w:t xml:space="preserve">  "linked_twins": ["town"],</w:t>
        <w:br/>
        <w:t xml:space="preserve">  "enabled_modules": ["energy", "classrooms", "learning_access"]</w:t>
        <w:br/>
        <w:t>}</w:t>
      </w:r>
    </w:p>
    <w:p>
      <w:r>
        <w:t>The real loader must validate required fields and supported modules. Adding a third twin should require configuration and supported settings, not a duplicate simulation engine.</w:t>
      </w:r>
    </w:p>
    <w:p>
      <w:pPr>
        <w:pStyle w:val="Heading1"/>
      </w:pPr>
      <w:r>
        <w:t>20. Synthetic data and reproducibility</w:t>
      </w:r>
    </w:p>
    <w:tbl>
      <w:tblPr>
        <w:tblStyle w:val="TableGrid"/>
        <w:tblW w:type="auto" w:w="0"/>
        <w:tblLook w:firstColumn="1" w:firstRow="1" w:lastColumn="0" w:lastRow="0" w:noHBand="0" w:noVBand="1" w:val="04A0"/>
      </w:tblPr>
      <w:tblGrid>
        <w:gridCol w:w="4968"/>
        <w:gridCol w:w="4968"/>
      </w:tblGrid>
      <w:tr>
        <w:tc>
          <w:tcPr>
            <w:tcW w:type="dxa" w:w="2232"/>
            <w:vAlign w:val="center"/>
            <w:shd w:fill="18365C"/>
          </w:tcPr>
          <w:p>
            <w:pPr>
              <w:spacing w:after="40"/>
            </w:pPr>
            <w:r/>
            <w:r>
              <w:rPr>
                <w:rFonts w:ascii="Aptos" w:hAnsi="Aptos"/>
                <w:b/>
                <w:color w:val="FFFFFF"/>
                <w:sz w:val="18"/>
              </w:rPr>
              <w:t>Dataset</w:t>
            </w:r>
          </w:p>
        </w:tc>
        <w:tc>
          <w:tcPr>
            <w:tcW w:type="dxa" w:w="7704"/>
            <w:vAlign w:val="center"/>
            <w:shd w:fill="18365C"/>
          </w:tcPr>
          <w:p>
            <w:pPr>
              <w:spacing w:after="40"/>
            </w:pPr>
            <w:r/>
            <w:r>
              <w:rPr>
                <w:rFonts w:ascii="Aptos" w:hAnsi="Aptos"/>
                <w:b/>
                <w:color w:val="FFFFFF"/>
                <w:sz w:val="18"/>
              </w:rPr>
              <w:t>Example fields and units</w:t>
            </w:r>
          </w:p>
        </w:tc>
      </w:tr>
      <w:tr>
        <w:tc>
          <w:tcPr>
            <w:tcW w:type="dxa" w:w="2232"/>
            <w:vAlign w:val="center"/>
            <w:shd w:fill="F1F6FA"/>
          </w:tcPr>
          <w:p>
            <w:pPr>
              <w:spacing w:after="40"/>
            </w:pPr>
            <w:r/>
            <w:r>
              <w:rPr>
                <w:rFonts w:ascii="Aptos" w:hAnsi="Aptos"/>
                <w:b w:val="0"/>
                <w:sz w:val="17"/>
              </w:rPr>
              <w:t>Weather</w:t>
            </w:r>
          </w:p>
        </w:tc>
        <w:tc>
          <w:tcPr>
            <w:tcW w:type="dxa" w:w="7704"/>
            <w:vAlign w:val="center"/>
            <w:shd w:fill="F1F6FA"/>
          </w:tcPr>
          <w:p>
            <w:pPr>
              <w:spacing w:after="40"/>
            </w:pPr>
            <w:r/>
            <w:r>
              <w:rPr>
                <w:rFonts w:ascii="Aptos" w:hAnsi="Aptos"/>
                <w:b w:val="0"/>
                <w:sz w:val="17"/>
              </w:rPr>
              <w:t>timestamp, temperature_c, rainfall_mm, humidity_pct, wind_speed_mps, weather_event.</w:t>
            </w:r>
          </w:p>
        </w:tc>
      </w:tr>
      <w:tr>
        <w:tc>
          <w:tcPr>
            <w:tcW w:type="dxa" w:w="2232"/>
            <w:vAlign w:val="center"/>
          </w:tcPr>
          <w:p>
            <w:pPr>
              <w:spacing w:after="40"/>
            </w:pPr>
            <w:r/>
            <w:r>
              <w:rPr>
                <w:rFonts w:ascii="Aptos" w:hAnsi="Aptos"/>
                <w:b w:val="0"/>
                <w:sz w:val="17"/>
              </w:rPr>
              <w:t>Town transport</w:t>
            </w:r>
          </w:p>
        </w:tc>
        <w:tc>
          <w:tcPr>
            <w:tcW w:type="dxa" w:w="7704"/>
            <w:vAlign w:val="center"/>
          </w:tcPr>
          <w:p>
            <w:pPr>
              <w:spacing w:after="40"/>
            </w:pPr>
            <w:r/>
            <w:r>
              <w:rPr>
                <w:rFonts w:ascii="Aptos" w:hAnsi="Aptos"/>
                <w:b w:val="0"/>
                <w:sz w:val="17"/>
              </w:rPr>
              <w:t>route_id, timestamp, traffic_level, flood_risk (0–1), baseline_travel_min, predicted_travel_min.</w:t>
            </w:r>
          </w:p>
        </w:tc>
      </w:tr>
      <w:tr>
        <w:tc>
          <w:tcPr>
            <w:tcW w:type="dxa" w:w="2232"/>
            <w:vAlign w:val="center"/>
            <w:shd w:fill="F1F6FA"/>
          </w:tcPr>
          <w:p>
            <w:pPr>
              <w:spacing w:after="40"/>
            </w:pPr>
            <w:r/>
            <w:r>
              <w:rPr>
                <w:rFonts w:ascii="Aptos" w:hAnsi="Aptos"/>
                <w:b w:val="0"/>
                <w:sz w:val="17"/>
              </w:rPr>
              <w:t>Campus energy</w:t>
            </w:r>
          </w:p>
        </w:tc>
        <w:tc>
          <w:tcPr>
            <w:tcW w:type="dxa" w:w="7704"/>
            <w:vAlign w:val="center"/>
            <w:shd w:fill="F1F6FA"/>
          </w:tcPr>
          <w:p>
            <w:pPr>
              <w:spacing w:after="40"/>
            </w:pPr>
            <w:r/>
            <w:r>
              <w:rPr>
                <w:rFonts w:ascii="Aptos" w:hAnsi="Aptos"/>
                <w:b w:val="0"/>
                <w:sz w:val="17"/>
              </w:rPr>
              <w:t>building_id, timestamp, temperature_c, humidity_pct, power_available, power_load_kw, cooling_status.</w:t>
            </w:r>
          </w:p>
        </w:tc>
      </w:tr>
      <w:tr>
        <w:tc>
          <w:tcPr>
            <w:tcW w:type="dxa" w:w="2232"/>
            <w:vAlign w:val="center"/>
          </w:tcPr>
          <w:p>
            <w:pPr>
              <w:spacing w:after="40"/>
            </w:pPr>
            <w:r/>
            <w:r>
              <w:rPr>
                <w:rFonts w:ascii="Aptos" w:hAnsi="Aptos"/>
                <w:b w:val="0"/>
                <w:sz w:val="17"/>
              </w:rPr>
              <w:t>Learning access</w:t>
            </w:r>
          </w:p>
        </w:tc>
        <w:tc>
          <w:tcPr>
            <w:tcW w:type="dxa" w:w="7704"/>
            <w:vAlign w:val="center"/>
          </w:tcPr>
          <w:p>
            <w:pPr>
              <w:spacing w:after="40"/>
            </w:pPr>
            <w:r/>
            <w:r>
              <w:rPr>
                <w:rFonts w:ascii="Aptos" w:hAnsi="Aptos"/>
                <w:b w:val="0"/>
                <w:sz w:val="17"/>
              </w:rPr>
              <w:t>cohort_id, route_id, building_id, expected_students, on_time_fraction, functional_classroom_fraction.</w:t>
            </w:r>
          </w:p>
        </w:tc>
      </w:tr>
      <w:tr>
        <w:tc>
          <w:tcPr>
            <w:tcW w:type="dxa" w:w="2232"/>
            <w:vAlign w:val="center"/>
            <w:shd w:fill="F1F6FA"/>
          </w:tcPr>
          <w:p>
            <w:pPr>
              <w:spacing w:after="40"/>
            </w:pPr>
            <w:r/>
            <w:r>
              <w:rPr>
                <w:rFonts w:ascii="Aptos" w:hAnsi="Aptos"/>
                <w:b w:val="0"/>
                <w:sz w:val="17"/>
              </w:rPr>
              <w:t>Trust events</w:t>
            </w:r>
          </w:p>
        </w:tc>
        <w:tc>
          <w:tcPr>
            <w:tcW w:type="dxa" w:w="7704"/>
            <w:vAlign w:val="center"/>
            <w:shd w:fill="F1F6FA"/>
          </w:tcPr>
          <w:p>
            <w:pPr>
              <w:spacing w:after="40"/>
            </w:pPr>
            <w:r/>
            <w:r>
              <w:rPr>
                <w:rFonts w:ascii="Aptos" w:hAnsi="Aptos"/>
                <w:b w:val="0"/>
                <w:sz w:val="17"/>
              </w:rPr>
              <w:t>event_id, timestamp, twin_id, metric, value, unit, sequence_number, key_id, signature, event_hash.</w:t>
            </w:r>
          </w:p>
        </w:tc>
      </w:tr>
    </w:tbl>
    <w:p/>
    <w:p>
      <w:r>
        <w:t>Seed synthetic data for normal conditions and each disruption. Use fixed seeds or deterministic rules so charts, simulations, intervention rankings, and security demos are reproducible. Example values in this specification are illustrative, not observations.</w:t>
      </w:r>
    </w:p>
    <w:p>
      <w:pPr>
        <w:pStyle w:val="Heading1"/>
      </w:pPr>
      <w:r>
        <w:t>21. Error handling, accessibility, and privacy</w:t>
      </w:r>
    </w:p>
    <w:p>
      <w:pPr>
        <w:pStyle w:val="ListBullet"/>
      </w:pPr>
      <w:r>
        <w:t>Every page must have useful loading, error, and empty states.</w:t>
      </w:r>
    </w:p>
    <w:p>
      <w:pPr>
        <w:pStyle w:val="ListBullet"/>
      </w:pPr>
      <w:r>
        <w:t>Forms must validate input and explain errors next to the relevant control.</w:t>
      </w:r>
    </w:p>
    <w:p>
      <w:pPr>
        <w:pStyle w:val="ListBullet"/>
      </w:pPr>
      <w:r>
        <w:t>Use accessible labels, keyboard navigation, visible focus, readable contrast, and responsive charts/tables.</w:t>
      </w:r>
    </w:p>
    <w:p>
      <w:pPr>
        <w:pStyle w:val="ListBullet"/>
      </w:pPr>
      <w:r>
        <w:t>Do not make color the only way to convey severity or verification state.</w:t>
      </w:r>
    </w:p>
    <w:p>
      <w:pPr>
        <w:pStyle w:val="ListBullet"/>
      </w:pPr>
      <w:r>
        <w:t>Use aggregated cohorts and avoid personal student records in synthetic demo storage.</w:t>
      </w:r>
    </w:p>
    <w:p>
      <w:pPr>
        <w:pStyle w:val="ListBullet"/>
      </w:pPr>
      <w:r>
        <w:t>Explain that model results support planning and do not replace official emergency alerts or local authority decisions.</w:t>
      </w:r>
    </w:p>
    <w:p>
      <w:pPr>
        <w:pStyle w:val="ListBullet"/>
      </w:pPr>
      <w:r>
        <w:t>Avoid claims of trained AI, calibrated probability, real-time connectivity, cryptographic protection, or official forecasts unless implemented and verifiable.</w:t>
      </w:r>
    </w:p>
    <w:p>
      <w:pPr>
        <w:pStyle w:val="Heading1"/>
      </w:pPr>
      <w:r>
        <w:t>22. Testing and acceptance checklist</w:t>
      </w:r>
    </w:p>
    <w:p>
      <w:pPr>
        <w:pStyle w:val="ListBullet"/>
      </w:pPr>
      <w:r>
        <w:t>☐ Fresh clone installs dependencies and starts with documented commands.</w:t>
      </w:r>
    </w:p>
    <w:p>
      <w:pPr>
        <w:pStyle w:val="ListBullet"/>
      </w:pPr>
      <w:r>
        <w:t>☐ Production frontend build succeeds without TypeScript errors.</w:t>
      </w:r>
    </w:p>
    <w:p>
      <w:pPr>
        <w:pStyle w:val="ListBullet"/>
      </w:pPr>
      <w:r>
        <w:t>☐ Every navigation item opens the correct page and the mobile navigation works.</w:t>
      </w:r>
    </w:p>
    <w:p>
      <w:pPr>
        <w:pStyle w:val="ListBullet"/>
      </w:pPr>
      <w:r>
        <w:t>☐ Demo mode runs without API keys or network access.</w:t>
      </w:r>
    </w:p>
    <w:p>
      <w:pPr>
        <w:pStyle w:val="ListBullet"/>
      </w:pPr>
      <w:r>
        <w:t>☐ Changing rainfall changes town transport outputs.</w:t>
      </w:r>
    </w:p>
    <w:p>
      <w:pPr>
        <w:pStyle w:val="ListBullet"/>
      </w:pPr>
      <w:r>
        <w:t>☐ Transport delay changes on-time access estimates and LAI.</w:t>
      </w:r>
    </w:p>
    <w:p>
      <w:pPr>
        <w:pStyle w:val="ListBullet"/>
      </w:pPr>
      <w:r>
        <w:t>☐ Heat/power changes affect modeled cooling and classroom functionality.</w:t>
      </w:r>
    </w:p>
    <w:p>
      <w:pPr>
        <w:pStyle w:val="ListBullet"/>
      </w:pPr>
      <w:r>
        <w:t>☐ LAI formula and units match between frontend and backend.</w:t>
      </w:r>
    </w:p>
    <w:p>
      <w:pPr>
        <w:pStyle w:val="ListBullet"/>
      </w:pPr>
      <w:r>
        <w:t>☐ All three interventions are re-simulated against the same baseline.</w:t>
      </w:r>
    </w:p>
    <w:p>
      <w:pPr>
        <w:pStyle w:val="ListBullet"/>
      </w:pPr>
      <w:r>
        <w:t>☐ Cost, CO₂e, thresholds, and risk scores disclose assumptions.</w:t>
      </w:r>
    </w:p>
    <w:p>
      <w:pPr>
        <w:pStyle w:val="ListBullet"/>
      </w:pPr>
      <w:r>
        <w:t>☐ Prediction inputs validate; identical inputs yield identical outputs.</w:t>
      </w:r>
    </w:p>
    <w:p>
      <w:pPr>
        <w:pStyle w:val="ListBullet"/>
      </w:pPr>
      <w:r>
        <w:t>☐ Tampered and replayed events are rejected and cannot change trusted simulation state.</w:t>
      </w:r>
    </w:p>
    <w:p>
      <w:pPr>
        <w:pStyle w:val="ListBullet"/>
      </w:pPr>
      <w:r>
        <w:t>☐ Audit-chain verification detects a modified record.</w:t>
      </w:r>
    </w:p>
    <w:p>
      <w:pPr>
        <w:pStyle w:val="ListBullet"/>
      </w:pPr>
      <w:r>
        <w:t>☐ An additional twin loads from a configuration file.</w:t>
      </w:r>
    </w:p>
    <w:p>
      <w:pPr>
        <w:pStyle w:val="ListBullet"/>
      </w:pPr>
      <w:r>
        <w:t>☐ API offline/errors are handled gracefully; demo mode remains usable.</w:t>
      </w:r>
    </w:p>
    <w:p>
      <w:pPr>
        <w:pStyle w:val="ListBullet"/>
      </w:pPr>
      <w:r>
        <w:t>☐ Charts and tables remain readable on mobile and keyboard navigation works.</w:t>
      </w:r>
    </w:p>
    <w:p>
      <w:pPr>
        <w:pStyle w:val="ListBullet"/>
      </w:pPr>
      <w:r>
        <w:t>☐ All synthetic data is visibly labelled and not confused with real alerts.</w:t>
      </w:r>
    </w:p>
    <w:p>
      <w:pPr>
        <w:pStyle w:val="Heading1"/>
      </w:pPr>
      <w:r>
        <w:t>23. Build roadmap</w:t>
      </w:r>
    </w:p>
    <w:p>
      <w:pPr>
        <w:pStyle w:val="ListNumber"/>
      </w:pPr>
      <w:r>
        <w:t>Define shared schemas, twin configuration, units, synthetic normal-day data, and one disruption.</w:t>
      </w:r>
    </w:p>
    <w:p>
      <w:pPr>
        <w:pStyle w:val="ListNumber"/>
      </w:pPr>
      <w:r>
        <w:t>Implement and test town/campus simulation and cascade propagation.</w:t>
      </w:r>
    </w:p>
    <w:p>
      <w:pPr>
        <w:pStyle w:val="ListNumber"/>
      </w:pPr>
      <w:r>
        <w:t>Implement LAI and verify the formula with hand-calculated test cases.</w:t>
      </w:r>
    </w:p>
    <w:p>
      <w:pPr>
        <w:pStyle w:val="ListNumber"/>
      </w:pPr>
      <w:r>
        <w:t>Implement three intervention re-simulations and transparent cost/carbon calculations.</w:t>
      </w:r>
    </w:p>
    <w:p>
      <w:pPr>
        <w:pStyle w:val="ListNumber"/>
      </w:pPr>
      <w:r>
        <w:t>Implement signing, event verification, rejection, and audit-chain verification.</w:t>
      </w:r>
    </w:p>
    <w:p>
      <w:pPr>
        <w:pStyle w:val="ListNumber"/>
      </w:pPr>
      <w:r>
        <w:t>Expose simulation and trust logic through FastAPI; persist runs and events in SQLite.</w:t>
      </w:r>
    </w:p>
    <w:p>
      <w:pPr>
        <w:pStyle w:val="ListNumber"/>
      </w:pPr>
      <w:r>
        <w:t>Build the responsive frontend around typed service interfaces, starting with Overview and Scenario Lab.</w:t>
      </w:r>
    </w:p>
    <w:p>
      <w:pPr>
        <w:pStyle w:val="ListNumber"/>
      </w:pPr>
      <w:r>
        <w:t>Complete monitoring pages, Intervention Center, Twin Explorer, and Trust Center.</w:t>
      </w:r>
    </w:p>
    <w:p>
      <w:pPr>
        <w:pStyle w:val="ListNumber"/>
      </w:pPr>
      <w:r>
        <w:t>Run end-to-end tests, seed deterministic demo data, and document setup/deployment.</w:t>
      </w:r>
    </w:p>
    <w:p>
      <w:pPr>
        <w:pStyle w:val="Heading1"/>
      </w:pPr>
      <w:r>
        <w:t>24. Two-minute demonstration plan</w:t>
      </w:r>
    </w:p>
    <w:p>
      <w:pPr>
        <w:pStyle w:val="ListNumber"/>
      </w:pPr>
      <w:r>
        <w:t>Start in normal conditions and show town/campus status, sensor integrity, and baseline LAI.</w:t>
      </w:r>
    </w:p>
    <w:p>
      <w:pPr>
        <w:pStyle w:val="ListNumber"/>
      </w:pPr>
      <w:r>
        <w:t>Choose a heavy-rain scenario with high humidity and a modeled power disruption.</w:t>
      </w:r>
    </w:p>
    <w:p>
      <w:pPr>
        <w:pStyle w:val="ListNumber"/>
      </w:pPr>
      <w:r>
        <w:t>Run the scenario and show the weather → transport → campus → LAI cascade.</w:t>
      </w:r>
    </w:p>
    <w:p>
      <w:pPr>
        <w:pStyle w:val="ListNumber"/>
      </w:pPr>
      <w:r>
        <w:t>Compare extra bus, shifted school hours, and off-peak pre-cooling using actual re-simulation outputs.</w:t>
      </w:r>
    </w:p>
    <w:p>
      <w:pPr>
        <w:pStyle w:val="ListNumber"/>
      </w:pPr>
      <w:r>
        <w:t>Modify a signed flood reading and show the signature failure, rejection, and unchanged trusted simulation.</w:t>
      </w:r>
    </w:p>
    <w:p>
      <w:pPr>
        <w:pStyle w:val="ListNumber"/>
      </w:pPr>
      <w:r>
        <w:t>Load a third twin from configuration and show that it appears without rewriting the engine.</w:t>
      </w:r>
    </w:p>
    <w:p>
      <w:r>
        <w:t>Demonstration integrity: the Tamil Nadu northeast-monsoon setting may be used as a recognizable scenario, but simulated conditions must never be presented as observed weather or an official warning.</w:t>
      </w:r>
    </w:p>
    <w:p>
      <w:pPr>
        <w:pStyle w:val="Heading1"/>
      </w:pPr>
      <w:r>
        <w:t>25. Final master instruction to the coding agent</w:t>
      </w:r>
    </w:p>
    <w:p>
      <w:r>
        <w:t>Act as a senior full-stack engineer, simulation engineer, security engineer, and product designer. Build PulseTwin according to this specification. Do not stop at a static mockup. Deliver runnable source code, modular components, synthetic data, typed service contracts, tests, a README, and an .env.example. Prioritize the complete end-to-end vertical slice before expanding secondary features. Use honest demo labels, deterministic calculations, meaningful empty/error states, and real interactions. Do not claim an ML model is trained or live data is connected unless it actually is. After implementation, report what works, how to run it, which tests were run, and any remaining limitations.</w:t>
      </w:r>
    </w:p>
    <w:p>
      <w:pPr>
        <w:pStyle w:val="Heading1"/>
      </w:pPr>
      <w:r>
        <w:t>26. Recommendation and decision summary</w:t>
      </w:r>
    </w:p>
    <w:p>
      <w:r>
        <w:t>Recommended direction: merge the premium monitoring dashboard with the connected digital-twin engineering core. Use the original prompt for the visual experience and breadth of monitoring pages; use the roadmap for the causal simulation, LAI, intervention optimization, cryptographic trust, backend contracts, and testing discipline.</w:t>
      </w:r>
    </w:p>
    <w:p>
      <w:pPr>
        <w:pStyle w:val="ListBullet"/>
      </w:pPr>
      <w:r>
        <w:t>First prove the core product loop; do not build every page before the simulation works.</w:t>
      </w:r>
    </w:p>
    <w:p>
      <w:pPr>
        <w:pStyle w:val="ListBullet"/>
      </w:pPr>
      <w:r>
        <w:t>Keep the no-backend demo path reliable, then switch to FastAPI through a service adapter.</w:t>
      </w:r>
    </w:p>
    <w:p>
      <w:pPr>
        <w:pStyle w:val="ListBullet"/>
      </w:pPr>
      <w:r>
        <w:t>Use LAI as the primary education outcome and explain any additional continuity score.</w:t>
      </w:r>
    </w:p>
    <w:p>
      <w:pPr>
        <w:pStyle w:val="ListBullet"/>
      </w:pPr>
      <w:r>
        <w:t>Use real re-simulation outputs for intervention rankings; never hard-code the winning intervention.</w:t>
      </w:r>
    </w:p>
    <w:p>
      <w:pPr>
        <w:pStyle w:val="ListBullet"/>
      </w:pPr>
      <w:r>
        <w:t>Treat security and data quality as demonstrable workflows, not decorative badges.</w:t>
      </w:r>
    </w:p>
    <w:p>
      <w:pPr>
        <w:pStyle w:val="ListBullet"/>
      </w:pPr>
      <w:r>
        <w:t>Keep the UI polished but subordinate visual effects to clarity, causality, and trust.</w:t>
      </w:r>
    </w:p>
    <w:p>
      <w:r>
        <w:t>This document is a consolidated specification, not evidence that the application has already been implemented or tested.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PulseTwin • Complete Development Specification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A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E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25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6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