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44"/>
        </w:rPr>
        <w:t>AmbiEye: Comprehensive Technical &amp; Logical Defense Dossier</w:t>
      </w:r>
    </w:p>
    <w:p>
      <w:pPr>
        <w:spacing w:after="320"/>
      </w:pPr>
      <w:r>
        <w:rPr>
          <w:i/>
          <w:color w:val="0EA5E9"/>
          <w:sz w:val="24"/>
        </w:rPr>
        <w:t>Complete System Architecture, Tech Stack Evaluation (Why/How/Where) &amp; Master Inspection Q&amp;A Bank</w:t>
      </w:r>
    </w:p>
    <w:tbl>
      <w:tblPr>
        <w:tblW w:type="auto" w:w="0"/>
        <w:jc w:val="center"/>
        <w:tblLook w:firstColumn="1" w:firstRow="1" w:lastColumn="0" w:lastRow="0" w:noHBand="0" w:noVBand="1" w:val="04A0"/>
      </w:tblPr>
      <w:tblGrid>
        <w:gridCol w:w="3360"/>
        <w:gridCol w:w="3360"/>
        <w:gridCol w:w="3360"/>
      </w:tblGrid>
      <w:tr>
        <w:tc>
          <w:tcPr>
            <w:tcW w:type="dxa" w:w="3360"/>
            <w:shd w:fill="F1F5F9"/>
            <w:tcMar>
              <w:top w:w="80" w:type="dxa"/>
              <w:bottom w:w="80" w:type="dxa"/>
              <w:left w:w="100" w:type="dxa"/>
              <w:right w:w="100" w:type="dxa"/>
            </w:tcMar>
          </w:tcPr>
          <w:p>
            <w:pPr>
              <w:spacing w:before="40" w:after="40" w:line="264" w:lineRule="auto"/>
            </w:pPr>
            <w:r>
              <w:rPr>
                <w:rFonts w:ascii="Calibri" w:hAnsi="Calibri"/>
                <w:b/>
                <w:color w:val="475569"/>
                <w:sz w:val="18"/>
              </w:rPr>
              <w:t>Author / Project: AmbiEye</w:t>
            </w:r>
          </w:p>
        </w:tc>
        <w:tc>
          <w:tcPr>
            <w:tcW w:type="dxa" w:w="3360"/>
            <w:shd w:fill="F1F5F9"/>
            <w:tcMar>
              <w:top w:w="80" w:type="dxa"/>
              <w:bottom w:w="80" w:type="dxa"/>
              <w:left w:w="100" w:type="dxa"/>
              <w:right w:w="100" w:type="dxa"/>
            </w:tcMar>
          </w:tcPr>
          <w:p>
            <w:pPr>
              <w:spacing w:before="40" w:after="40" w:line="264" w:lineRule="auto"/>
            </w:pPr>
            <w:r>
              <w:rPr>
                <w:rFonts w:ascii="Calibri" w:hAnsi="Calibri"/>
                <w:b/>
                <w:color w:val="475569"/>
                <w:sz w:val="18"/>
              </w:rPr>
              <w:t>Domain: Ophthalmology &amp; Vision Therapy</w:t>
            </w:r>
          </w:p>
        </w:tc>
        <w:tc>
          <w:tcPr>
            <w:tcW w:type="dxa" w:w="3360"/>
            <w:shd w:fill="F1F5F9"/>
            <w:tcMar>
              <w:top w:w="80" w:type="dxa"/>
              <w:bottom w:w="80" w:type="dxa"/>
              <w:left w:w="100" w:type="dxa"/>
              <w:right w:w="100" w:type="dxa"/>
            </w:tcMar>
          </w:tcPr>
          <w:p>
            <w:pPr>
              <w:spacing w:before="40" w:after="40" w:line="264" w:lineRule="auto"/>
            </w:pPr>
            <w:r>
              <w:rPr>
                <w:rFonts w:ascii="Calibri" w:hAnsi="Calibri"/>
                <w:b/>
                <w:color w:val="475569"/>
                <w:sz w:val="18"/>
              </w:rPr>
              <w:t>Target: Technical Inspection / Viva</w:t>
            </w:r>
          </w:p>
        </w:tc>
      </w:tr>
    </w:tbl>
    <w:p/>
    <w:p>
      <w:pPr>
        <w:pStyle w:val="Heading1"/>
      </w:pPr>
      <w:r>
        <w:rPr>
          <w:color w:val="0F172A"/>
        </w:rPr>
        <w:t>1. Executive Summary &amp; 60-Second Elevator Pitch</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180" w:type="dxa"/>
            </w:tcMar>
            <w:tcBorders>
              <w:top w:val="none"/>
              <w:left w:val="single" w:sz="36" w:space="0" w:color="0EA5E9"/>
              <w:bottom w:val="none"/>
              <w:right w:val="none"/>
            </w:tcBorders>
          </w:tcPr>
          <w:p>
            <w:pPr>
              <w:spacing w:before="40" w:after="40" w:line="276" w:lineRule="auto"/>
            </w:pPr>
            <w:r>
              <w:rPr>
                <w:rFonts w:ascii="Calibri" w:hAnsi="Calibri"/>
                <w:b/>
                <w:color w:val="0EA5E9"/>
                <w:sz w:val="22"/>
              </w:rPr>
              <w:t>HOW TO INTRODUCE AMBIEYE IN 60 SECONDS WITH AUTHORITY:</w:t>
              <w:br/>
            </w:r>
            <w:r>
              <w:rPr>
                <w:rFonts w:ascii="Calibri" w:hAnsi="Calibri"/>
                <w:i/>
                <w:color w:val="1E293B"/>
                <w:sz w:val="21"/>
              </w:rPr>
              <w:t>AmbiEye is a full-stack, dual-application ophthalmology practice management and digital vision therapy platform tailored specifically for amblyopia ('lazy eye') rehabilitation and clinical patient monitoring.</w:t>
              <w:br/>
              <w:br/>
              <w:t>Unlike generic clinic software, AmbiEye integrates a cross-platform mobile client (React Native/Expo) with a computer vision-powered eye-tracking microservice (Python FastAPI + OpenCV) and a secure backend infrastructure (PHP 8.1 FPM / MySQL alongside high-concurrency Go / MongoDB). During gamified vision therapy sessions, the patient's front-facing camera records ocular movement; our CV engine processes ocular displacement using Otsu adaptive thresholding and Haar cascades to objectively score motor compliance. Doctors receive clinical dashboards with longitudinal compliance data, visit records, and secure asynchronous medical triage.</w:t>
            </w:r>
          </w:p>
        </w:tc>
      </w:tr>
    </w:tbl>
    <w:p/>
    <w:p>
      <w:pPr>
        <w:pStyle w:val="Heading1"/>
      </w:pPr>
      <w:r>
        <w:rPr>
          <w:color w:val="0F172A"/>
        </w:rPr>
        <w:t>2. System Architecture &amp; Logical Data Flow</w:t>
      </w:r>
    </w:p>
    <w:p>
      <w:r>
        <w:t>AmbiEye is designed as a decoupled, multi-tier distributed system comprising two distinct mobile user roles (Doctor and Patient), an asynchronous RESTful API layer, a specialized Computer Vision processing microservice, and a reliable relational and document database tier.</w:t>
      </w:r>
    </w:p>
    <w:p>
      <w:pPr>
        <w:pStyle w:val="Heading2"/>
      </w:pPr>
      <w:r>
        <w:t>A. Vision Therapy &amp; Computer Vision Eye-Tracking Flow</w:t>
      </w:r>
    </w:p>
    <w:p>
      <w:pPr>
        <w:pStyle w:val="ListNumber"/>
      </w:pPr>
      <w:r>
        <w:rPr>
          <w:b/>
          <w:color w:val="0EA5E9"/>
        </w:rPr>
        <w:t xml:space="preserve">1. Game Selection &amp; Launch: </w:t>
      </w:r>
      <w:r>
        <w:t>The patient launches an ocular motor game (e.g., Clockwise, Anti-Clockwise, Eyeball, Target-Direction, or Alphabet-Objects).</w:t>
      </w:r>
    </w:p>
    <w:p>
      <w:pPr>
        <w:pStyle w:val="ListNumber"/>
      </w:pPr>
      <w:r>
        <w:rPr>
          <w:b/>
          <w:color w:val="0EA5E9"/>
        </w:rPr>
        <w:t xml:space="preserve">2. Camera Sensor Initialization: </w:t>
      </w:r>
      <w:r>
        <w:t>The mobile client uses expo-camera to access the device's front-facing sensor with appropriate camera and audio permissions.</w:t>
      </w:r>
    </w:p>
    <w:p>
      <w:pPr>
        <w:pStyle w:val="ListNumber"/>
      </w:pPr>
      <w:r>
        <w:rPr>
          <w:b/>
          <w:color w:val="0EA5E9"/>
        </w:rPr>
        <w:t xml:space="preserve">3. Visual Stimulus Trajectory: </w:t>
      </w:r>
      <w:r>
        <w:t>The patient actively tracks visual targets designed to exercise the extraocular muscles (medial/lateral recti, obliques).</w:t>
      </w:r>
    </w:p>
    <w:p>
      <w:pPr>
        <w:pStyle w:val="ListNumber"/>
      </w:pPr>
      <w:r>
        <w:rPr>
          <w:b/>
          <w:color w:val="0EA5E9"/>
        </w:rPr>
        <w:t xml:space="preserve">4. Video Upload &amp; Ingestion: </w:t>
      </w:r>
      <w:r>
        <w:t>The recorded session video is streamed via multipart/form-data to the Python FastAPI microservice (/analyse-eye-movement).</w:t>
      </w:r>
    </w:p>
    <w:p>
      <w:pPr>
        <w:pStyle w:val="ListNumber"/>
      </w:pPr>
      <w:r>
        <w:rPr>
          <w:b/>
          <w:color w:val="0EA5E9"/>
        </w:rPr>
        <w:t xml:space="preserve">5. Frame Extraction &amp; Downsampling: </w:t>
      </w:r>
      <w:r>
        <w:t>The video is decoded at 15 FPS (ANALYSIS_FPS=15), eliminating redundant frame compute.</w:t>
      </w:r>
    </w:p>
    <w:p>
      <w:pPr>
        <w:pStyle w:val="ListNumber"/>
      </w:pPr>
      <w:r>
        <w:rPr>
          <w:b/>
          <w:color w:val="0EA5E9"/>
        </w:rPr>
        <w:t xml:space="preserve">6. Facial Landmark &amp; Eye ROI Bounding: </w:t>
      </w:r>
      <w:r>
        <w:t>haarcascade_frontalface_default.xml isolates the child's face. The upper quadrant is localized, and haarcascade_eye.xml (or haarcascade_eye_tree_eyeglasses.xml) pinpoints the ocular regions.</w:t>
      </w:r>
    </w:p>
    <w:p>
      <w:pPr>
        <w:pStyle w:val="ListNumber"/>
      </w:pPr>
      <w:r>
        <w:rPr>
          <w:b/>
          <w:color w:val="0EA5E9"/>
        </w:rPr>
        <w:t xml:space="preserve">7. Otsu Adaptive Thresholding: </w:t>
      </w:r>
      <w:r>
        <w:t>Gaussian blur strips high-frequency artifacts. Otsu's adaptive thresholding dynamically separates the dark pupil contour regardless of varying room lighting conditions.</w:t>
      </w:r>
    </w:p>
    <w:p>
      <w:pPr>
        <w:pStyle w:val="ListNumber"/>
      </w:pPr>
      <w:r>
        <w:rPr>
          <w:b/>
          <w:color w:val="0EA5E9"/>
        </w:rPr>
        <w:t xml:space="preserve">8. Face-Relative Normalization &amp; Median Smoothing: </w:t>
      </w:r>
      <w:r>
        <w:t>Pupil coordinates are normalized against the face frame (preventing head tilt from registering as eye movement). A 3-frame rolling median filter eliminates blink artifacts and single-frame jitter.</w:t>
      </w:r>
    </w:p>
    <w:p>
      <w:pPr>
        <w:pStyle w:val="ListNumber"/>
      </w:pPr>
      <w:r>
        <w:rPr>
          <w:b/>
          <w:color w:val="0EA5E9"/>
        </w:rPr>
        <w:t xml:space="preserve">9. Stride Displacement Calculation: </w:t>
      </w:r>
      <w:r>
        <w:t>Point shifts are computed across a 5-frame stride (COMPARISON_STRIDE=5). If displacement exceeds 8 pixels (~3-5% of face width), it registers as an active tracking saccade.</w:t>
      </w:r>
    </w:p>
    <w:p>
      <w:pPr>
        <w:pStyle w:val="ListNumber"/>
      </w:pPr>
      <w:r>
        <w:rPr>
          <w:b/>
          <w:color w:val="0EA5E9"/>
        </w:rPr>
        <w:t xml:space="preserve">10. Automated Clinical Verdict: </w:t>
      </w:r>
      <w:r>
        <w:t>The engine returns a verdict (good | partial | none | no_face) along with movement count and average displacement, which is saved via POST /api/games/results into the patient's EHR.</w:t>
      </w:r>
    </w:p>
    <w:p>
      <w:pPr>
        <w:pStyle w:val="Heading2"/>
      </w:pPr>
      <w:r>
        <w:t>B. Clinical Consultation &amp; Asynchronous Triage Flow</w:t>
      </w:r>
    </w:p>
    <w:p>
      <w:pPr>
        <w:pStyle w:val="ListNumber"/>
      </w:pPr>
      <w:r>
        <w:rPr>
          <w:b/>
          <w:color w:val="8B5CF6"/>
        </w:rPr>
        <w:t xml:space="preserve">1. Query Submission: </w:t>
      </w:r>
      <w:r>
        <w:t>The patient logs an ocular concern or symptom query (POST /api/queries) with urgency weighting (low, medium, high).</w:t>
      </w:r>
    </w:p>
    <w:p>
      <w:pPr>
        <w:pStyle w:val="ListNumber"/>
      </w:pPr>
      <w:r>
        <w:rPr>
          <w:b/>
          <w:color w:val="8B5CF6"/>
        </w:rPr>
        <w:t xml:space="preserve">2. Token Validation &amp; RBAC: </w:t>
      </w:r>
      <w:r>
        <w:t>The backend validates the Bearer JWT token, extracting the patient's identity and checking active permissions.</w:t>
      </w:r>
    </w:p>
    <w:p>
      <w:pPr>
        <w:pStyle w:val="ListNumber"/>
      </w:pPr>
      <w:r>
        <w:rPr>
          <w:b/>
          <w:color w:val="8B5CF6"/>
        </w:rPr>
        <w:t xml:space="preserve">3. Doctor Dashboard Notification: </w:t>
      </w:r>
      <w:r>
        <w:t>The assigned ophthalmologist logs in (GET /api/doctor/dashboard), seeing real-time metrics of pending queries, today's therapy sessions, and patient rosters.</w:t>
      </w:r>
    </w:p>
    <w:p>
      <w:pPr>
        <w:pStyle w:val="ListNumber"/>
      </w:pPr>
      <w:r>
        <w:rPr>
          <w:b/>
          <w:color w:val="8B5CF6"/>
        </w:rPr>
        <w:t xml:space="preserve">4. Diagnostic Review: </w:t>
      </w:r>
      <w:r>
        <w:t>The doctor inspects the patient's longitudinal game compliance, past visit records (visitRecords JSON), and medical history.</w:t>
      </w:r>
    </w:p>
    <w:p>
      <w:pPr>
        <w:pStyle w:val="ListNumber"/>
      </w:pPr>
      <w:r>
        <w:rPr>
          <w:b/>
          <w:color w:val="8B5CF6"/>
        </w:rPr>
        <w:t xml:space="preserve">5. Secure Response &amp; Closure: </w:t>
      </w:r>
      <w:r>
        <w:t>The doctor answers the query via PUT /api/queries/:id/answer, updating query status from 'pending' to 'answered'.</w:t>
      </w:r>
    </w:p>
    <w:p>
      <w:pPr>
        <w:pStyle w:val="Heading1"/>
      </w:pPr>
      <w:r>
        <w:rPr>
          <w:color w:val="0F172A"/>
        </w:rPr>
        <w:t>3. Comprehensive Tech Stack Breakdown (Why, How, Where)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EA5E9"/>
            <w:tcMar>
              <w:top w:w="80" w:type="dxa"/>
              <w:bottom w:w="80" w:type="dxa"/>
              <w:left w:w="100" w:type="dxa"/>
              <w:right w:w="100" w:type="dxa"/>
            </w:tcMar>
          </w:tcPr>
          <w:p>
            <w:pPr>
              <w:spacing w:before="40" w:after="40" w:line="264" w:lineRule="auto"/>
            </w:pPr>
            <w:r>
              <w:rPr>
                <w:rFonts w:ascii="Calibri" w:hAnsi="Calibri"/>
                <w:b/>
                <w:color w:val="FFFFFF"/>
                <w:sz w:val="19"/>
              </w:rPr>
              <w:t>Technology</w:t>
            </w:r>
          </w:p>
        </w:tc>
        <w:tc>
          <w:tcPr>
            <w:tcW w:type="dxa" w:w="1584"/>
            <w:shd w:fill="0EA5E9"/>
            <w:tcMar>
              <w:top w:w="80" w:type="dxa"/>
              <w:bottom w:w="80" w:type="dxa"/>
              <w:left w:w="100" w:type="dxa"/>
              <w:right w:w="100" w:type="dxa"/>
            </w:tcMar>
          </w:tcPr>
          <w:p>
            <w:pPr>
              <w:spacing w:before="40" w:after="40" w:line="264" w:lineRule="auto"/>
            </w:pPr>
            <w:r>
              <w:rPr>
                <w:rFonts w:ascii="Calibri" w:hAnsi="Calibri"/>
                <w:b/>
                <w:color w:val="FFFFFF"/>
                <w:sz w:val="19"/>
              </w:rPr>
              <w:t>Where It Runs</w:t>
            </w:r>
          </w:p>
        </w:tc>
        <w:tc>
          <w:tcPr>
            <w:tcW w:type="dxa" w:w="2448"/>
            <w:shd w:fill="0EA5E9"/>
            <w:tcMar>
              <w:top w:w="80" w:type="dxa"/>
              <w:bottom w:w="80" w:type="dxa"/>
              <w:left w:w="100" w:type="dxa"/>
              <w:right w:w="100" w:type="dxa"/>
            </w:tcMar>
          </w:tcPr>
          <w:p>
            <w:pPr>
              <w:spacing w:before="40" w:after="40" w:line="264" w:lineRule="auto"/>
            </w:pPr>
            <w:r>
              <w:rPr>
                <w:rFonts w:ascii="Calibri" w:hAnsi="Calibri"/>
                <w:b/>
                <w:color w:val="FFFFFF"/>
                <w:sz w:val="19"/>
              </w:rPr>
              <w:t>How It Is Used</w:t>
            </w:r>
          </w:p>
        </w:tc>
        <w:tc>
          <w:tcPr>
            <w:tcW w:type="dxa" w:w="3600"/>
            <w:shd w:fill="0EA5E9"/>
            <w:tcMar>
              <w:top w:w="80" w:type="dxa"/>
              <w:bottom w:w="80" w:type="dxa"/>
              <w:left w:w="100" w:type="dxa"/>
              <w:right w:w="100" w:type="dxa"/>
            </w:tcMar>
          </w:tcPr>
          <w:p>
            <w:pPr>
              <w:spacing w:before="40" w:after="40" w:line="264" w:lineRule="auto"/>
            </w:pPr>
            <w:r>
              <w:rPr>
                <w:rFonts w:ascii="Calibri" w:hAnsi="Calibri"/>
                <w:b/>
                <w:color w:val="FFFFFF"/>
                <w:sz w:val="19"/>
              </w:rPr>
              <w:t>WHY Chosen Over Alternatives</w:t>
            </w:r>
          </w:p>
        </w:tc>
      </w:tr>
      <w:tr>
        <w:tc>
          <w:tcPr>
            <w:tcW w:type="dxa" w:w="1728"/>
            <w:shd w:fill="FFFFFF"/>
            <w:tcMar>
              <w:top w:w="80" w:type="dxa"/>
              <w:bottom w:w="80" w:type="dxa"/>
              <w:left w:w="100" w:type="dxa"/>
              <w:right w:w="100" w:type="dxa"/>
            </w:tcMar>
          </w:tcPr>
          <w:p>
            <w:pPr>
              <w:spacing w:before="40" w:after="40" w:line="264" w:lineRule="auto"/>
            </w:pPr>
            <w:r>
              <w:rPr>
                <w:rFonts w:ascii="Calibri" w:hAnsi="Calibri"/>
                <w:b w:val="0"/>
                <w:color w:val="1E293B"/>
                <w:sz w:val="17"/>
              </w:rPr>
              <w:t>MySQL 8.0</w:t>
            </w:r>
          </w:p>
        </w:tc>
        <w:tc>
          <w:tcPr>
            <w:tcW w:type="dxa" w:w="1584"/>
            <w:shd w:fill="FFFFFF"/>
            <w:tcMar>
              <w:top w:w="80" w:type="dxa"/>
              <w:bottom w:w="80" w:type="dxa"/>
              <w:left w:w="100" w:type="dxa"/>
              <w:right w:w="100" w:type="dxa"/>
            </w:tcMar>
          </w:tcPr>
          <w:p>
            <w:pPr>
              <w:spacing w:before="40" w:after="40" w:line="264" w:lineRule="auto"/>
            </w:pPr>
            <w:r>
              <w:rPr>
                <w:rFonts w:ascii="Calibri" w:hAnsi="Calibri"/>
                <w:b w:val="0"/>
                <w:color w:val="1E293B"/>
                <w:sz w:val="17"/>
              </w:rPr>
              <w:t>Container (Port 3306)</w:t>
            </w:r>
          </w:p>
        </w:tc>
        <w:tc>
          <w:tcPr>
            <w:tcW w:type="dxa" w:w="2448"/>
            <w:shd w:fill="FFFFFF"/>
            <w:tcMar>
              <w:top w:w="80" w:type="dxa"/>
              <w:bottom w:w="80" w:type="dxa"/>
              <w:left w:w="100" w:type="dxa"/>
              <w:right w:w="100" w:type="dxa"/>
            </w:tcMar>
          </w:tcPr>
          <w:p>
            <w:pPr>
              <w:spacing w:before="40" w:after="40" w:line="264" w:lineRule="auto"/>
            </w:pPr>
            <w:r>
              <w:rPr>
                <w:rFonts w:ascii="Calibri" w:hAnsi="Calibri"/>
                <w:b w:val="0"/>
                <w:color w:val="1E293B"/>
                <w:sz w:val="17"/>
              </w:rPr>
              <w:t>Primary relational store for users, queries, game results, and foreign-key relations.</w:t>
            </w:r>
          </w:p>
        </w:tc>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Provides strict ACID transactions, foreign key cascades, and zero orphan records for medical compliance, combined with native JSON datatype support.</w:t>
            </w:r>
          </w:p>
        </w:tc>
      </w:tr>
      <w:tr>
        <w:tc>
          <w:tcPr>
            <w:tcW w:type="dxa" w:w="1728"/>
            <w:shd w:fill="F8FAFC"/>
            <w:tcMar>
              <w:top w:w="80" w:type="dxa"/>
              <w:bottom w:w="80" w:type="dxa"/>
              <w:left w:w="100" w:type="dxa"/>
              <w:right w:w="100" w:type="dxa"/>
            </w:tcMar>
          </w:tcPr>
          <w:p>
            <w:pPr>
              <w:spacing w:before="40" w:after="40" w:line="264" w:lineRule="auto"/>
            </w:pPr>
            <w:r>
              <w:rPr>
                <w:rFonts w:ascii="Calibri" w:hAnsi="Calibri"/>
                <w:b w:val="0"/>
                <w:color w:val="1E293B"/>
                <w:sz w:val="17"/>
              </w:rPr>
              <w:t>MongoDB</w:t>
            </w:r>
          </w:p>
        </w:tc>
        <w:tc>
          <w:tcPr>
            <w:tcW w:type="dxa" w:w="1584"/>
            <w:shd w:fill="F8FAFC"/>
            <w:tcMar>
              <w:top w:w="80" w:type="dxa"/>
              <w:bottom w:w="80" w:type="dxa"/>
              <w:left w:w="100" w:type="dxa"/>
              <w:right w:w="100" w:type="dxa"/>
            </w:tcMar>
          </w:tcPr>
          <w:p>
            <w:pPr>
              <w:spacing w:before="40" w:after="40" w:line="264" w:lineRule="auto"/>
            </w:pPr>
            <w:r>
              <w:rPr>
                <w:rFonts w:ascii="Calibri" w:hAnsi="Calibri"/>
                <w:b w:val="0"/>
                <w:color w:val="1E293B"/>
                <w:sz w:val="17"/>
              </w:rPr>
              <w:t>Service (Port 27017)</w:t>
            </w:r>
          </w:p>
        </w:tc>
        <w:tc>
          <w:tcPr>
            <w:tcW w:type="dxa" w:w="2448"/>
            <w:shd w:fill="F8FAFC"/>
            <w:tcMar>
              <w:top w:w="80" w:type="dxa"/>
              <w:bottom w:w="80" w:type="dxa"/>
              <w:left w:w="100" w:type="dxa"/>
              <w:right w:w="100" w:type="dxa"/>
            </w:tcMar>
          </w:tcPr>
          <w:p>
            <w:pPr>
              <w:spacing w:before="40" w:after="40" w:line="264" w:lineRule="auto"/>
            </w:pPr>
            <w:r>
              <w:rPr>
                <w:rFonts w:ascii="Calibri" w:hAnsi="Calibri"/>
                <w:b w:val="0"/>
                <w:color w:val="1E293B"/>
                <w:sz w:val="17"/>
              </w:rPr>
              <w:t>Semi-structured storage for clinical visit records and variable exam parameters.</w:t>
            </w:r>
          </w:p>
        </w:tc>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Ophthalmology diagnostics (slit-lamp, refraction, IOP, fundus) vary widely; document stores accommodate polymorphic clinical records without migrations.</w:t>
            </w:r>
          </w:p>
        </w:tc>
      </w:tr>
      <w:tr>
        <w:tc>
          <w:tcPr>
            <w:tcW w:type="dxa" w:w="1728"/>
            <w:shd w:fill="FFFFFF"/>
            <w:tcMar>
              <w:top w:w="80" w:type="dxa"/>
              <w:bottom w:w="80" w:type="dxa"/>
              <w:left w:w="100" w:type="dxa"/>
              <w:right w:w="100" w:type="dxa"/>
            </w:tcMar>
          </w:tcPr>
          <w:p>
            <w:pPr>
              <w:spacing w:before="40" w:after="40" w:line="264" w:lineRule="auto"/>
            </w:pPr>
            <w:r>
              <w:rPr>
                <w:rFonts w:ascii="Calibri" w:hAnsi="Calibri"/>
                <w:b w:val="0"/>
                <w:color w:val="1E293B"/>
                <w:sz w:val="17"/>
              </w:rPr>
              <w:t>PHP 8.1 FPM</w:t>
            </w:r>
          </w:p>
        </w:tc>
        <w:tc>
          <w:tcPr>
            <w:tcW w:type="dxa" w:w="1584"/>
            <w:shd w:fill="FFFFFF"/>
            <w:tcMar>
              <w:top w:w="80" w:type="dxa"/>
              <w:bottom w:w="80" w:type="dxa"/>
              <w:left w:w="100" w:type="dxa"/>
              <w:right w:w="100" w:type="dxa"/>
            </w:tcMar>
          </w:tcPr>
          <w:p>
            <w:pPr>
              <w:spacing w:before="40" w:after="40" w:line="264" w:lineRule="auto"/>
            </w:pPr>
            <w:r>
              <w:rPr>
                <w:rFonts w:ascii="Calibri" w:hAnsi="Calibri"/>
                <w:b w:val="0"/>
                <w:color w:val="1E293B"/>
                <w:sz w:val="17"/>
              </w:rPr>
              <w:t>Backend API (Port 5000)</w:t>
            </w:r>
          </w:p>
        </w:tc>
        <w:tc>
          <w:tcPr>
            <w:tcW w:type="dxa" w:w="2448"/>
            <w:shd w:fill="FFFFFF"/>
            <w:tcMar>
              <w:top w:w="80" w:type="dxa"/>
              <w:bottom w:w="80" w:type="dxa"/>
              <w:left w:w="100" w:type="dxa"/>
              <w:right w:w="100" w:type="dxa"/>
            </w:tcMar>
          </w:tcPr>
          <w:p>
            <w:pPr>
              <w:spacing w:before="40" w:after="40" w:line="264" w:lineRule="auto"/>
            </w:pPr>
            <w:r>
              <w:rPr>
                <w:rFonts w:ascii="Calibri" w:hAnsi="Calibri"/>
                <w:b w:val="0"/>
                <w:color w:val="1E293B"/>
                <w:sz w:val="17"/>
              </w:rPr>
              <w:t>RESTful API handling authentication, patient records, queries, and doctor workflows.</w:t>
            </w:r>
          </w:p>
        </w:tc>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FPM process isolation ensures memory leaks in one request never crash the server. Battle-tested PDO prepared statements provide robust SQL safety.</w:t>
            </w:r>
          </w:p>
        </w:tc>
      </w:tr>
      <w:tr>
        <w:tc>
          <w:tcPr>
            <w:tcW w:type="dxa" w:w="1728"/>
            <w:shd w:fill="F8FAFC"/>
            <w:tcMar>
              <w:top w:w="80" w:type="dxa"/>
              <w:bottom w:w="80" w:type="dxa"/>
              <w:left w:w="100" w:type="dxa"/>
              <w:right w:w="100" w:type="dxa"/>
            </w:tcMar>
          </w:tcPr>
          <w:p>
            <w:pPr>
              <w:spacing w:before="40" w:after="40" w:line="264" w:lineRule="auto"/>
            </w:pPr>
            <w:r>
              <w:rPr>
                <w:rFonts w:ascii="Calibri" w:hAnsi="Calibri"/>
                <w:b w:val="0"/>
                <w:color w:val="1E293B"/>
                <w:sz w:val="17"/>
              </w:rPr>
              <w:t>Golang (Gin)</w:t>
            </w:r>
          </w:p>
        </w:tc>
        <w:tc>
          <w:tcPr>
            <w:tcW w:type="dxa" w:w="1584"/>
            <w:shd w:fill="F8FAFC"/>
            <w:tcMar>
              <w:top w:w="80" w:type="dxa"/>
              <w:bottom w:w="80" w:type="dxa"/>
              <w:left w:w="100" w:type="dxa"/>
              <w:right w:w="100" w:type="dxa"/>
            </w:tcMar>
          </w:tcPr>
          <w:p>
            <w:pPr>
              <w:spacing w:before="40" w:after="40" w:line="264" w:lineRule="auto"/>
            </w:pPr>
            <w:r>
              <w:rPr>
                <w:rFonts w:ascii="Calibri" w:hAnsi="Calibri"/>
                <w:b w:val="0"/>
                <w:color w:val="1E293B"/>
                <w:sz w:val="17"/>
              </w:rPr>
              <w:t>Microservice Engine</w:t>
            </w:r>
          </w:p>
        </w:tc>
        <w:tc>
          <w:tcPr>
            <w:tcW w:type="dxa" w:w="2448"/>
            <w:shd w:fill="F8FAFC"/>
            <w:tcMar>
              <w:top w:w="80" w:type="dxa"/>
              <w:bottom w:w="80" w:type="dxa"/>
              <w:left w:w="100" w:type="dxa"/>
              <w:right w:w="100" w:type="dxa"/>
            </w:tcMar>
          </w:tcPr>
          <w:p>
            <w:pPr>
              <w:spacing w:before="40" w:after="40" w:line="264" w:lineRule="auto"/>
            </w:pPr>
            <w:r>
              <w:rPr>
                <w:rFonts w:ascii="Calibri" w:hAnsi="Calibri"/>
                <w:b w:val="0"/>
                <w:color w:val="1E293B"/>
                <w:sz w:val="17"/>
              </w:rPr>
              <w:t>High-concurrency backend module for high-throughput routing and real-time handlers.</w:t>
            </w:r>
          </w:p>
        </w:tc>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Goroutines deliver exceptional concurrency with ~15MB RAM per service, handling heavy mobile traffic spikes effortlessly.</w:t>
            </w:r>
          </w:p>
        </w:tc>
      </w:tr>
      <w:tr>
        <w:tc>
          <w:tcPr>
            <w:tcW w:type="dxa" w:w="1728"/>
            <w:shd w:fill="FFFFFF"/>
            <w:tcMar>
              <w:top w:w="80" w:type="dxa"/>
              <w:bottom w:w="80" w:type="dxa"/>
              <w:left w:w="100" w:type="dxa"/>
              <w:right w:w="100" w:type="dxa"/>
            </w:tcMar>
          </w:tcPr>
          <w:p>
            <w:pPr>
              <w:spacing w:before="40" w:after="40" w:line="264" w:lineRule="auto"/>
            </w:pPr>
            <w:r>
              <w:rPr>
                <w:rFonts w:ascii="Calibri" w:hAnsi="Calibri"/>
                <w:b w:val="0"/>
                <w:color w:val="1E293B"/>
                <w:sz w:val="17"/>
              </w:rPr>
              <w:t>React Native + Expo</w:t>
            </w:r>
          </w:p>
        </w:tc>
        <w:tc>
          <w:tcPr>
            <w:tcW w:type="dxa" w:w="1584"/>
            <w:shd w:fill="FFFFFF"/>
            <w:tcMar>
              <w:top w:w="80" w:type="dxa"/>
              <w:bottom w:w="80" w:type="dxa"/>
              <w:left w:w="100" w:type="dxa"/>
              <w:right w:w="100" w:type="dxa"/>
            </w:tcMar>
          </w:tcPr>
          <w:p>
            <w:pPr>
              <w:spacing w:before="40" w:after="40" w:line="264" w:lineRule="auto"/>
            </w:pPr>
            <w:r>
              <w:rPr>
                <w:rFonts w:ascii="Calibri" w:hAnsi="Calibri"/>
                <w:b w:val="0"/>
                <w:color w:val="1E293B"/>
                <w:sz w:val="17"/>
              </w:rPr>
              <w:t>Mobile Devices (iOS &amp; Android)</w:t>
            </w:r>
          </w:p>
        </w:tc>
        <w:tc>
          <w:tcPr>
            <w:tcW w:type="dxa" w:w="2448"/>
            <w:shd w:fill="FFFFFF"/>
            <w:tcMar>
              <w:top w:w="80" w:type="dxa"/>
              <w:bottom w:w="80" w:type="dxa"/>
              <w:left w:w="100" w:type="dxa"/>
              <w:right w:w="100" w:type="dxa"/>
            </w:tcMar>
          </w:tcPr>
          <w:p>
            <w:pPr>
              <w:spacing w:before="40" w:after="40" w:line="264" w:lineRule="auto"/>
            </w:pPr>
            <w:r>
              <w:rPr>
                <w:rFonts w:ascii="Calibri" w:hAnsi="Calibri"/>
                <w:b w:val="0"/>
                <w:color w:val="1E293B"/>
                <w:sz w:val="17"/>
              </w:rPr>
              <w:t>Cross-platform mobile client with Expo Router, Camera, and Vector Icons.</w:t>
            </w:r>
          </w:p>
        </w:tc>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Single TypeScript codebase (~95% code sharing across iOS and Android) ensures native 60 FPS performance without maintaining separate Swift/Kotlin code.</w:t>
            </w:r>
          </w:p>
        </w:tc>
      </w:tr>
      <w:tr>
        <w:tc>
          <w:tcPr>
            <w:tcW w:type="dxa" w:w="1728"/>
            <w:shd w:fill="F8FAFC"/>
            <w:tcMar>
              <w:top w:w="80" w:type="dxa"/>
              <w:bottom w:w="80" w:type="dxa"/>
              <w:left w:w="100" w:type="dxa"/>
              <w:right w:w="100" w:type="dxa"/>
            </w:tcMar>
          </w:tcPr>
          <w:p>
            <w:pPr>
              <w:spacing w:before="40" w:after="40" w:line="264" w:lineRule="auto"/>
            </w:pPr>
            <w:r>
              <w:rPr>
                <w:rFonts w:ascii="Calibri" w:hAnsi="Calibri"/>
                <w:b w:val="0"/>
                <w:color w:val="1E293B"/>
                <w:sz w:val="17"/>
              </w:rPr>
              <w:t>TypeScript</w:t>
            </w:r>
          </w:p>
        </w:tc>
        <w:tc>
          <w:tcPr>
            <w:tcW w:type="dxa" w:w="1584"/>
            <w:shd w:fill="F8FAFC"/>
            <w:tcMar>
              <w:top w:w="80" w:type="dxa"/>
              <w:bottom w:w="80" w:type="dxa"/>
              <w:left w:w="100" w:type="dxa"/>
              <w:right w:w="100" w:type="dxa"/>
            </w:tcMar>
          </w:tcPr>
          <w:p>
            <w:pPr>
              <w:spacing w:before="40" w:after="40" w:line="264" w:lineRule="auto"/>
            </w:pPr>
            <w:r>
              <w:rPr>
                <w:rFonts w:ascii="Calibri" w:hAnsi="Calibri"/>
                <w:b w:val="0"/>
                <w:color w:val="1E293B"/>
                <w:sz w:val="17"/>
              </w:rPr>
              <w:t>Mobile Codebase</w:t>
            </w:r>
          </w:p>
        </w:tc>
        <w:tc>
          <w:tcPr>
            <w:tcW w:type="dxa" w:w="2448"/>
            <w:shd w:fill="F8FAFC"/>
            <w:tcMar>
              <w:top w:w="80" w:type="dxa"/>
              <w:bottom w:w="80" w:type="dxa"/>
              <w:left w:w="100" w:type="dxa"/>
              <w:right w:w="100" w:type="dxa"/>
            </w:tcMar>
          </w:tcPr>
          <w:p>
            <w:pPr>
              <w:spacing w:before="40" w:after="40" w:line="264" w:lineRule="auto"/>
            </w:pPr>
            <w:r>
              <w:rPr>
                <w:rFonts w:ascii="Calibri" w:hAnsi="Calibri"/>
                <w:b w:val="0"/>
                <w:color w:val="1E293B"/>
                <w:sz w:val="17"/>
              </w:rPr>
              <w:t>Static type safety across API clients, navigation parameters, and UI components.</w:t>
            </w:r>
          </w:p>
        </w:tc>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Eliminates runtime undefined errors, critical in healthcare applications handling diagnostic measurements and coordinates.</w:t>
            </w:r>
          </w:p>
        </w:tc>
      </w:tr>
      <w:tr>
        <w:tc>
          <w:tcPr>
            <w:tcW w:type="dxa" w:w="1728"/>
            <w:shd w:fill="FFFFFF"/>
            <w:tcMar>
              <w:top w:w="80" w:type="dxa"/>
              <w:bottom w:w="80" w:type="dxa"/>
              <w:left w:w="100" w:type="dxa"/>
              <w:right w:w="100" w:type="dxa"/>
            </w:tcMar>
          </w:tcPr>
          <w:p>
            <w:pPr>
              <w:spacing w:before="40" w:after="40" w:line="264" w:lineRule="auto"/>
            </w:pPr>
            <w:r>
              <w:rPr>
                <w:rFonts w:ascii="Calibri" w:hAnsi="Calibri"/>
                <w:b w:val="0"/>
                <w:color w:val="1E293B"/>
                <w:sz w:val="17"/>
              </w:rPr>
              <w:t>FastAPI (Python)</w:t>
            </w:r>
          </w:p>
        </w:tc>
        <w:tc>
          <w:tcPr>
            <w:tcW w:type="dxa" w:w="1584"/>
            <w:shd w:fill="FFFFFF"/>
            <w:tcMar>
              <w:top w:w="80" w:type="dxa"/>
              <w:bottom w:w="80" w:type="dxa"/>
              <w:left w:w="100" w:type="dxa"/>
              <w:right w:w="100" w:type="dxa"/>
            </w:tcMar>
          </w:tcPr>
          <w:p>
            <w:pPr>
              <w:spacing w:before="40" w:after="40" w:line="264" w:lineRule="auto"/>
            </w:pPr>
            <w:r>
              <w:rPr>
                <w:rFonts w:ascii="Calibri" w:hAnsi="Calibri"/>
                <w:b w:val="0"/>
                <w:color w:val="1E293B"/>
                <w:sz w:val="17"/>
              </w:rPr>
              <w:t>CV Server (Port 8000)</w:t>
            </w:r>
          </w:p>
        </w:tc>
        <w:tc>
          <w:tcPr>
            <w:tcW w:type="dxa" w:w="2448"/>
            <w:shd w:fill="FFFFFF"/>
            <w:tcMar>
              <w:top w:w="80" w:type="dxa"/>
              <w:bottom w:w="80" w:type="dxa"/>
              <w:left w:w="100" w:type="dxa"/>
              <w:right w:w="100" w:type="dxa"/>
            </w:tcMar>
          </w:tcPr>
          <w:p>
            <w:pPr>
              <w:spacing w:before="40" w:after="40" w:line="264" w:lineRule="auto"/>
            </w:pPr>
            <w:r>
              <w:rPr>
                <w:rFonts w:ascii="Calibri" w:hAnsi="Calibri"/>
                <w:b w:val="0"/>
                <w:color w:val="1E293B"/>
                <w:sz w:val="17"/>
              </w:rPr>
              <w:t>Video upload ingestion and asynchronous execution of computer vision pipeline.</w:t>
            </w:r>
          </w:p>
        </w:tc>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Native asynchronous non-blocking event loop (async def) with direct, zero-overhead bindings to scientific C-libraries (OpenCV/NumPy).</w:t>
            </w:r>
          </w:p>
        </w:tc>
      </w:tr>
      <w:tr>
        <w:tc>
          <w:tcPr>
            <w:tcW w:type="dxa" w:w="1728"/>
            <w:shd w:fill="F8FAFC"/>
            <w:tcMar>
              <w:top w:w="80" w:type="dxa"/>
              <w:bottom w:w="80" w:type="dxa"/>
              <w:left w:w="100" w:type="dxa"/>
              <w:right w:w="100" w:type="dxa"/>
            </w:tcMar>
          </w:tcPr>
          <w:p>
            <w:pPr>
              <w:spacing w:before="40" w:after="40" w:line="264" w:lineRule="auto"/>
            </w:pPr>
            <w:r>
              <w:rPr>
                <w:rFonts w:ascii="Calibri" w:hAnsi="Calibri"/>
                <w:b w:val="0"/>
                <w:color w:val="1E293B"/>
                <w:sz w:val="17"/>
              </w:rPr>
              <w:t>OpenCV (Haar + Otsu)</w:t>
            </w:r>
          </w:p>
        </w:tc>
        <w:tc>
          <w:tcPr>
            <w:tcW w:type="dxa" w:w="1584"/>
            <w:shd w:fill="F8FAFC"/>
            <w:tcMar>
              <w:top w:w="80" w:type="dxa"/>
              <w:bottom w:w="80" w:type="dxa"/>
              <w:left w:w="100" w:type="dxa"/>
              <w:right w:w="100" w:type="dxa"/>
            </w:tcMar>
          </w:tcPr>
          <w:p>
            <w:pPr>
              <w:spacing w:before="40" w:after="40" w:line="264" w:lineRule="auto"/>
            </w:pPr>
            <w:r>
              <w:rPr>
                <w:rFonts w:ascii="Calibri" w:hAnsi="Calibri"/>
                <w:b w:val="0"/>
                <w:color w:val="1E293B"/>
                <w:sz w:val="17"/>
              </w:rPr>
              <w:t>CV Pipeline</w:t>
            </w:r>
          </w:p>
        </w:tc>
        <w:tc>
          <w:tcPr>
            <w:tcW w:type="dxa" w:w="2448"/>
            <w:shd w:fill="F8FAFC"/>
            <w:tcMar>
              <w:top w:w="80" w:type="dxa"/>
              <w:bottom w:w="80" w:type="dxa"/>
              <w:left w:w="100" w:type="dxa"/>
              <w:right w:w="100" w:type="dxa"/>
            </w:tcMar>
          </w:tcPr>
          <w:p>
            <w:pPr>
              <w:spacing w:before="40" w:after="40" w:line="264" w:lineRule="auto"/>
            </w:pPr>
            <w:r>
              <w:rPr>
                <w:rFonts w:ascii="Calibri" w:hAnsi="Calibri"/>
                <w:b w:val="0"/>
                <w:color w:val="1E293B"/>
                <w:sz w:val="17"/>
              </w:rPr>
              <w:t>Face detection, ocular ROI cropping, and pupil centroid extraction.</w:t>
            </w:r>
          </w:p>
        </w:tc>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Runs at 15-30 FPS on standard CPUs without costly GPU hardware, preserving low latency and zero recurring cloud ML costs.</w:t>
            </w:r>
          </w:p>
        </w:tc>
      </w:tr>
      <w:tr>
        <w:tc>
          <w:tcPr>
            <w:tcW w:type="dxa" w:w="1728"/>
            <w:shd w:fill="FFFFFF"/>
            <w:tcMar>
              <w:top w:w="80" w:type="dxa"/>
              <w:bottom w:w="80" w:type="dxa"/>
              <w:left w:w="100" w:type="dxa"/>
              <w:right w:w="100" w:type="dxa"/>
            </w:tcMar>
          </w:tcPr>
          <w:p>
            <w:pPr>
              <w:spacing w:before="40" w:after="40" w:line="264" w:lineRule="auto"/>
            </w:pPr>
            <w:r>
              <w:rPr>
                <w:rFonts w:ascii="Calibri" w:hAnsi="Calibri"/>
                <w:b w:val="0"/>
                <w:color w:val="1E293B"/>
                <w:sz w:val="17"/>
              </w:rPr>
              <w:t>Docker &amp; Compose</w:t>
            </w:r>
          </w:p>
        </w:tc>
        <w:tc>
          <w:tcPr>
            <w:tcW w:type="dxa" w:w="1584"/>
            <w:shd w:fill="FFFFFF"/>
            <w:tcMar>
              <w:top w:w="80" w:type="dxa"/>
              <w:bottom w:w="80" w:type="dxa"/>
              <w:left w:w="100" w:type="dxa"/>
              <w:right w:w="100" w:type="dxa"/>
            </w:tcMar>
          </w:tcPr>
          <w:p>
            <w:pPr>
              <w:spacing w:before="40" w:after="40" w:line="264" w:lineRule="auto"/>
            </w:pPr>
            <w:r>
              <w:rPr>
                <w:rFonts w:ascii="Calibri" w:hAnsi="Calibri"/>
                <w:b w:val="0"/>
                <w:color w:val="1E293B"/>
                <w:sz w:val="17"/>
              </w:rPr>
              <w:t>Infrastructure</w:t>
            </w:r>
          </w:p>
        </w:tc>
        <w:tc>
          <w:tcPr>
            <w:tcW w:type="dxa" w:w="2448"/>
            <w:shd w:fill="FFFFFF"/>
            <w:tcMar>
              <w:top w:w="80" w:type="dxa"/>
              <w:bottom w:w="80" w:type="dxa"/>
              <w:left w:w="100" w:type="dxa"/>
              <w:right w:w="100" w:type="dxa"/>
            </w:tcMar>
          </w:tcPr>
          <w:p>
            <w:pPr>
              <w:spacing w:before="40" w:after="40" w:line="264" w:lineRule="auto"/>
            </w:pPr>
            <w:r>
              <w:rPr>
                <w:rFonts w:ascii="Calibri" w:hAnsi="Calibri"/>
                <w:b w:val="0"/>
                <w:color w:val="1E293B"/>
                <w:sz w:val="17"/>
              </w:rPr>
              <w:t>Multi-container orchestration for PHP, MySQL, and networking.</w:t>
            </w:r>
          </w:p>
        </w:tc>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Ensures 100% environment parity between local development, staging, and production with isolated bridge networking and persistent volumes.</w:t>
            </w:r>
          </w:p>
        </w:tc>
      </w:tr>
      <w:tr>
        <w:tc>
          <w:tcPr>
            <w:tcW w:type="dxa" w:w="1728"/>
            <w:shd w:fill="F8FAFC"/>
            <w:tcMar>
              <w:top w:w="80" w:type="dxa"/>
              <w:bottom w:w="80" w:type="dxa"/>
              <w:left w:w="100" w:type="dxa"/>
              <w:right w:w="100" w:type="dxa"/>
            </w:tcMar>
          </w:tcPr>
          <w:p>
            <w:pPr>
              <w:spacing w:before="40" w:after="40" w:line="264" w:lineRule="auto"/>
            </w:pPr>
            <w:r>
              <w:rPr>
                <w:rFonts w:ascii="Calibri" w:hAnsi="Calibri"/>
                <w:b w:val="0"/>
                <w:color w:val="1E293B"/>
                <w:sz w:val="17"/>
              </w:rPr>
              <w:t>JWT Auth</w:t>
            </w:r>
          </w:p>
        </w:tc>
        <w:tc>
          <w:tcPr>
            <w:tcW w:type="dxa" w:w="1584"/>
            <w:shd w:fill="F8FAFC"/>
            <w:tcMar>
              <w:top w:w="80" w:type="dxa"/>
              <w:bottom w:w="80" w:type="dxa"/>
              <w:left w:w="100" w:type="dxa"/>
              <w:right w:w="100" w:type="dxa"/>
            </w:tcMar>
          </w:tcPr>
          <w:p>
            <w:pPr>
              <w:spacing w:before="40" w:after="40" w:line="264" w:lineRule="auto"/>
            </w:pPr>
            <w:r>
              <w:rPr>
                <w:rFonts w:ascii="Calibri" w:hAnsi="Calibri"/>
                <w:b w:val="0"/>
                <w:color w:val="1E293B"/>
                <w:sz w:val="17"/>
              </w:rPr>
              <w:t>HTTP Headers</w:t>
            </w:r>
          </w:p>
        </w:tc>
        <w:tc>
          <w:tcPr>
            <w:tcW w:type="dxa" w:w="2448"/>
            <w:shd w:fill="F8FAFC"/>
            <w:tcMar>
              <w:top w:w="80" w:type="dxa"/>
              <w:bottom w:w="80" w:type="dxa"/>
              <w:left w:w="100" w:type="dxa"/>
              <w:right w:w="100" w:type="dxa"/>
            </w:tcMar>
          </w:tcPr>
          <w:p>
            <w:pPr>
              <w:spacing w:before="40" w:after="40" w:line="264" w:lineRule="auto"/>
            </w:pPr>
            <w:r>
              <w:rPr>
                <w:rFonts w:ascii="Calibri" w:hAnsi="Calibri"/>
                <w:b w:val="0"/>
                <w:color w:val="1E293B"/>
                <w:sz w:val="17"/>
              </w:rPr>
              <w:t>Stateless bearer token authentication with role-based claims.</w:t>
            </w:r>
          </w:p>
        </w:tc>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Stateless architecture allows horizontal server scaling without shared Redis/session clusters.</w:t>
            </w:r>
          </w:p>
        </w:tc>
      </w:tr>
    </w:tbl>
    <w:p/>
    <w:p>
      <w:pPr>
        <w:pStyle w:val="Heading1"/>
      </w:pPr>
      <w:r>
        <w:rPr>
          <w:color w:val="0F172A"/>
        </w:rPr>
        <w:t>4. Master Inspection Q&amp;A Bank (Grouped by Technical Domain)</w:t>
      </w:r>
    </w:p>
    <w:p>
      <w:pPr>
        <w:pStyle w:val="Heading2"/>
      </w:pPr>
      <w:r>
        <w:t>DOMAIN A: Database Architecture &amp; Design</w:t>
      </w:r>
    </w:p>
    <w:p>
      <w:pPr>
        <w:spacing w:before="160" w:after="40"/>
      </w:pPr>
      <w:r>
        <w:rPr>
          <w:b/>
          <w:color w:val="0EA5E9"/>
          <w:sz w:val="22"/>
        </w:rPr>
        <w:t>Q1: Why did you use MySQL for a healthcare system?</w:t>
      </w:r>
    </w:p>
    <w:p>
      <w:pPr>
        <w:spacing w:before="40" w:after="120"/>
      </w:pPr>
      <w:r>
        <w:rPr>
          <w:color w:val="334155"/>
          <w:sz w:val="20"/>
        </w:rPr>
        <w:t>Healthcare applications operate under strict data consistency and auditing mandates. In AmbiEye, a patient is explicitly mapped to a supervising doctor, consultation queries require direct foreign keys to both patient and doctor accounts, and therapy scores belong to authenticated user IDs.</w:t>
        <w:br/>
        <w:br/>
        <w:t>MySQL 8.0 provides:</w:t>
        <w:br/>
        <w:t>1. Strict ACID Guarantees: Prevents partial writes or race conditions when multiple clinical updates occur.</w:t>
        <w:br/>
        <w:t>2. Referential Integrity: Foreign key constraints (e.g., ON DELETE CASCADE on user queries/results) eliminate orphaned medical records.</w:t>
        <w:br/>
        <w:t>3. Native JSON Support: We store structured profiles in relational columns while leveraging MySQL's JSON columns for polymorphic clinical fields (medicalInfo, visitRecords).</w:t>
      </w:r>
    </w:p>
    <w:p>
      <w:pPr>
        <w:spacing w:before="160" w:after="40"/>
      </w:pPr>
      <w:r>
        <w:rPr>
          <w:b/>
          <w:color w:val="0EA5E9"/>
          <w:sz w:val="22"/>
        </w:rPr>
        <w:t>Q2: If you have MySQL, why is there also MongoDB code in the repository?</w:t>
      </w:r>
    </w:p>
    <w:p>
      <w:pPr>
        <w:spacing w:before="40" w:after="120"/>
      </w:pPr>
      <w:r>
        <w:rPr>
          <w:color w:val="334155"/>
          <w:sz w:val="20"/>
        </w:rPr>
        <w:t>The project implements a polyglot persistence architecture. The Go backend was initially implemented with MongoDB to benchmark high-throughput, schema-less telemetry and game logs. The PHP backend ports this to MySQL to satisfy strict enterprise relational integrity. Having both demonstrates system flexibility: relational storage for billing, accounts, and legal medical consultations; document storage for unstructured clinical observations.</w:t>
      </w:r>
    </w:p>
    <w:p>
      <w:pPr>
        <w:spacing w:before="160" w:after="40"/>
      </w:pPr>
      <w:r>
        <w:rPr>
          <w:b/>
          <w:color w:val="0EA5E9"/>
          <w:sz w:val="22"/>
        </w:rPr>
        <w:t>Q3: How are database queries indexed for performance?</w:t>
      </w:r>
    </w:p>
    <w:p>
      <w:pPr>
        <w:spacing w:before="40" w:after="120"/>
      </w:pPr>
      <w:r>
        <w:rPr>
          <w:color w:val="334155"/>
          <w:sz w:val="20"/>
        </w:rPr>
        <w:t>We added B-Tree indexes on all frequently filtered and joined columns:</w:t>
        <w:br/>
        <w:t>- idx_username and idx_email: O(1) authentication lookups.</w:t>
        <w:br/>
        <w:t>- idx_role on the users table: Instant segmentation of doctors and patients.</w:t>
        <w:br/>
        <w:t>- idx_patientId, idx_doctorId, idx_status, and idx_urgency on queries: Powers the doctor's real-time triage queue.</w:t>
        <w:br/>
        <w:t>- idx_userId and idx_date on gameResults: Powers historical charting without slow sequential table scans.</w:t>
      </w:r>
    </w:p>
    <w:p>
      <w:pPr>
        <w:pStyle w:val="Heading2"/>
      </w:pPr>
      <w:r>
        <w:t>DOMAIN B: Backend Architecture &amp; API Security</w:t>
      </w:r>
    </w:p>
    <w:p>
      <w:pPr>
        <w:spacing w:before="160" w:after="40"/>
      </w:pPr>
      <w:r>
        <w:rPr>
          <w:b/>
          <w:color w:val="0EA5E9"/>
          <w:sz w:val="22"/>
        </w:rPr>
        <w:t>Q4: Why choose PHP 8.1 FPM over pure Node.js?</w:t>
      </w:r>
    </w:p>
    <w:p>
      <w:pPr>
        <w:spacing w:before="40" w:after="120"/>
      </w:pPr>
      <w:r>
        <w:rPr>
          <w:color w:val="334155"/>
          <w:sz w:val="20"/>
        </w:rPr>
        <w:t>PHP 8.1 with FastCGI Process Manager (FPM) provides isolated worker process execution: each HTTP request executes in its own memory boundary, meaning a crash or memory leak in one request cannot compromise the entire server. Additionally, modern PHP 8.1 features JIT compilation, strict types, and robust PDO prepared statements, combining high security with rapid execution.</w:t>
      </w:r>
    </w:p>
    <w:p>
      <w:pPr>
        <w:spacing w:before="160" w:after="40"/>
      </w:pPr>
      <w:r>
        <w:rPr>
          <w:b/>
          <w:color w:val="0EA5E9"/>
          <w:sz w:val="22"/>
        </w:rPr>
        <w:t>Q5: How does AmbiEye prevent SQL Injection and XSS?</w:t>
      </w:r>
    </w:p>
    <w:p>
      <w:pPr>
        <w:spacing w:before="40" w:after="120"/>
      </w:pPr>
      <w:r>
        <w:rPr>
          <w:color w:val="334155"/>
          <w:sz w:val="20"/>
        </w:rPr>
        <w:t>1. SQL Injection Prevention: We never concatenate raw SQL strings. 100% of database interactions utilize PDO prepared statements with parameterized inputs (:username, :id).</w:t>
        <w:br/>
        <w:t>2. Input Validation: Request payloads are validated before reaching database models.</w:t>
        <w:br/>
        <w:t>3. Cross-Site Scripting (XSS): All API endpoints emit strict Content-Type: application/json headers, and CORS middleware explicitly restricts allowed origins and headers.</w:t>
      </w:r>
    </w:p>
    <w:p>
      <w:pPr>
        <w:spacing w:before="160" w:after="40"/>
      </w:pPr>
      <w:r>
        <w:rPr>
          <w:b/>
          <w:color w:val="0EA5E9"/>
          <w:sz w:val="22"/>
        </w:rPr>
        <w:t>Q6: Explain your JWT token lifecycle and role authorization.</w:t>
      </w:r>
    </w:p>
    <w:p>
      <w:pPr>
        <w:spacing w:before="40" w:after="120"/>
      </w:pPr>
      <w:r>
        <w:rPr>
          <w:color w:val="334155"/>
          <w:sz w:val="20"/>
        </w:rPr>
        <w:t>Upon POST /api/auth/login, credentials are validated using bcrypt password_verify(). The server issues a signed JWT containing user_id, role, and expiration timestamp. The mobile client stores this in encrypted AsyncStorage and attaches it via an Axios request interceptor (Authorization: Bearer &lt;token&gt;). On each request, middleware verifies the signature and validates whether the user's role satisfies the required route policy (e.g., doctorMiddleware or patientMiddleware).</w:t>
      </w:r>
    </w:p>
    <w:p>
      <w:pPr>
        <w:pStyle w:val="Heading2"/>
      </w:pPr>
      <w:r>
        <w:t>DOMAIN C: Mobile Client Engineering (React Native / Expo)</w:t>
      </w:r>
    </w:p>
    <w:p>
      <w:pPr>
        <w:spacing w:before="160" w:after="40"/>
      </w:pPr>
      <w:r>
        <w:rPr>
          <w:b/>
          <w:color w:val="0EA5E9"/>
          <w:sz w:val="22"/>
        </w:rPr>
        <w:t>Q7: Why React Native / Expo instead of native iOS (Swift) or Android (Kotlin)?</w:t>
      </w:r>
    </w:p>
    <w:p>
      <w:pPr>
        <w:spacing w:before="40" w:after="120"/>
      </w:pPr>
      <w:r>
        <w:rPr>
          <w:color w:val="334155"/>
          <w:sz w:val="20"/>
        </w:rPr>
        <w:t>AmbiEye serves both patients and doctors across diverse device ecosystems. Developing separate native Swift and Kotlin applications would double development costs, desynchronize feature releases, and complicate bug fixes. React Native delivers ~95% shared TypeScript code while compiling directly to native platform UI components. Expo provides native hardware access (expo-camera, AsyncStorage) and smooth OTA updates via EAS.</w:t>
      </w:r>
    </w:p>
    <w:p>
      <w:pPr>
        <w:spacing w:before="160" w:after="40"/>
      </w:pPr>
      <w:r>
        <w:rPr>
          <w:b/>
          <w:color w:val="0EA5E9"/>
          <w:sz w:val="22"/>
        </w:rPr>
        <w:t>Q8: How is routing structured in the mobile app?</w:t>
      </w:r>
    </w:p>
    <w:p>
      <w:pPr>
        <w:spacing w:before="40" w:after="120"/>
      </w:pPr>
      <w:r>
        <w:rPr>
          <w:color w:val="334155"/>
          <w:sz w:val="20"/>
        </w:rPr>
        <w:t>We use Expo Router v3, which utilizes a file-based routing architecture built on React Navigation. Group directories (doctor) and (patient) guarantee strict separation between clinical and patient interfaces. Stack navigators handle drill-down views such as vision therapy games and consultation threads, while typed routes (typedRoutes: true) catch invalid navigation calls at compile time.</w:t>
      </w:r>
    </w:p>
    <w:p>
      <w:pPr>
        <w:spacing w:before="160" w:after="40"/>
      </w:pPr>
      <w:r>
        <w:rPr>
          <w:b/>
          <w:color w:val="0EA5E9"/>
          <w:sz w:val="22"/>
        </w:rPr>
        <w:t>Q9: How does the application handle offline conditions?</w:t>
      </w:r>
    </w:p>
    <w:p>
      <w:pPr>
        <w:spacing w:before="40" w:after="120"/>
      </w:pPr>
      <w:r>
        <w:rPr>
          <w:color w:val="334155"/>
          <w:sz w:val="20"/>
        </w:rPr>
        <w:t>User authentication tokens, active profiles, and cached dashboard statistics are preserved in AsyncStorage. When network disruptions occur, Axios timeout handlers (set to 30s) intercept the error, render non-blocking UI notifications, and allow immediate pull-to-refresh data reloading once network connectivity resumes.</w:t>
      </w:r>
    </w:p>
    <w:p>
      <w:pPr>
        <w:pStyle w:val="Heading2"/>
      </w:pPr>
      <w:r>
        <w:t>DOMAIN D: Computer Vision &amp; Eye-Tracking Engine</w:t>
      </w:r>
    </w:p>
    <w:p>
      <w:pPr>
        <w:spacing w:before="160" w:after="40"/>
      </w:pPr>
      <w:r>
        <w:rPr>
          <w:b/>
          <w:color w:val="0EA5E9"/>
          <w:sz w:val="22"/>
        </w:rPr>
        <w:t>Q10: Walk through the computer vision algorithms in eye_analyzer.py.</w:t>
      </w:r>
    </w:p>
    <w:p>
      <w:pPr>
        <w:spacing w:before="40" w:after="120"/>
      </w:pPr>
      <w:r>
        <w:rPr>
          <w:color w:val="334155"/>
          <w:sz w:val="20"/>
        </w:rPr>
        <w:t>The CV pipeline operates in six distinct computational steps:</w:t>
        <w:br/>
        <w:t>1. Temporal Downsampling: Decodes video at 15 FPS (ANALYSIS_FPS=15) to minimize CPU load.</w:t>
        <w:br/>
        <w:t>2. Facial Bounding Box Detection: Utilizes haarcascade_frontalface_default.xml with tuned parameters (scaleFactor=1.1, minNeighbors=3) to reliably capture faces in mobile lighting.</w:t>
        <w:br/>
        <w:t>3. Ocular ROI Cropping: The upper facial region is isolated, and haarcascade_eye.xml or haarcascade_eye_tree_eyeglasses.xml locates the eye sockets.</w:t>
        <w:br/>
        <w:t>4. Otsu Adaptive Pupil Centroid: Gaussian blur strips noise, followed by Otsu's adaptive binarization, which automatically calculates the threshold separating the dark pupil from the iris. Spatial moments (M10/M00, M01/M00) compute exact pupil centers.</w:t>
        <w:br/>
        <w:t>5. Normalization &amp; Smoothing: Coordinates are normalized relative to the facial bounding box (eliminating head-tilt false positives), and a 3-frame rolling median filter removes blink spikes.</w:t>
        <w:br/>
        <w:t>6. Stride Saccade Counting: Points are compared over a 5-frame stride (COMPARISON_STRIDE=5). Shifts exceeding 8px (~3-5% of face width) register as legitimate ocular tracking, producing a clinical compliance verdict (good, partial, or none).</w:t>
      </w:r>
    </w:p>
    <w:p>
      <w:pPr>
        <w:spacing w:before="160" w:after="40"/>
      </w:pPr>
      <w:r>
        <w:rPr>
          <w:b/>
          <w:color w:val="0EA5E9"/>
          <w:sz w:val="22"/>
        </w:rPr>
        <w:t>Q11: Why use Haar Cascades &amp; Otsu instead of a heavy Deep Learning model (MediaPipe/ResNet)?</w:t>
      </w:r>
    </w:p>
    <w:p>
      <w:pPr>
        <w:spacing w:before="40" w:after="120"/>
      </w:pPr>
      <w:r>
        <w:rPr>
          <w:color w:val="334155"/>
          <w:sz w:val="20"/>
        </w:rPr>
        <w:t>1. Resource Efficiency: Haar cascades and Otsu thresholding execute in real time on standard CPU cores, completely removing the requirement for expensive GPU servers.</w:t>
        <w:br/>
        <w:t>2. Instant Clinical Feedback: The entire video analysis completes in seconds after exercise completion.</w:t>
        <w:br/>
        <w:t>3. Clinical Objective: Amblyopia therapy requires verifying whether the child visually followed the target trajectory. Centroid displacement directly and reliably answers this clinical compliance requirement without deep network overhead.</w:t>
      </w:r>
    </w:p>
    <w:p>
      <w:pPr>
        <w:pStyle w:val="Heading2"/>
      </w:pPr>
      <w:r>
        <w:t>DOMAIN E: Clinical Rationale &amp; Vision Therapy</w:t>
      </w:r>
    </w:p>
    <w:p>
      <w:pPr>
        <w:spacing w:before="160" w:after="40"/>
      </w:pPr>
      <w:r>
        <w:rPr>
          <w:b/>
          <w:color w:val="0EA5E9"/>
          <w:sz w:val="22"/>
        </w:rPr>
        <w:t>Q12: What is Amblyopia and how do your games treat it?</w:t>
      </w:r>
    </w:p>
    <w:p>
      <w:pPr>
        <w:spacing w:before="40" w:after="120"/>
      </w:pPr>
      <w:r>
        <w:rPr>
          <w:color w:val="334155"/>
          <w:sz w:val="20"/>
        </w:rPr>
        <w:t>Amblyopia occurs when the visual cortex suppresses input from one eye due to strabismus or refractive differences. Standard treatment requires patching the stronger eye alongside visual stimulation:</w:t>
        <w:br/>
        <w:t>- Movement Games (Clockwise, Anti-Clockwise, Eyeball): Train extraocular muscles and smooth pursuit motion.</w:t>
        <w:br/>
        <w:t>- Identification Games (Alphabet, Colored Balls, Symbols): Improve visual acuity and spatial contrast sensitivity.</w:t>
        <w:br/>
        <w:t>- Cognitive Games (Count, Matching, Character Find): Stimulate visual memory, cortex processing, and fixation stability.</w:t>
      </w:r>
    </w:p>
    <w:p>
      <w:pPr>
        <w:spacing w:before="160" w:after="40"/>
      </w:pPr>
      <w:r>
        <w:rPr>
          <w:b/>
          <w:color w:val="0EA5E9"/>
          <w:sz w:val="22"/>
        </w:rPr>
        <w:t>Q13: How does the ophthalmologist verify patient exercise compliance?</w:t>
      </w:r>
    </w:p>
    <w:p>
      <w:pPr>
        <w:spacing w:before="40" w:after="120"/>
      </w:pPr>
      <w:r>
        <w:rPr>
          <w:color w:val="334155"/>
          <w:sz w:val="20"/>
        </w:rPr>
        <w:t>The front camera records the child's face during therapy, and our automated CV microservice inspects the recording. If the patient puts the phone down or looks away, the system flags 'no_face' or 'none' movement. This provides the doctor with objective, verifiable adherence data.</w:t>
      </w:r>
    </w:p>
    <w:p>
      <w:pPr>
        <w:pStyle w:val="Heading2"/>
      </w:pPr>
      <w:r>
        <w:t>DOMAIN F: Security, DevOps &amp; Scalability</w:t>
      </w:r>
    </w:p>
    <w:p>
      <w:pPr>
        <w:spacing w:before="160" w:after="40"/>
      </w:pPr>
      <w:r>
        <w:rPr>
          <w:b/>
          <w:color w:val="0EA5E9"/>
          <w:sz w:val="22"/>
        </w:rPr>
        <w:t>Q14: How does AmbiEye comply with healthcare data privacy (HIPAA/GDPR)?</w:t>
      </w:r>
    </w:p>
    <w:p>
      <w:pPr>
        <w:spacing w:before="40" w:after="120"/>
      </w:pPr>
      <w:r>
        <w:rPr>
          <w:color w:val="334155"/>
          <w:sz w:val="20"/>
        </w:rPr>
        <w:t>1. Strict RBAC: Patients can only access their personal records; doctors only see their assigned patients.</w:t>
        <w:br/>
        <w:t>2. Password Hashing: Uses bcrypt with cryptographic salt generation.</w:t>
        <w:br/>
        <w:t>3. Ephemeral Video Storage: Videos submitted for eye analysis are processed in temporary storage and cleaned up, preserving biometric privacy.</w:t>
        <w:br/>
        <w:t>4. Right to Erasure: Built-in account deletion endpoints (/api/doctor/delete, /api/patient/delete, and public/delete.html) allow complete data removal.</w:t>
      </w:r>
    </w:p>
    <w:p>
      <w:pPr>
        <w:spacing w:before="160" w:after="40"/>
      </w:pPr>
      <w:r>
        <w:rPr>
          <w:b/>
          <w:color w:val="0EA5E9"/>
          <w:sz w:val="22"/>
        </w:rPr>
        <w:t>Q15: How does the Docker deployment architecture work?</w:t>
      </w:r>
    </w:p>
    <w:p>
      <w:pPr>
        <w:spacing w:before="40" w:after="120"/>
      </w:pPr>
      <w:r>
        <w:rPr>
          <w:color w:val="334155"/>
          <w:sz w:val="20"/>
        </w:rPr>
        <w:t>Docker Compose orchestrates three primary components:</w:t>
        <w:br/>
        <w:t>- backend-php: PHP 8.1 FPM container with Composer dependencies and Apache/Nginx routing.</w:t>
        <w:br/>
        <w:t>- db: MySQL 8.0 with persistent volumes (mysql_data) ensuring data survives container restarts.</w:t>
        <w:br/>
        <w:t>- Isolated Bridge Network: Restricts internal database access, only exposing required API endpoints to the host system.</w:t>
      </w:r>
    </w:p>
    <w:p>
      <w:pPr>
        <w:pStyle w:val="Heading1"/>
      </w:pPr>
      <w:r>
        <w:rPr>
          <w:color w:val="0F172A"/>
        </w:rPr>
        <w:t>5. Defense Against Inspection 'Trap' Questions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80" w:type="dxa"/>
              <w:bottom w:w="80" w:type="dxa"/>
              <w:left w:w="100" w:type="dxa"/>
              <w:right w:w="100" w:type="dxa"/>
            </w:tcMar>
          </w:tcPr>
          <w:p>
            <w:pPr>
              <w:spacing w:before="40" w:after="40" w:line="264" w:lineRule="auto"/>
            </w:pPr>
            <w:r>
              <w:rPr>
                <w:rFonts w:ascii="Calibri" w:hAnsi="Calibri"/>
                <w:b/>
                <w:color w:val="FFFFFF"/>
                <w:sz w:val="19"/>
              </w:rPr>
              <w:t>Inspector's Trap Question</w:t>
            </w:r>
          </w:p>
        </w:tc>
        <w:tc>
          <w:tcPr>
            <w:tcW w:type="dxa" w:w="2592"/>
            <w:shd w:fill="0F172A"/>
            <w:tcMar>
              <w:top w:w="80" w:type="dxa"/>
              <w:bottom w:w="80" w:type="dxa"/>
              <w:left w:w="100" w:type="dxa"/>
              <w:right w:w="100" w:type="dxa"/>
            </w:tcMar>
          </w:tcPr>
          <w:p>
            <w:pPr>
              <w:spacing w:before="40" w:after="40" w:line="264" w:lineRule="auto"/>
            </w:pPr>
            <w:r>
              <w:rPr>
                <w:rFonts w:ascii="Calibri" w:hAnsi="Calibri"/>
                <w:b/>
                <w:color w:val="FFFFFF"/>
                <w:sz w:val="19"/>
              </w:rPr>
              <w:t>What They Are Testing</w:t>
            </w:r>
          </w:p>
        </w:tc>
        <w:tc>
          <w:tcPr>
            <w:tcW w:type="dxa" w:w="4176"/>
            <w:shd w:fill="0F172A"/>
            <w:tcMar>
              <w:top w:w="80" w:type="dxa"/>
              <w:bottom w:w="80" w:type="dxa"/>
              <w:left w:w="100" w:type="dxa"/>
              <w:right w:w="100" w:type="dxa"/>
            </w:tcMar>
          </w:tcPr>
          <w:p>
            <w:pPr>
              <w:spacing w:before="40" w:after="40" w:line="264" w:lineRule="auto"/>
            </w:pPr>
            <w:r>
              <w:rPr>
                <w:rFonts w:ascii="Calibri" w:hAnsi="Calibri"/>
                <w:b/>
                <w:color w:val="FFFFFF"/>
                <w:sz w:val="19"/>
              </w:rPr>
              <w:t>Winning Defensible Answer</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b w:val="0"/>
                <w:color w:val="1E293B"/>
                <w:sz w:val="17"/>
              </w:rPr>
              <w:t>Why didn't you perform eye tracking directly on the mobile phone?</w:t>
            </w:r>
          </w:p>
        </w:tc>
        <w:tc>
          <w:tcPr>
            <w:tcW w:type="dxa" w:w="2592"/>
            <w:shd w:fill="FFFFFF"/>
            <w:tcMar>
              <w:top w:w="80" w:type="dxa"/>
              <w:bottom w:w="80" w:type="dxa"/>
              <w:left w:w="100" w:type="dxa"/>
              <w:right w:w="100" w:type="dxa"/>
            </w:tcMar>
          </w:tcPr>
          <w:p>
            <w:pPr>
              <w:spacing w:before="40" w:after="40" w:line="264" w:lineRule="auto"/>
            </w:pPr>
            <w:r>
              <w:rPr>
                <w:rFonts w:ascii="Calibri" w:hAnsi="Calibri"/>
                <w:b w:val="0"/>
                <w:color w:val="1E293B"/>
                <w:sz w:val="17"/>
              </w:rPr>
              <w:t>Tests mobile device performance, battery limits, and architectural foresight.</w:t>
            </w:r>
          </w:p>
        </w:tc>
        <w:tc>
          <w:tcPr>
            <w:tcW w:type="dxa" w:w="4176"/>
            <w:shd w:fill="FFFFFF"/>
            <w:tcMar>
              <w:top w:w="80" w:type="dxa"/>
              <w:bottom w:w="80" w:type="dxa"/>
              <w:left w:w="100" w:type="dxa"/>
              <w:right w:w="100" w:type="dxa"/>
            </w:tcMar>
          </w:tcPr>
          <w:p>
            <w:pPr>
              <w:spacing w:before="40" w:after="40" w:line="264" w:lineRule="auto"/>
            </w:pPr>
            <w:r>
              <w:rPr>
                <w:rFonts w:ascii="Calibri" w:hAnsi="Calibri"/>
                <w:b w:val="0"/>
                <w:color w:val="1E293B"/>
                <w:sz w:val="17"/>
              </w:rPr>
              <w:t>Continuous video decoding and frame-by-frame cascade computation on mobile devices causes thermal throttling, drops game UI framerates below 60 FPS, and drains battery. Offloading video processing to an asynchronous microservice keeps the game buttery smooth for the pediatric patient.</w:t>
            </w:r>
          </w:p>
        </w:tc>
      </w:tr>
      <w:tr>
        <w:tc>
          <w:tcPr>
            <w:tcW w:type="dxa" w:w="2592"/>
            <w:shd w:fill="F8FAFC"/>
            <w:tcMar>
              <w:top w:w="80" w:type="dxa"/>
              <w:bottom w:w="80" w:type="dxa"/>
              <w:left w:w="100" w:type="dxa"/>
              <w:right w:w="100" w:type="dxa"/>
            </w:tcMar>
          </w:tcPr>
          <w:p>
            <w:pPr>
              <w:spacing w:before="40" w:after="40" w:line="264" w:lineRule="auto"/>
            </w:pPr>
            <w:r>
              <w:rPr>
                <w:rFonts w:ascii="Calibri" w:hAnsi="Calibri"/>
                <w:b w:val="0"/>
                <w:color w:val="1E293B"/>
                <w:sz w:val="17"/>
              </w:rPr>
              <w:t>What happens if the child wears corrective glasses during exercises?</w:t>
            </w:r>
          </w:p>
        </w:tc>
        <w:tc>
          <w:tcPr>
            <w:tcW w:type="dxa" w:w="2592"/>
            <w:shd w:fill="F8FAFC"/>
            <w:tcMar>
              <w:top w:w="80" w:type="dxa"/>
              <w:bottom w:w="80" w:type="dxa"/>
              <w:left w:w="100" w:type="dxa"/>
              <w:right w:w="100" w:type="dxa"/>
            </w:tcMar>
          </w:tcPr>
          <w:p>
            <w:pPr>
              <w:spacing w:before="40" w:after="40" w:line="264" w:lineRule="auto"/>
            </w:pPr>
            <w:r>
              <w:rPr>
                <w:rFonts w:ascii="Calibri" w:hAnsi="Calibri"/>
                <w:b w:val="0"/>
                <w:color w:val="1E293B"/>
                <w:sz w:val="17"/>
              </w:rPr>
              <w:t>Tests robustness and edge-case handling of the computer vision pipeline.</w:t>
            </w:r>
          </w:p>
        </w:tc>
        <w:tc>
          <w:tcPr>
            <w:tcW w:type="dxa" w:w="4176"/>
            <w:shd w:fill="F8FAFC"/>
            <w:tcMar>
              <w:top w:w="80" w:type="dxa"/>
              <w:bottom w:w="80" w:type="dxa"/>
              <w:left w:w="100" w:type="dxa"/>
              <w:right w:w="100" w:type="dxa"/>
            </w:tcMar>
          </w:tcPr>
          <w:p>
            <w:pPr>
              <w:spacing w:before="40" w:after="40" w:line="264" w:lineRule="auto"/>
            </w:pPr>
            <w:r>
              <w:rPr>
                <w:rFonts w:ascii="Calibri" w:hAnsi="Calibri"/>
                <w:b w:val="0"/>
                <w:color w:val="1E293B"/>
                <w:sz w:val="17"/>
              </w:rPr>
              <w:t>We specifically integrated OpenCV's haarcascade_eye_tree_eyeglasses.xml into eye_analyzer.py. If reflections or spectacle frames cause the standard eye cascade to miss, the system automatically falls back to the eyeglasses-trained cascade.</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b w:val="0"/>
                <w:color w:val="1E293B"/>
                <w:sz w:val="17"/>
              </w:rPr>
              <w:t>Why not use GraphQL instead of REST?</w:t>
            </w:r>
          </w:p>
        </w:tc>
        <w:tc>
          <w:tcPr>
            <w:tcW w:type="dxa" w:w="2592"/>
            <w:shd w:fill="FFFFFF"/>
            <w:tcMar>
              <w:top w:w="80" w:type="dxa"/>
              <w:bottom w:w="80" w:type="dxa"/>
              <w:left w:w="100" w:type="dxa"/>
              <w:right w:w="100" w:type="dxa"/>
            </w:tcMar>
          </w:tcPr>
          <w:p>
            <w:pPr>
              <w:spacing w:before="40" w:after="40" w:line="264" w:lineRule="auto"/>
            </w:pPr>
            <w:r>
              <w:rPr>
                <w:rFonts w:ascii="Calibri" w:hAnsi="Calibri"/>
                <w:b w:val="0"/>
                <w:color w:val="1E293B"/>
                <w:sz w:val="17"/>
              </w:rPr>
              <w:t>Checks architectural pragmatism vs hype-driven development.</w:t>
            </w:r>
          </w:p>
        </w:tc>
        <w:tc>
          <w:tcPr>
            <w:tcW w:type="dxa" w:w="4176"/>
            <w:shd w:fill="FFFFFF"/>
            <w:tcMar>
              <w:top w:w="80" w:type="dxa"/>
              <w:bottom w:w="80" w:type="dxa"/>
              <w:left w:w="100" w:type="dxa"/>
              <w:right w:w="100" w:type="dxa"/>
            </w:tcMar>
          </w:tcPr>
          <w:p>
            <w:pPr>
              <w:spacing w:before="40" w:after="40" w:line="264" w:lineRule="auto"/>
            </w:pPr>
            <w:r>
              <w:rPr>
                <w:rFonts w:ascii="Calibri" w:hAnsi="Calibri"/>
                <w:b w:val="0"/>
                <w:color w:val="1E293B"/>
                <w:sz w:val="17"/>
              </w:rPr>
              <w:t>GraphQL adds unnecessary client-side bundle size and caching complexity. Our mobile screens correspond to deterministic, discrete resources (/doctor/dashboard, /patient/profile). Standard REST endpoints with typed JSON payloads provide optimal speed, low overhead, and simpler caching.</w:t>
            </w:r>
          </w:p>
        </w:tc>
      </w:tr>
      <w:tr>
        <w:tc>
          <w:tcPr>
            <w:tcW w:type="dxa" w:w="2592"/>
            <w:shd w:fill="F8FAFC"/>
            <w:tcMar>
              <w:top w:w="80" w:type="dxa"/>
              <w:bottom w:w="80" w:type="dxa"/>
              <w:left w:w="100" w:type="dxa"/>
              <w:right w:w="100" w:type="dxa"/>
            </w:tcMar>
          </w:tcPr>
          <w:p>
            <w:pPr>
              <w:spacing w:before="40" w:after="40" w:line="264" w:lineRule="auto"/>
            </w:pPr>
            <w:r>
              <w:rPr>
                <w:rFonts w:ascii="Calibri" w:hAnsi="Calibri"/>
                <w:b w:val="0"/>
                <w:color w:val="1E293B"/>
                <w:sz w:val="17"/>
              </w:rPr>
              <w:t>How does the system handle 10,000 simultaneous video uploads?</w:t>
            </w:r>
          </w:p>
        </w:tc>
        <w:tc>
          <w:tcPr>
            <w:tcW w:type="dxa" w:w="2592"/>
            <w:shd w:fill="F8FAFC"/>
            <w:tcMar>
              <w:top w:w="80" w:type="dxa"/>
              <w:bottom w:w="80" w:type="dxa"/>
              <w:left w:w="100" w:type="dxa"/>
              <w:right w:w="100" w:type="dxa"/>
            </w:tcMar>
          </w:tcPr>
          <w:p>
            <w:pPr>
              <w:spacing w:before="40" w:after="40" w:line="264" w:lineRule="auto"/>
            </w:pPr>
            <w:r>
              <w:rPr>
                <w:rFonts w:ascii="Calibri" w:hAnsi="Calibri"/>
                <w:b w:val="0"/>
                <w:color w:val="1E293B"/>
                <w:sz w:val="17"/>
              </w:rPr>
              <w:t>Tests scalability and bottleneck awareness under production load.</w:t>
            </w:r>
          </w:p>
        </w:tc>
        <w:tc>
          <w:tcPr>
            <w:tcW w:type="dxa" w:w="4176"/>
            <w:shd w:fill="F8FAFC"/>
            <w:tcMar>
              <w:top w:w="80" w:type="dxa"/>
              <w:bottom w:w="80" w:type="dxa"/>
              <w:left w:w="100" w:type="dxa"/>
              <w:right w:w="100" w:type="dxa"/>
            </w:tcMar>
          </w:tcPr>
          <w:p>
            <w:pPr>
              <w:spacing w:before="40" w:after="40" w:line="264" w:lineRule="auto"/>
            </w:pPr>
            <w:r>
              <w:rPr>
                <w:rFonts w:ascii="Calibri" w:hAnsi="Calibri"/>
                <w:b w:val="0"/>
                <w:color w:val="1E293B"/>
                <w:sz w:val="17"/>
              </w:rPr>
              <w:t>In heavy production, video analysis requests are queued via an asynchronous message broker (Redis/RabbitMQ with Celery workers). The mobile app receives an immediate acknowledgment ticket, and polling/webhooks deliver the verdict once processed, preventing API timeouts.</w:t>
            </w:r>
          </w:p>
        </w:tc>
      </w:tr>
    </w:tbl>
    <w:p/>
    <w:p>
      <w:pPr>
        <w:pStyle w:val="Heading1"/>
      </w:pPr>
      <w:r>
        <w:rPr>
          <w:color w:val="0F172A"/>
        </w:rPr>
        <w:t>6. Quick-Reference Project Fact Sheet</w:t>
      </w:r>
    </w:p>
    <w:tbl>
      <w:tblPr>
        <w:tblW w:type="auto" w:w="0"/>
        <w:jc w:val="center"/>
        <w:tblLayout w:type="fixed"/>
        <w:tblLook w:firstColumn="1" w:firstRow="1" w:lastColumn="0" w:lastRow="0" w:noHBand="0" w:noVBand="1" w:val="04A0"/>
      </w:tblPr>
      <w:tblGrid>
        <w:gridCol w:w="5040"/>
        <w:gridCol w:w="5040"/>
      </w:tblGrid>
      <w:tr>
        <w:tc>
          <w:tcPr>
            <w:tcW w:type="dxa" w:w="5040"/>
            <w:shd w:fill="0EA5E9"/>
            <w:tcMar>
              <w:top w:w="80" w:type="dxa"/>
              <w:bottom w:w="80" w:type="dxa"/>
              <w:left w:w="100" w:type="dxa"/>
              <w:right w:w="100" w:type="dxa"/>
            </w:tcMar>
          </w:tcPr>
          <w:p>
            <w:pPr>
              <w:spacing w:before="40" w:after="40" w:line="264" w:lineRule="auto"/>
            </w:pPr>
            <w:r>
              <w:rPr>
                <w:rFonts w:ascii="Calibri" w:hAnsi="Calibri"/>
                <w:b/>
                <w:color w:val="FFFFFF"/>
                <w:sz w:val="19"/>
              </w:rPr>
              <w:t>Specification</w:t>
            </w:r>
          </w:p>
        </w:tc>
        <w:tc>
          <w:tcPr>
            <w:tcW w:type="dxa" w:w="5040"/>
            <w:shd w:fill="0EA5E9"/>
            <w:tcMar>
              <w:top w:w="80" w:type="dxa"/>
              <w:bottom w:w="80" w:type="dxa"/>
              <w:left w:w="100" w:type="dxa"/>
              <w:right w:w="100" w:type="dxa"/>
            </w:tcMar>
          </w:tcPr>
          <w:p>
            <w:pPr>
              <w:spacing w:before="40" w:after="40" w:line="264" w:lineRule="auto"/>
            </w:pPr>
            <w:r>
              <w:rPr>
                <w:rFonts w:ascii="Calibri" w:hAnsi="Calibri"/>
                <w:b/>
                <w:color w:val="FFFFFF"/>
                <w:sz w:val="19"/>
              </w:rPr>
              <w:t>System Implementation</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Official Application Name</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AmbiEye (Ambi Eye)</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Clinical Target</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Pediatric Ophthalmology, Strabismus &amp; Amblyopia Vision Therapy</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Primary User Roles</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1. Consulting Ophthalmologists / Doctors | 2. Patients (Children &amp; Adults)</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Mobile Client Framework</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React Native 0.74+, Expo SDK 51, TypeScript, Expo Router v3</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Mobile Styling &amp; UX</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TailwindCSS, Custom Sky Blue (#0EA5E9) / Dark Slate (#0F172A) Design System</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Mobile Hardware APIs</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expo-camera (front camera recording), AsyncStorage, Vector Icons</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Backend Services</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PHP 8.1 (FPM, PDO) + Alternative Golang Gin Microservice</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Database Systems</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MySQL 8.0 (ACID Relational) &amp; MongoDB (Polymorphic Clinical Docs)</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Computer Vision Server</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Python 3.10+, FastAPI, OpenCV 4.x, NumPy, Uvicorn</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Computer Vision Model</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Haar Cascades (Face &amp; Glasses-tolerant Eye) + Otsu Adaptive Thresholding</w:t>
            </w:r>
          </w:p>
        </w:tc>
      </w:tr>
      <w:tr>
        <w:tc>
          <w:tcPr>
            <w:tcW w:type="dxa" w:w="3600"/>
            <w:shd w:fill="FFFFFF"/>
            <w:tcMar>
              <w:top w:w="80" w:type="dxa"/>
              <w:bottom w:w="80" w:type="dxa"/>
              <w:left w:w="100" w:type="dxa"/>
              <w:right w:w="100" w:type="dxa"/>
            </w:tcMar>
          </w:tcPr>
          <w:p>
            <w:pPr>
              <w:spacing w:before="40" w:after="40" w:line="264" w:lineRule="auto"/>
            </w:pPr>
            <w:r>
              <w:rPr>
                <w:rFonts w:ascii="Calibri" w:hAnsi="Calibri"/>
                <w:b w:val="0"/>
                <w:color w:val="1E293B"/>
                <w:sz w:val="17"/>
              </w:rPr>
              <w:t>Default Server Ports</w:t>
            </w:r>
          </w:p>
        </w:tc>
        <w:tc>
          <w:tcPr>
            <w:tcW w:type="dxa" w:w="5760"/>
            <w:shd w:fill="FFFFFF"/>
            <w:tcMar>
              <w:top w:w="80" w:type="dxa"/>
              <w:bottom w:w="80" w:type="dxa"/>
              <w:left w:w="100" w:type="dxa"/>
              <w:right w:w="100" w:type="dxa"/>
            </w:tcMar>
          </w:tcPr>
          <w:p>
            <w:pPr>
              <w:spacing w:before="40" w:after="40" w:line="264" w:lineRule="auto"/>
            </w:pPr>
            <w:r>
              <w:rPr>
                <w:rFonts w:ascii="Calibri" w:hAnsi="Calibri"/>
                <w:b w:val="0"/>
                <w:color w:val="1E293B"/>
                <w:sz w:val="17"/>
              </w:rPr>
              <w:t>PHP API: 5000 | Eye Tracking: 8000 | MySQL: 3306 | MongoDB: 27017</w:t>
            </w:r>
          </w:p>
        </w:tc>
      </w:tr>
      <w:tr>
        <w:tc>
          <w:tcPr>
            <w:tcW w:type="dxa" w:w="3600"/>
            <w:shd w:fill="F8FAFC"/>
            <w:tcMar>
              <w:top w:w="80" w:type="dxa"/>
              <w:bottom w:w="80" w:type="dxa"/>
              <w:left w:w="100" w:type="dxa"/>
              <w:right w:w="100" w:type="dxa"/>
            </w:tcMar>
          </w:tcPr>
          <w:p>
            <w:pPr>
              <w:spacing w:before="40" w:after="40" w:line="264" w:lineRule="auto"/>
            </w:pPr>
            <w:r>
              <w:rPr>
                <w:rFonts w:ascii="Calibri" w:hAnsi="Calibri"/>
                <w:b w:val="0"/>
                <w:color w:val="1E293B"/>
                <w:sz w:val="17"/>
              </w:rPr>
              <w:t>Deployment Environment</w:t>
            </w:r>
          </w:p>
        </w:tc>
        <w:tc>
          <w:tcPr>
            <w:tcW w:type="dxa" w:w="5760"/>
            <w:shd w:fill="F8FAFC"/>
            <w:tcMar>
              <w:top w:w="80" w:type="dxa"/>
              <w:bottom w:w="80" w:type="dxa"/>
              <w:left w:w="100" w:type="dxa"/>
              <w:right w:w="100" w:type="dxa"/>
            </w:tcMar>
          </w:tcPr>
          <w:p>
            <w:pPr>
              <w:spacing w:before="40" w:after="40" w:line="264" w:lineRule="auto"/>
            </w:pPr>
            <w:r>
              <w:rPr>
                <w:rFonts w:ascii="Calibri" w:hAnsi="Calibri"/>
                <w:b w:val="0"/>
                <w:color w:val="1E293B"/>
                <w:sz w:val="17"/>
              </w:rPr>
              <w:t>Docker, Docker Compose, EAS Cloud Build, Cloud PaaS (code.run)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