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2A4A"/>
          <w:sz w:val="56"/>
          <w:szCs w:val="56"/>
        </w:rPr>
        <w:t xml:space="preserve">IMPERIUM AUTO TRADER</w:t>
      </w:r>
    </w:p>
    <w:p>
      <w:pPr>
        <w:spacing w:before="0" w:after="120"/>
        <w:jc w:val="center"/>
      </w:pPr>
      <w:r>
        <w:rPr>
          <w:rFonts w:ascii="Arial" w:cs="Arial" w:eastAsia="Arial" w:hAnsi="Arial"/>
          <w:i/>
          <w:iCs/>
          <w:color w:val="0D6E6E"/>
          <w:sz w:val="30"/>
          <w:szCs w:val="30"/>
        </w:rPr>
        <w:t xml:space="preserve">Institutional-Grade Deep Analysis</w:t>
      </w:r>
    </w:p>
    <w:p>
      <w:pPr>
        <w:spacing w:before="0" w:after="600"/>
        <w:jc w:val="center"/>
      </w:pPr>
      <w:r>
        <w:rPr>
          <w:rFonts w:ascii="Arial" w:cs="Arial" w:eastAsia="Arial" w:hAnsi="Arial"/>
          <w:color w:val="777777"/>
          <w:sz w:val="22"/>
          <w:szCs w:val="22"/>
        </w:rPr>
        <w:t xml:space="preserve">Flaws  |  Improvements  |  Roadmap</w:t>
      </w:r>
    </w:p>
    <w:p>
      <w:pPr>
        <w:pBdr>
          <w:bottom w:val="single" w:color="0D6E6E" w:sz="8" w:space="4"/>
        </w:pBdr>
        <w:spacing w:before="0" w:after="1440"/>
        <w:jc w:val="center"/>
      </w:pPr>
      <w:r>
        <w:rPr>
          <w:rFonts w:ascii="Arial" w:cs="Arial" w:eastAsia="Arial" w:hAnsi="Arial"/>
          <w:color w:val="AAAAAA"/>
          <w:sz w:val="18"/>
          <w:szCs w:val="18"/>
        </w:rPr>
        <w:t xml:space="preserve">February 2026  —  Confidential</w:t>
      </w:r>
    </w:p>
    <w:p>
      <w:r>
        <w:br w:type="page"/>
      </w:r>
    </w:p>
    <w:p>
      <w:pPr>
        <w:pStyle w:val="Heading1"/>
        <w:pBdr>
          <w:bottom w:val="single" w:color="1B2A4A" w:sz="6" w:space="4"/>
        </w:pBdr>
        <w:spacing w:before="360" w:after="160"/>
      </w:pPr>
      <w:r>
        <w:rPr>
          <w:rFonts w:ascii="Arial" w:cs="Arial" w:eastAsia="Arial" w:hAnsi="Arial"/>
          <w:b/>
          <w:bCs/>
          <w:color w:val="1B2A4A"/>
          <w:sz w:val="32"/>
          <w:szCs w:val="32"/>
        </w:rPr>
        <w:t xml:space="preserve">Executive Summary</w:t>
      </w:r>
    </w:p>
    <w:p>
      <w:pPr>
        <w:spacing w:before="60" w:after="120"/>
      </w:pPr>
      <w:r>
        <w:rPr>
          <w:rFonts w:ascii="Arial" w:cs="Arial" w:eastAsia="Arial" w:hAnsi="Arial"/>
          <w:b w:val="false"/>
          <w:bCs w:val="false"/>
          <w:color w:val="2C3E50"/>
          <w:sz w:val="20"/>
          <w:szCs w:val="20"/>
        </w:rPr>
        <w:t xml:space="preserve">Imperium is a PySide6-based semi-systematic intraday trading platform for Indian equity derivatives (Nifty / BankNifty). It runs five strategies unified under a CVD (Cumulative Volume Delta) orderflow backbone with a priority/governance layer. For a Python desktop application it is architecturally impressive — but to call it truly institutional-grade, several structural gaps must be closed.</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VERDICT  </w:t>
      </w:r>
      <w:r>
        <w:rPr>
          <w:rFonts w:ascii="Arial" w:cs="Arial" w:eastAsia="Arial" w:hAnsi="Arial"/>
          <w:color w:val="2C3E50"/>
          <w:sz w:val="20"/>
          <w:szCs w:val="20"/>
        </w:rPr>
        <w:t xml:space="preserve">65% institutional. Strong bones, adaptive muscles still needed.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Dimension</w:t>
            </w:r>
          </w:p>
        </w:tc>
        <w:tc>
          <w:tcPr>
            <w:tcW w:type="dxa" w:w="9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Rating</w:t>
            </w:r>
          </w:p>
        </w:tc>
        <w:tc>
          <w:tcPr>
            <w:tcW w:type="dxa" w:w="56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19"/>
                <w:szCs w:val="19"/>
              </w:rPr>
              <w:t xml:space="preserve">Signal Architecture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D6E6E"/>
                <w:sz w:val="19"/>
                <w:szCs w:val="19"/>
              </w:rPr>
              <w:t xml:space="preserve">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CVD backbone + priority suppression is prop-desk quality</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2C3E50"/>
                <w:sz w:val="19"/>
                <w:szCs w:val="19"/>
              </w:rPr>
              <w:t xml:space="preserve">Risk Management</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E67E22"/>
                <w:sz w:val="19"/>
                <w:szCs w:val="19"/>
              </w:rPr>
              <w:t xml:space="preserve">C+</w:t>
            </w:r>
          </w:p>
        </w:tc>
        <w:tc>
          <w:tcPr>
            <w:tcW w:type="dxa" w:w="56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Fixed-point stops; no position sizing; no portfolio-level 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19"/>
                <w:szCs w:val="19"/>
              </w:rPr>
              <w:t xml:space="preserve">Regime Awareness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19"/>
                <w:szCs w:val="19"/>
              </w:rPr>
              <w:t xml:space="preserve">C</w:t>
            </w:r>
          </w:p>
        </w:tc>
        <w:tc>
          <w:tcPr>
            <w:tcW w:type="dxa" w:w="5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ADX chop filter exists; no MTF or session-phase logic</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2C3E50"/>
                <w:sz w:val="19"/>
                <w:szCs w:val="19"/>
              </w:rPr>
              <w:t xml:space="preserve">Parameter Adaptivity</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C0392B"/>
                <w:sz w:val="19"/>
                <w:szCs w:val="19"/>
              </w:rPr>
              <w:t xml:space="preserve">D+</w:t>
            </w:r>
          </w:p>
        </w:tc>
        <w:tc>
          <w:tcPr>
            <w:tcW w:type="dxa" w:w="56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Nearly all params hardcoded; no online calibration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19"/>
                <w:szCs w:val="19"/>
              </w:rPr>
              <w:t xml:space="preserve">Execution Infrastructure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D6E6E"/>
                <w:sz w:val="19"/>
                <w:szCs w:val="19"/>
              </w:rPr>
              <w:t xml:space="preserve">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Shadow/Canary/Live deployment is best-practice thinking</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2C3E50"/>
                <w:sz w:val="19"/>
                <w:szCs w:val="19"/>
              </w:rPr>
              <w:t xml:space="preserve">Resiliency / Failover</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C0392B"/>
                <w:sz w:val="19"/>
                <w:szCs w:val="19"/>
              </w:rPr>
              <w:t xml:space="preserve">D</w:t>
            </w:r>
          </w:p>
        </w:tc>
        <w:tc>
          <w:tcPr>
            <w:tcW w:type="dxa" w:w="56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Single Kite feed; no reconnect logic; no incident playbook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19"/>
                <w:szCs w:val="19"/>
              </w:rPr>
              <w:t xml:space="preserve">Backtesting / Validation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19"/>
                <w:szCs w:val="19"/>
              </w:rPr>
              <w:t xml:space="preserve">C</w:t>
            </w:r>
          </w:p>
        </w:tc>
        <w:tc>
          <w:tcPr>
            <w:tcW w:type="dxa" w:w="5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Simulator exists but no walk-forward or drift monitoring</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2C3E50"/>
                <w:sz w:val="19"/>
                <w:szCs w:val="19"/>
              </w:rPr>
              <w:t xml:space="preserve">Data Quality</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E67E22"/>
                <w:sz w:val="19"/>
                <w:szCs w:val="19"/>
              </w:rPr>
              <w:t xml:space="preserve">C+</w:t>
            </w:r>
          </w:p>
        </w:tc>
        <w:tc>
          <w:tcPr>
            <w:tcW w:type="dxa" w:w="56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Raw CVD, no volume normalization, no spread/impact model</w:t>
            </w:r>
          </w:p>
        </w:tc>
      </w:tr>
    </w:tbl>
    <w:p>
      <w:r>
        <w:br w:type="page"/>
      </w:r>
    </w:p>
    <w:p>
      <w:pPr>
        <w:pStyle w:val="Heading1"/>
        <w:pBdr>
          <w:bottom w:val="single" w:color="1B2A4A" w:sz="6" w:space="4"/>
        </w:pBdr>
        <w:spacing w:before="360" w:after="160"/>
      </w:pPr>
      <w:r>
        <w:rPr>
          <w:rFonts w:ascii="Arial" w:cs="Arial" w:eastAsia="Arial" w:hAnsi="Arial"/>
          <w:b/>
          <w:bCs/>
          <w:color w:val="1B2A4A"/>
          <w:sz w:val="32"/>
          <w:szCs w:val="32"/>
        </w:rPr>
        <w:t xml:space="preserve">Strategy Deep-Dive Analysis</w:t>
      </w:r>
    </w:p>
    <w:p>
      <w:pPr>
        <w:pStyle w:val="Heading2"/>
        <w:spacing w:before="280" w:after="120"/>
      </w:pPr>
      <w:r>
        <w:rPr>
          <w:rFonts w:ascii="Arial" w:cs="Arial" w:eastAsia="Arial" w:hAnsi="Arial"/>
          <w:b/>
          <w:bCs/>
          <w:color w:val="0D6E6E"/>
          <w:sz w:val="26"/>
          <w:szCs w:val="26"/>
        </w:rPr>
        <w:t xml:space="preserve">1. ATR Reversal  (Priority 3)</w:t>
      </w:r>
    </w:p>
    <w:p>
      <w:pPr>
        <w:spacing w:before="60" w:after="120"/>
      </w:pPr>
      <w:r>
        <w:rPr>
          <w:rFonts w:ascii="Arial" w:cs="Arial" w:eastAsia="Arial" w:hAnsi="Arial"/>
          <w:b w:val="false"/>
          <w:bCs w:val="false"/>
          <w:color w:val="2C3E50"/>
          <w:sz w:val="20"/>
          <w:szCs w:val="20"/>
        </w:rPr>
        <w:t xml:space="preserve">Mechanism: Fires when price ATR band reversal and CVD ATR band reversal coincide at the same bar, with a 5-minute CVD confirmation window.</w:t>
      </w:r>
    </w:p>
    <w:p>
      <w:pPr>
        <w:spacing w:before="60" w:after="60"/>
      </w:pPr>
      <w:r>
        <w:t xml:space="preserve"/>
      </w:r>
    </w:p>
    <w:p>
      <w:pPr>
        <w:pBdr>
          <w:left w:val="single" w:color="1A7A4A" w:sz="12" w:space="8"/>
        </w:pBdr>
        <w:shd w:fill="EAFAF1" w:val="clear"/>
        <w:spacing w:before="120" w:after="120"/>
        <w:ind w:left="360"/>
      </w:pPr>
      <w:r>
        <w:rPr>
          <w:rFonts w:ascii="Arial" w:cs="Arial" w:eastAsia="Arial" w:hAnsi="Arial"/>
          <w:b/>
          <w:bCs/>
          <w:color w:val="1A7A4A"/>
          <w:sz w:val="20"/>
          <w:szCs w:val="20"/>
        </w:rPr>
        <w:t xml:space="preserve">STRENGTH  </w:t>
      </w:r>
      <w:r>
        <w:rPr>
          <w:rFonts w:ascii="Arial" w:cs="Arial" w:eastAsia="Arial" w:hAnsi="Arial"/>
          <w:color w:val="2C3E50"/>
          <w:sz w:val="20"/>
          <w:szCs w:val="20"/>
        </w:rPr>
        <w:t xml:space="preserve">Requiring two independent oscillators to agree simultaneously is solid confluence logic.</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1  </w:t>
      </w:r>
      <w:r>
        <w:rPr>
          <w:rFonts w:ascii="Arial" w:cs="Arial" w:eastAsia="Arial" w:hAnsi="Arial"/>
          <w:color w:val="2C3E50"/>
          <w:sz w:val="20"/>
          <w:szCs w:val="20"/>
        </w:rPr>
        <w:t xml:space="preserve">ATR is backward-looking. In a fast momentum spike, the band is still wide from the prior move — the reversal signal fires too early, before the actual exhaustion. You need a velocity filter (rate-of-change of ATR) to separate genuine exhaustion from mid-move noise.</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2  </w:t>
      </w:r>
      <w:r>
        <w:rPr>
          <w:rFonts w:ascii="Arial" w:cs="Arial" w:eastAsia="Arial" w:hAnsi="Arial"/>
          <w:color w:val="2C3E50"/>
          <w:sz w:val="20"/>
          <w:szCs w:val="20"/>
        </w:rPr>
        <w:t xml:space="preserve">ATR distance is not normalized. A 1.5x ATR extension in a 40-pt day vs a 200-pt day is a completely different market condition. The fixed distance_multiplier applies uniformly. This kills performance on abnormally volatile days.</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3  </w:t>
      </w:r>
      <w:r>
        <w:rPr>
          <w:rFonts w:ascii="Arial" w:cs="Arial" w:eastAsia="Arial" w:hAnsi="Arial"/>
          <w:color w:val="2C3E50"/>
          <w:sz w:val="20"/>
          <w:szCs w:val="20"/>
        </w:rPr>
        <w:t xml:space="preserve">The 5-min confirmation window is a fixed integer. On wider timeframes (3m/5m charts), this window becomes proportionally tiny. It should scale with timeframe_minutes.</w:t>
      </w:r>
    </w:p>
    <w:p>
      <w:pPr>
        <w:spacing w:before="60" w:after="60"/>
      </w:pPr>
      <w:r>
        <w:t xml:space="preserve"/>
      </w:r>
    </w:p>
    <w:p>
      <w:pPr>
        <w:spacing w:before="60" w:after="120"/>
      </w:pPr>
      <w:r>
        <w:rPr>
          <w:rFonts w:ascii="Arial" w:cs="Arial" w:eastAsia="Arial" w:hAnsi="Arial"/>
          <w:b w:val="false"/>
          <w:bCs w:val="false"/>
          <w:color w:val="2C3E50"/>
          <w:sz w:val="20"/>
          <w:szCs w:val="20"/>
        </w:rPr>
        <w:t xml:space="preserve">Fix: Normalize ATR as (current_ATR / rolling_30session_avg_ATR). Gate the signal only when normalized ATR &gt; 1.2 (extended) and add a velocity check: ATR is flattening or contracting at the signal bar.</w:t>
      </w:r>
    </w:p>
    <w:p>
      <w:pPr>
        <w:spacing w:before="60" w:after="60"/>
      </w:pPr>
      <w:r>
        <w:t xml:space="preserve"/>
      </w:r>
    </w:p>
    <w:p>
      <w:pPr>
        <w:pStyle w:val="Heading2"/>
        <w:spacing w:before="280" w:after="120"/>
      </w:pPr>
      <w:r>
        <w:rPr>
          <w:rFonts w:ascii="Arial" w:cs="Arial" w:eastAsia="Arial" w:hAnsi="Arial"/>
          <w:b/>
          <w:bCs/>
          <w:color w:val="0D6E6E"/>
          <w:sz w:val="26"/>
          <w:szCs w:val="26"/>
        </w:rPr>
        <w:t xml:space="preserve">2. EMA + CVD Cross  (Priority 2)</w:t>
      </w:r>
    </w:p>
    <w:p>
      <w:pPr>
        <w:spacing w:before="60" w:after="120"/>
      </w:pPr>
      <w:r>
        <w:rPr>
          <w:rFonts w:ascii="Arial" w:cs="Arial" w:eastAsia="Arial" w:hAnsi="Arial"/>
          <w:b w:val="false"/>
          <w:bCs w:val="false"/>
          <w:color w:val="2C3E50"/>
          <w:sz w:val="20"/>
          <w:szCs w:val="20"/>
        </w:rPr>
        <w:t xml:space="preserve">Mechanism: Price above both EMA10/51, CVD above EMA10, then CVD crosses EMA51. Slope masks on both price and CVD add trend confirmation.</w:t>
      </w:r>
    </w:p>
    <w:p>
      <w:pPr>
        <w:spacing w:before="60" w:after="60"/>
      </w:pPr>
      <w:r>
        <w:t xml:space="preserve"/>
      </w:r>
    </w:p>
    <w:p>
      <w:pPr>
        <w:pBdr>
          <w:left w:val="single" w:color="1A7A4A" w:sz="12" w:space="8"/>
        </w:pBdr>
        <w:shd w:fill="EAFAF1" w:val="clear"/>
        <w:spacing w:before="120" w:after="120"/>
        <w:ind w:left="360"/>
      </w:pPr>
      <w:r>
        <w:rPr>
          <w:rFonts w:ascii="Arial" w:cs="Arial" w:eastAsia="Arial" w:hAnsi="Arial"/>
          <w:b/>
          <w:bCs/>
          <w:color w:val="1A7A4A"/>
          <w:sz w:val="20"/>
          <w:szCs w:val="20"/>
        </w:rPr>
        <w:t xml:space="preserve">STRENGTH  </w:t>
      </w:r>
      <w:r>
        <w:rPr>
          <w:rFonts w:ascii="Arial" w:cs="Arial" w:eastAsia="Arial" w:hAnsi="Arial"/>
          <w:color w:val="2C3E50"/>
          <w:sz w:val="20"/>
          <w:szCs w:val="20"/>
        </w:rPr>
        <w:t xml:space="preserve">The anti-hug gap filter on CVD vs EMA51 is clever — it prevents firing when price is already glued to the EMA. The dual slope mask reduces false fires in flat regimes.</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1  </w:t>
      </w:r>
      <w:r>
        <w:rPr>
          <w:rFonts w:ascii="Arial" w:cs="Arial" w:eastAsia="Arial" w:hAnsi="Arial"/>
          <w:color w:val="2C3E50"/>
          <w:sz w:val="20"/>
          <w:szCs w:val="20"/>
        </w:rPr>
        <w:t xml:space="preserve">EMA51 cross is a late-trend signal. By the time CVD crosses EMA51, you are entering the middle third of the move. Reward:risk is structurally compressed — your average win will always be smaller than it could be.</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2  </w:t>
      </w:r>
      <w:r>
        <w:rPr>
          <w:rFonts w:ascii="Arial" w:cs="Arial" w:eastAsia="Arial" w:hAnsi="Arial"/>
          <w:color w:val="2C3E50"/>
          <w:sz w:val="20"/>
          <w:szCs w:val="20"/>
        </w:rPr>
        <w:t xml:space="preserve">Fixed EMA10/51 periods. These were tuned for one instrument at one volatility regime. On high-VIX days, EMA51 lags badly. On low-volatility consolidation days, EMA10 whipsaws. Use KAMA (Kaufman Adaptive Moving Average) or at minimum a volatility-scaled EMA period.</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3  </w:t>
      </w:r>
      <w:r>
        <w:rPr>
          <w:rFonts w:ascii="Arial" w:cs="Arial" w:eastAsia="Arial" w:hAnsi="Arial"/>
          <w:color w:val="2C3E50"/>
          <w:sz w:val="20"/>
          <w:szCs w:val="20"/>
        </w:rPr>
        <w:t xml:space="preserve">No parent timeframe gate. A CVD cross on 1m is meaningless if the 5m or 15m trend is opposed. This single-TF design is the biggest structural gap in the entire system.</w:t>
      </w:r>
    </w:p>
    <w:p>
      <w:pPr>
        <w:spacing w:before="60" w:after="60"/>
      </w:pPr>
      <w:r>
        <w:t xml:space="preserve"/>
      </w:r>
    </w:p>
    <w:p>
      <w:pPr>
        <w:spacing w:before="60" w:after="120"/>
      </w:pPr>
      <w:r>
        <w:rPr>
          <w:rFonts w:ascii="Arial" w:cs="Arial" w:eastAsia="Arial" w:hAnsi="Arial"/>
          <w:b w:val="false"/>
          <w:bCs w:val="false"/>
          <w:color w:val="2C3E50"/>
          <w:sz w:val="20"/>
          <w:szCs w:val="20"/>
        </w:rPr>
        <w:t xml:space="preserve">Fix: Add a 5m EMA slope pre-filter — only take long EMA cross signals when 5m EMA10 &gt; EMA51 and trending up. This alone will cut false signals by ~30%.</w:t>
      </w:r>
    </w:p>
    <w:p>
      <w:pPr>
        <w:spacing w:before="60" w:after="60"/>
      </w:pPr>
      <w:r>
        <w:t xml:space="preserve"/>
      </w:r>
    </w:p>
    <w:p>
      <w:pPr>
        <w:pStyle w:val="Heading2"/>
        <w:spacing w:before="280" w:after="120"/>
      </w:pPr>
      <w:r>
        <w:rPr>
          <w:rFonts w:ascii="Arial" w:cs="Arial" w:eastAsia="Arial" w:hAnsi="Arial"/>
          <w:b/>
          <w:bCs/>
          <w:color w:val="0D6E6E"/>
          <w:sz w:val="26"/>
          <w:szCs w:val="26"/>
        </w:rPr>
        <w:t xml:space="preserve">3. ATR CVD Divergence  (Priority 4)</w:t>
      </w:r>
    </w:p>
    <w:p>
      <w:pPr>
        <w:spacing w:before="60" w:after="120"/>
      </w:pPr>
      <w:r>
        <w:rPr>
          <w:rFonts w:ascii="Arial" w:cs="Arial" w:eastAsia="Arial" w:hAnsi="Arial"/>
          <w:b w:val="false"/>
          <w:bCs w:val="false"/>
          <w:color w:val="2C3E50"/>
          <w:sz w:val="20"/>
          <w:szCs w:val="20"/>
        </w:rPr>
        <w:t xml:space="preserve">Mechanism: Price reverses via ATR band but CVD does not reverse — implying the 'reversal' is weak and the underlying trend should resume.</w:t>
      </w:r>
    </w:p>
    <w:p>
      <w:pPr>
        <w:spacing w:before="60" w:after="60"/>
      </w:pPr>
      <w:r>
        <w:t xml:space="preserve"/>
      </w:r>
    </w:p>
    <w:p>
      <w:pPr>
        <w:pBdr>
          <w:left w:val="single" w:color="1A7A4A" w:sz="12" w:space="8"/>
        </w:pBdr>
        <w:shd w:fill="EAFAF1" w:val="clear"/>
        <w:spacing w:before="120" w:after="120"/>
        <w:ind w:left="360"/>
      </w:pPr>
      <w:r>
        <w:rPr>
          <w:rFonts w:ascii="Arial" w:cs="Arial" w:eastAsia="Arial" w:hAnsi="Arial"/>
          <w:b/>
          <w:bCs/>
          <w:color w:val="1A7A4A"/>
          <w:sz w:val="20"/>
          <w:szCs w:val="20"/>
        </w:rPr>
        <w:t xml:space="preserve">STRENGTH  </w:t>
      </w:r>
      <w:r>
        <w:rPr>
          <w:rFonts w:ascii="Arial" w:cs="Arial" w:eastAsia="Arial" w:hAnsi="Arial"/>
          <w:color w:val="2C3E50"/>
          <w:sz w:val="20"/>
          <w:szCs w:val="20"/>
        </w:rPr>
        <w:t xml:space="preserve">This is real orderflow divergence logic — the kind prop desks actually use. When price reverses but buy/sell pressure (CVD) continues trending, the reversal is typically retail-driven and will fail.</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1  </w:t>
      </w:r>
      <w:r>
        <w:rPr>
          <w:rFonts w:ascii="Arial" w:cs="Arial" w:eastAsia="Arial" w:hAnsi="Arial"/>
          <w:color w:val="2C3E50"/>
          <w:sz w:val="20"/>
          <w:szCs w:val="20"/>
        </w:rPr>
        <w:t xml:space="preserve">CVD slope calculation over 15 bars is unstable. A 15-bar CVD slope can flip on a single large lot. You need slope confirmation over two lookbacks (15 and 30) AND require that slope is positive/consistent across both before calling divergence.</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2  </w:t>
      </w:r>
      <w:r>
        <w:rPr>
          <w:rFonts w:ascii="Arial" w:cs="Arial" w:eastAsia="Arial" w:hAnsi="Arial"/>
          <w:color w:val="2C3E50"/>
          <w:sz w:val="20"/>
          <w:szCs w:val="20"/>
        </w:rPr>
        <w:t xml:space="preserve">No magnitude filter. Price reverses 5 pts vs 50 pts — both trigger divergence equally. A small ATR reversal against trend is not the same as a large one. The signal should be strength-weighted.</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3  </w:t>
      </w:r>
      <w:r>
        <w:rPr>
          <w:rFonts w:ascii="Arial" w:cs="Arial" w:eastAsia="Arial" w:hAnsi="Arial"/>
          <w:color w:val="2C3E50"/>
          <w:sz w:val="20"/>
          <w:szCs w:val="20"/>
        </w:rPr>
        <w:t xml:space="preserve">Priority 4 (lowest) seems wrong for this strategy. In strong trends, this is your highest-conviction signal because it confirms continuation against a failed reversal. Consider making it Priority 2 in trending sessions.</w:t>
      </w:r>
    </w:p>
    <w:p>
      <w:pPr>
        <w:spacing w:before="60" w:after="60"/>
      </w:pPr>
      <w:r>
        <w:t xml:space="preserve"/>
      </w:r>
    </w:p>
    <w:p>
      <w:pPr>
        <w:pStyle w:val="Heading2"/>
        <w:spacing w:before="280" w:after="120"/>
      </w:pPr>
      <w:r>
        <w:rPr>
          <w:rFonts w:ascii="Arial" w:cs="Arial" w:eastAsia="Arial" w:hAnsi="Arial"/>
          <w:b/>
          <w:bCs/>
          <w:color w:val="0D6E6E"/>
          <w:sz w:val="26"/>
          <w:szCs w:val="26"/>
        </w:rPr>
        <w:t xml:space="preserve">4. Range Breakout  (Priority 1)</w:t>
      </w:r>
    </w:p>
    <w:p>
      <w:pPr>
        <w:spacing w:before="60" w:after="120"/>
      </w:pPr>
      <w:r>
        <w:rPr>
          <w:rFonts w:ascii="Arial" w:cs="Arial" w:eastAsia="Arial" w:hAnsi="Arial"/>
          <w:b w:val="false"/>
          <w:bCs w:val="false"/>
          <w:color w:val="2C3E50"/>
          <w:sz w:val="20"/>
          <w:szCs w:val="20"/>
        </w:rPr>
        <w:t xml:space="preserve">Mechanism: Identifies a consolidation range, waits for price to break above/below with volume confirmation and CVD alignment. Suppresses opposing ATR signals while active.</w:t>
      </w:r>
    </w:p>
    <w:p>
      <w:pPr>
        <w:spacing w:before="60" w:after="60"/>
      </w:pPr>
      <w:r>
        <w:t xml:space="preserve"/>
      </w:r>
    </w:p>
    <w:p>
      <w:pPr>
        <w:pBdr>
          <w:left w:val="single" w:color="1A7A4A" w:sz="12" w:space="8"/>
        </w:pBdr>
        <w:shd w:fill="EAFAF1" w:val="clear"/>
        <w:spacing w:before="120" w:after="120"/>
        <w:ind w:left="360"/>
      </w:pPr>
      <w:r>
        <w:rPr>
          <w:rFonts w:ascii="Arial" w:cs="Arial" w:eastAsia="Arial" w:hAnsi="Arial"/>
          <w:b/>
          <w:bCs/>
          <w:color w:val="1A7A4A"/>
          <w:sz w:val="20"/>
          <w:szCs w:val="20"/>
        </w:rPr>
        <w:t xml:space="preserve">STRENGTH  </w:t>
      </w:r>
      <w:r>
        <w:rPr>
          <w:rFonts w:ascii="Arial" w:cs="Arial" w:eastAsia="Arial" w:hAnsi="Arial"/>
          <w:color w:val="2C3E50"/>
          <w:sz w:val="20"/>
          <w:szCs w:val="20"/>
        </w:rPr>
        <w:t xml:space="preserve">Priority 1 is correct. Breakouts from real consolidation with volume confirmation are the highest-probability setups in Indian derivatives markets. The breakout suppression of opposing ATR signals is the right behavior.</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1  </w:t>
      </w:r>
      <w:r>
        <w:rPr>
          <w:rFonts w:ascii="Arial" w:cs="Arial" w:eastAsia="Arial" w:hAnsi="Arial"/>
          <w:color w:val="2C3E50"/>
          <w:sz w:val="20"/>
          <w:szCs w:val="20"/>
        </w:rPr>
        <w:t xml:space="preserve">breakout_threshold_multiplier = 1.5 is a magic constant. Real consolidations compress differently — a 2-hour tight range needs a different threshold than a 20-minute choppy range. You need a squeeze quality metric: BB width / Keltner width. The tighter the squeeze, the lower the threshold needed for a valid breakout.</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2  </w:t>
      </w:r>
      <w:r>
        <w:rPr>
          <w:rFonts w:ascii="Arial" w:cs="Arial" w:eastAsia="Arial" w:hAnsi="Arial"/>
          <w:color w:val="2C3E50"/>
          <w:sz w:val="20"/>
          <w:szCs w:val="20"/>
        </w:rPr>
        <w:t xml:space="preserve">False breakout detection is absent. The system has no mechanism to detect a stop-hunt (brief spike through the range, then reversal). Adding a 2-bar close confirmation above the breakout level before entering would eliminate most false breakouts.</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3  </w:t>
      </w:r>
      <w:r>
        <w:rPr>
          <w:rFonts w:ascii="Arial" w:cs="Arial" w:eastAsia="Arial" w:hAnsi="Arial"/>
          <w:color w:val="2C3E50"/>
          <w:sz w:val="20"/>
          <w:szCs w:val="20"/>
        </w:rPr>
        <w:t xml:space="preserve">breakout_min_consolidation_minutes defaults to 0. This means a 3-bar 'consolidation' qualifies. No institutional breakout system would allow this. Minimum should be 15 minutes (hardcoded lower bound).</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4  </w:t>
      </w:r>
      <w:r>
        <w:rPr>
          <w:rFonts w:ascii="Arial" w:cs="Arial" w:eastAsia="Arial" w:hAnsi="Arial"/>
          <w:color w:val="2C3E50"/>
          <w:sz w:val="20"/>
          <w:szCs w:val="20"/>
        </w:rPr>
        <w:t xml:space="preserve">Volume confirmation uses absolute volume, not relative volume. A 1000-lot print at 9:20 AM means something very different from the same at 2:45 PM. Use relative volume: current_volume / rolling_avg_volume_at_same_time_of_day.</w:t>
      </w:r>
    </w:p>
    <w:p>
      <w:pPr>
        <w:spacing w:before="60" w:after="60"/>
      </w:pPr>
      <w:r>
        <w:t xml:space="preserve"/>
      </w:r>
    </w:p>
    <w:p>
      <w:pPr>
        <w:pStyle w:val="Heading2"/>
        <w:spacing w:before="280" w:after="120"/>
      </w:pPr>
      <w:r>
        <w:rPr>
          <w:rFonts w:ascii="Arial" w:cs="Arial" w:eastAsia="Arial" w:hAnsi="Arial"/>
          <w:b/>
          <w:bCs/>
          <w:color w:val="0D6E6E"/>
          <w:sz w:val="26"/>
          <w:szCs w:val="26"/>
        </w:rPr>
        <w:t xml:space="preserve">5. Open Drive  (Priority 2)</w:t>
      </w:r>
    </w:p>
    <w:p>
      <w:pPr>
        <w:spacing w:before="60" w:after="120"/>
      </w:pPr>
      <w:r>
        <w:rPr>
          <w:rFonts w:ascii="Arial" w:cs="Arial" w:eastAsia="Arial" w:hAnsi="Arial"/>
          <w:b w:val="false"/>
          <w:bCs w:val="false"/>
          <w:color w:val="2C3E50"/>
          <w:sz w:val="20"/>
          <w:szCs w:val="20"/>
        </w:rPr>
        <w:t xml:space="preserve">Mechanism: One-shot signal at a user-configured time (default 9:17) when price, EMA, VWAP, and CVD all align in the same direction.</w:t>
      </w:r>
    </w:p>
    <w:p>
      <w:pPr>
        <w:spacing w:before="60" w:after="60"/>
      </w:pPr>
      <w:r>
        <w:t xml:space="preserve"/>
      </w:r>
    </w:p>
    <w:p>
      <w:pPr>
        <w:pBdr>
          <w:left w:val="single" w:color="1A7A4A" w:sz="12" w:space="8"/>
        </w:pBdr>
        <w:shd w:fill="EAFAF1" w:val="clear"/>
        <w:spacing w:before="120" w:after="120"/>
        <w:ind w:left="360"/>
      </w:pPr>
      <w:r>
        <w:rPr>
          <w:rFonts w:ascii="Arial" w:cs="Arial" w:eastAsia="Arial" w:hAnsi="Arial"/>
          <w:b/>
          <w:bCs/>
          <w:color w:val="1A7A4A"/>
          <w:sz w:val="20"/>
          <w:szCs w:val="20"/>
        </w:rPr>
        <w:t xml:space="preserve">STRENGTH  </w:t>
      </w:r>
      <w:r>
        <w:rPr>
          <w:rFonts w:ascii="Arial" w:cs="Arial" w:eastAsia="Arial" w:hAnsi="Arial"/>
          <w:color w:val="2C3E50"/>
          <w:sz w:val="20"/>
          <w:szCs w:val="20"/>
        </w:rPr>
        <w:t xml:space="preserve">One-shot-per-session design is correct — the opening drive is a one-time event. VWAP inclusion here (unlike other strategies) adds institutional context.</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1  </w:t>
      </w:r>
      <w:r>
        <w:rPr>
          <w:rFonts w:ascii="Arial" w:cs="Arial" w:eastAsia="Arial" w:hAnsi="Arial"/>
          <w:color w:val="2C3E50"/>
          <w:sz w:val="20"/>
          <w:szCs w:val="20"/>
        </w:rPr>
        <w:t xml:space="preserve">9:17 is a hardcoded guess at when the opening drive 'stabilizes'. In reality, this depends on the day. Gap-up opens stabilize faster; gap-down opens with high volatility take longer. The trigger time should be adaptive based on pre-open volatility.</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2  </w:t>
      </w:r>
      <w:r>
        <w:rPr>
          <w:rFonts w:ascii="Arial" w:cs="Arial" w:eastAsia="Arial" w:hAnsi="Arial"/>
          <w:color w:val="2C3E50"/>
          <w:sz w:val="20"/>
          <w:szCs w:val="20"/>
        </w:rPr>
        <w:t xml:space="preserve">No gap-awareness. A large gap-up open changes the character of the opening drive entirely. This strategy should have different stop/target parameters when gap &gt; 0.5% vs normal open.</w:t>
      </w:r>
    </w:p>
    <w:p>
      <w:r>
        <w:br w:type="page"/>
      </w:r>
    </w:p>
    <w:p>
      <w:pPr>
        <w:pStyle w:val="Heading1"/>
        <w:pBdr>
          <w:bottom w:val="single" w:color="1B2A4A" w:sz="6" w:space="4"/>
        </w:pBdr>
        <w:spacing w:before="360" w:after="160"/>
      </w:pPr>
      <w:r>
        <w:rPr>
          <w:rFonts w:ascii="Arial" w:cs="Arial" w:eastAsia="Arial" w:hAnsi="Arial"/>
          <w:b/>
          <w:bCs/>
          <w:color w:val="1B2A4A"/>
          <w:sz w:val="32"/>
          <w:szCs w:val="32"/>
        </w:rPr>
        <w:t xml:space="preserve">Signal Governance &amp; Risk Controls</w:t>
      </w:r>
    </w:p>
    <w:p>
      <w:pPr>
        <w:pStyle w:val="Heading2"/>
        <w:spacing w:before="280" w:after="120"/>
      </w:pPr>
      <w:r>
        <w:rPr>
          <w:rFonts w:ascii="Arial" w:cs="Arial" w:eastAsia="Arial" w:hAnsi="Arial"/>
          <w:b/>
          <w:bCs/>
          <w:color w:val="0D6E6E"/>
          <w:sz w:val="26"/>
          <w:szCs w:val="26"/>
        </w:rPr>
        <w:t xml:space="preserve">SignalGovernance — What's Right</w:t>
      </w:r>
    </w:p>
    <w:p>
      <w:pPr>
        <w:pStyle w:val="ListParagraph"/>
        <w:numPr>
          <w:ilvl w:val="0"/>
          <w:numId w:val="2"/>
        </w:numPr>
        <w:spacing w:before="40" w:after="40"/>
      </w:pPr>
      <w:r>
        <w:rPr>
          <w:rFonts w:ascii="Arial" w:cs="Arial" w:eastAsia="Arial" w:hAnsi="Arial"/>
          <w:color w:val="2C3E50"/>
          <w:sz w:val="20"/>
          <w:szCs w:val="20"/>
        </w:rPr>
        <w:t xml:space="preserve">Shadow → Canary → Live deployment modes mirrors ML deployment best practices (dark launch → partial rollout → full production)</w:t>
      </w:r>
    </w:p>
    <w:p>
      <w:pPr>
        <w:pStyle w:val="ListParagraph"/>
        <w:numPr>
          <w:ilvl w:val="0"/>
          <w:numId w:val="2"/>
        </w:numPr>
        <w:spacing w:before="40" w:after="40"/>
      </w:pPr>
      <w:r>
        <w:rPr>
          <w:rFonts w:ascii="Arial" w:cs="Arial" w:eastAsia="Arial" w:hAnsi="Arial"/>
          <w:color w:val="2C3E50"/>
          <w:sz w:val="20"/>
          <w:szCs w:val="20"/>
        </w:rPr>
        <w:t xml:space="preserve">Per-strategy health tracking with win rate monitoring is correct</w:t>
      </w:r>
    </w:p>
    <w:p>
      <w:pPr>
        <w:pStyle w:val="ListParagraph"/>
        <w:numPr>
          <w:ilvl w:val="0"/>
          <w:numId w:val="2"/>
        </w:numPr>
        <w:spacing w:before="40" w:after="40"/>
      </w:pPr>
      <w:r>
        <w:rPr>
          <w:rFonts w:ascii="Arial" w:cs="Arial" w:eastAsia="Arial" w:hAnsi="Arial"/>
          <w:color w:val="2C3E50"/>
          <w:sz w:val="20"/>
          <w:szCs w:val="20"/>
        </w:rPr>
        <w:t xml:space="preserve">Confidence threshold gate (min_confidence_input) prevents low-conviction signals from firing</w:t>
      </w:r>
    </w:p>
    <w:p>
      <w:pPr>
        <w:spacing w:before="60" w:after="60"/>
      </w:pPr>
      <w:r>
        <w:t xml:space="preserve"/>
      </w:r>
    </w:p>
    <w:p>
      <w:pPr>
        <w:pStyle w:val="Heading2"/>
        <w:spacing w:before="280" w:after="120"/>
      </w:pPr>
      <w:r>
        <w:rPr>
          <w:rFonts w:ascii="Arial" w:cs="Arial" w:eastAsia="Arial" w:hAnsi="Arial"/>
          <w:b/>
          <w:bCs/>
          <w:color w:val="0D6E6E"/>
          <w:sz w:val="26"/>
          <w:szCs w:val="26"/>
        </w:rPr>
        <w:t xml:space="preserve">Critical Governance Flaws</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w:t>
      </w:r>
      <w:r>
        <w:rPr>
          <w:rFonts w:ascii="Arial" w:cs="Arial" w:eastAsia="Arial" w:hAnsi="Arial"/>
          <w:color w:val="2C3E50"/>
          <w:sz w:val="20"/>
          <w:szCs w:val="20"/>
        </w:rPr>
        <w:t xml:space="preserve">Strategy weights are hardcoded constants (atr_reversal: 0.24, range_breakout: 0.30). There is no online learning. The relative edge of each strategy shifts with market regime — hardcoded weights are guaranteed to be wrong most of the time.</w:t>
      </w:r>
    </w:p>
    <w:p>
      <w:pPr>
        <w:spacing w:before="60" w:after="60"/>
      </w:pPr>
      <w:r>
        <w:t xml:space="preserve"/>
      </w:r>
    </w:p>
    <w:p>
      <w:pPr>
        <w:pStyle w:val="ListParagraph"/>
        <w:numPr>
          <w:ilvl w:val="0"/>
          <w:numId w:val="2"/>
        </w:numPr>
        <w:spacing w:before="40" w:after="40"/>
      </w:pPr>
      <w:r>
        <w:rPr>
          <w:rFonts w:ascii="Arial" w:cs="Arial" w:eastAsia="Arial" w:hAnsi="Arial"/>
          <w:color w:val="2C3E50"/>
          <w:sz w:val="20"/>
          <w:szCs w:val="20"/>
        </w:rPr>
        <w:t xml:space="preserve">Fix: Implement a rolling 5-day win rate per strategy. Weight each strategy proportionally to its recent realized edge. Decay older observations with exponential weighting (λ = 0.9).</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w:t>
      </w:r>
      <w:r>
        <w:rPr>
          <w:rFonts w:ascii="Arial" w:cs="Arial" w:eastAsia="Arial" w:hAnsi="Arial"/>
          <w:color w:val="2C3E50"/>
          <w:sz w:val="20"/>
          <w:szCs w:val="20"/>
        </w:rPr>
        <w:t xml:space="preserve">No session-phase confidence scaling. Signals fired between 9:15–9:30 and 14:30–15:00 should have higher SL or be suppressed entirely. The opening 15 minutes are statistically the noisiest; pre-close signals are often momentum exhaustion traps.</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w:t>
      </w:r>
      <w:r>
        <w:rPr>
          <w:rFonts w:ascii="Arial" w:cs="Arial" w:eastAsia="Arial" w:hAnsi="Arial"/>
          <w:color w:val="2C3E50"/>
          <w:sz w:val="20"/>
          <w:szCs w:val="20"/>
        </w:rPr>
        <w:t xml:space="preserve">No daily loss limit kill-switch. The governance layer tracks signal quality but nothing halts automation after, say, 3 consecutive losses or a daily drawdown exceeding X points. This is a hard institutional requirement.</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w:t>
      </w:r>
      <w:r>
        <w:rPr>
          <w:rFonts w:ascii="Arial" w:cs="Arial" w:eastAsia="Arial" w:hAnsi="Arial"/>
          <w:color w:val="2C3E50"/>
          <w:sz w:val="20"/>
          <w:szCs w:val="20"/>
        </w:rPr>
        <w:t xml:space="preserve">No cross-symbol exposure cap. If multiple instruments are open simultaneously, there is no portfolio-level risk check preventing over-exposure to correlated moves (Nifty + BankNifty both long is a concentrated position).</w:t>
      </w:r>
    </w:p>
    <w:p>
      <w:r>
        <w:br w:type="page"/>
      </w:r>
    </w:p>
    <w:p>
      <w:pPr>
        <w:pStyle w:val="Heading1"/>
        <w:pBdr>
          <w:bottom w:val="single" w:color="1B2A4A" w:sz="6" w:space="4"/>
        </w:pBdr>
        <w:spacing w:before="360" w:after="160"/>
      </w:pPr>
      <w:r>
        <w:rPr>
          <w:rFonts w:ascii="Arial" w:cs="Arial" w:eastAsia="Arial" w:hAnsi="Arial"/>
          <w:b/>
          <w:bCs/>
          <w:color w:val="1B2A4A"/>
          <w:sz w:val="32"/>
          <w:szCs w:val="32"/>
        </w:rPr>
        <w:t xml:space="preserve">Data Architecture &amp; CVD Layer</w:t>
      </w:r>
    </w:p>
    <w:p>
      <w:pPr>
        <w:pStyle w:val="Heading2"/>
        <w:spacing w:before="280" w:after="120"/>
      </w:pPr>
      <w:r>
        <w:rPr>
          <w:rFonts w:ascii="Arial" w:cs="Arial" w:eastAsia="Arial" w:hAnsi="Arial"/>
          <w:b/>
          <w:bCs/>
          <w:color w:val="0D6E6E"/>
          <w:sz w:val="26"/>
          <w:szCs w:val="26"/>
        </w:rPr>
        <w:t xml:space="preserve">CVD Implementation — Core Issues</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CRITICAL FLAW  </w:t>
      </w:r>
      <w:r>
        <w:rPr>
          <w:rFonts w:ascii="Arial" w:cs="Arial" w:eastAsia="Arial" w:hAnsi="Arial"/>
          <w:color w:val="2C3E50"/>
          <w:sz w:val="20"/>
          <w:szCs w:val="20"/>
        </w:rPr>
        <w:t xml:space="preserve">Raw CVD values are not normalized by session volume. CVD accumulated by 10 AM on a high-volume day will look dramatically different from a low-volume day, even if the actual buying pressure ratio is identical. Divide CVD by cumulative volume at each bar to get normalized buying pressure (range 0–1). This is what institutional desks actually track.</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CVD is rebuilt from OHLCV candle approximation, not tick-level data. The CVDHistoricalBuilder infers buy/sell pressure from candle internals (a standard but lossy approach). For historical analysis this is acceptable. But the live tick CVD and the historical CVD use different construction methods — this creates a seam/discontinuity at the historical-to-live boundary that the _live_cvd_offset patch is compensating for, not solving.</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No market microstructure data. Bid-ask spread, order book depth, and large lot prints are absent. CVD alone without spread context misses institutional accumulation patterns that show up in the book, not in OHLCV.</w:t>
      </w:r>
    </w:p>
    <w:p>
      <w:pPr>
        <w:pStyle w:val="Heading2"/>
        <w:spacing w:before="280" w:after="120"/>
      </w:pPr>
      <w:r>
        <w:rPr>
          <w:rFonts w:ascii="Arial" w:cs="Arial" w:eastAsia="Arial" w:hAnsi="Arial"/>
          <w:b/>
          <w:bCs/>
          <w:color w:val="0D6E6E"/>
          <w:sz w:val="26"/>
          <w:szCs w:val="26"/>
        </w:rPr>
        <w:t xml:space="preserve">Data Worker Issues</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Data fetch uses a 5-day lookback (timedelta(days=5)) regardless of session count. On weeks with holidays, this can return fewer sessions than expected, silently producing incorrect prev_close. Should use a session-count-based lookback (fetch until N valid sessions found).</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w:t>
      </w:r>
      <w:r>
        <w:rPr>
          <w:rFonts w:ascii="Arial" w:cs="Arial" w:eastAsia="Arial" w:hAnsi="Arial"/>
          <w:color w:val="2C3E50"/>
          <w:sz w:val="20"/>
          <w:szCs w:val="20"/>
        </w:rPr>
        <w:t xml:space="preserve">No retry logic in _DataFetchWorker.run(). A single Kite API failure drops the entire load cycle. In live trading, this means a 3-second blank period before the next REFRESH_INTERVAL_MS retry. Should implement exponential backoff with 3 retries.</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Resampling uses .dropna() after resample().agg(). This silently drops bars where any field is NaN. If a candle has zero volume (auction period), it gets dropped, creating timestamp gaps that break CVD continuity.</w:t>
      </w:r>
    </w:p>
    <w:p>
      <w:r>
        <w:br w:type="page"/>
      </w:r>
    </w:p>
    <w:p>
      <w:pPr>
        <w:pStyle w:val="Heading1"/>
        <w:pBdr>
          <w:bottom w:val="single" w:color="1B2A4A" w:sz="6" w:space="4"/>
        </w:pBdr>
        <w:spacing w:before="360" w:after="160"/>
      </w:pPr>
      <w:r>
        <w:rPr>
          <w:rFonts w:ascii="Arial" w:cs="Arial" w:eastAsia="Arial" w:hAnsi="Arial"/>
          <w:b/>
          <w:bCs/>
          <w:color w:val="1B2A4A"/>
          <w:sz w:val="32"/>
          <w:szCs w:val="32"/>
        </w:rPr>
        <w:t xml:space="preserve">Execution &amp; Live Trading Infrastructure</w:t>
      </w:r>
    </w:p>
    <w:p>
      <w:pPr>
        <w:pStyle w:val="Heading2"/>
        <w:spacing w:before="280" w:after="120"/>
      </w:pPr>
      <w:r>
        <w:rPr>
          <w:rFonts w:ascii="Arial" w:cs="Arial" w:eastAsia="Arial" w:hAnsi="Arial"/>
          <w:b/>
          <w:bCs/>
          <w:color w:val="0D6E6E"/>
          <w:sz w:val="26"/>
          <w:szCs w:val="26"/>
        </w:rPr>
        <w:t xml:space="preserve">Live Tick Processing</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Live tick CVD offset (_live_cvd_offset) is set once at session start and never recalibrated. If the historical feed drifts during the session (delayed candles), the offset becomes stale and the live tick curve disconnects visually from the historical curve.</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LIVE_TICK_MAX_POINTS = 6000 and LIVE_TICK_DOWNSAMPLE_TARGET = 1500. The downsampling uses simple index slicing, not LTTB (Largest Triangle Three Buckets) or min-max envelope downsampling. This can discard genuine price extremes, making the chart misleadingly smooth during volatile periods.</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w:t>
      </w:r>
      <w:r>
        <w:rPr>
          <w:rFonts w:ascii="Arial" w:cs="Arial" w:eastAsia="Arial" w:hAnsi="Arial"/>
          <w:color w:val="2C3E50"/>
          <w:sz w:val="20"/>
          <w:szCs w:val="20"/>
        </w:rPr>
        <w:t xml:space="preserve">WebSocket reconnection is not handled in the auto trader dialog. If the Kite WebSocket drops mid-session, ticks stop arriving silently — no alert, no reconnect attempt, no indicator to the user that data has stopped.</w:t>
      </w:r>
    </w:p>
    <w:p>
      <w:pPr>
        <w:pStyle w:val="Heading2"/>
        <w:spacing w:before="280" w:after="120"/>
      </w:pPr>
      <w:r>
        <w:rPr>
          <w:rFonts w:ascii="Arial" w:cs="Arial" w:eastAsia="Arial" w:hAnsi="Arial"/>
          <w:b/>
          <w:bCs/>
          <w:color w:val="0D6E6E"/>
          <w:sz w:val="26"/>
          <w:szCs w:val="26"/>
        </w:rPr>
        <w:t xml:space="preserve">Order Execution</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CRITICAL FLAW  </w:t>
      </w:r>
      <w:r>
        <w:rPr>
          <w:rFonts w:ascii="Arial" w:cs="Arial" w:eastAsia="Arial" w:hAnsi="Arial"/>
          <w:color w:val="2C3E50"/>
          <w:sz w:val="20"/>
          <w:szCs w:val="20"/>
        </w:rPr>
        <w:t xml:space="preserve">No slippage model. The simulator assumes entry at the close of the signal bar. In live trading, limit order fill depends on bid-ask spread, queue position, and market impact. There is no calibration of simulated vs actual fill prices, so the simulator's P&amp;L is systematically optimistic.</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w:t>
      </w:r>
      <w:r>
        <w:rPr>
          <w:rFonts w:ascii="Arial" w:cs="Arial" w:eastAsia="Arial" w:hAnsi="Arial"/>
          <w:color w:val="2C3E50"/>
          <w:sz w:val="20"/>
          <w:szCs w:val="20"/>
        </w:rPr>
        <w:t xml:space="preserve">Position sizing is fixed. The system trades a hardcoded lot size regardless of signal confidence, account size, or current volatility. True institutional systems size positions as a function of (kelly fraction × confidence) × (account equity / ATR-based risk per lot).</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Stacker LIFO unwind logic assumes the stack was filled at the stack entry price. In fast markets, stacked orders may fill at significantly different prices. The coordinator should track actual fill prices per stack level, not theoretical entry prices.</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The 3 PM cutoff is a hard wall that triggers immediate exit regardless of trade health. A trade entered at 2:58 PM that is 50 points in profit gets force-exited at market, potentially into thin liquidity. The cutoff should check: if last_entry_time &gt; 2:50 PM, reduce position size to 50% as a risk-reduction measure, not a binary kill.</w:t>
      </w:r>
    </w:p>
    <w:p>
      <w:r>
        <w:br w:type="page"/>
      </w:r>
    </w:p>
    <w:p>
      <w:pPr>
        <w:pStyle w:val="Heading1"/>
        <w:pBdr>
          <w:bottom w:val="single" w:color="1B2A4A" w:sz="6" w:space="4"/>
        </w:pBdr>
        <w:spacing w:before="360" w:after="160"/>
      </w:pPr>
      <w:r>
        <w:rPr>
          <w:rFonts w:ascii="Arial" w:cs="Arial" w:eastAsia="Arial" w:hAnsi="Arial"/>
          <w:b/>
          <w:bCs/>
          <w:color w:val="1B2A4A"/>
          <w:sz w:val="32"/>
          <w:szCs w:val="32"/>
        </w:rPr>
        <w:t xml:space="preserve">Simulator — Gaps &amp; Fixes</w:t>
      </w:r>
    </w:p>
    <w:p>
      <w:pPr>
        <w:pBdr>
          <w:left w:val="single" w:color="1A7A4A" w:sz="12" w:space="8"/>
        </w:pBdr>
        <w:shd w:fill="EAFAF1" w:val="clear"/>
        <w:spacing w:before="120" w:after="120"/>
        <w:ind w:left="360"/>
      </w:pPr>
      <w:r>
        <w:rPr>
          <w:rFonts w:ascii="Arial" w:cs="Arial" w:eastAsia="Arial" w:hAnsi="Arial"/>
          <w:b/>
          <w:bCs/>
          <w:color w:val="1A7A4A"/>
          <w:sz w:val="20"/>
          <w:szCs w:val="20"/>
        </w:rPr>
        <w:t xml:space="preserve">STRENGTH  </w:t>
      </w:r>
      <w:r>
        <w:rPr>
          <w:rFonts w:ascii="Arial" w:cs="Arial" w:eastAsia="Arial" w:hAnsi="Arial"/>
          <w:color w:val="2C3E50"/>
          <w:sz w:val="20"/>
          <w:szCs w:val="20"/>
        </w:rPr>
        <w:t xml:space="preserve">The simulator replays signals with stacker, LIFO unwind, max profit giveback, and strategy-specific SL logic. This is more realistic than most retail backtesting tools.</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CRITICAL FLAW  </w:t>
      </w:r>
      <w:r>
        <w:rPr>
          <w:rFonts w:ascii="Arial" w:cs="Arial" w:eastAsia="Arial" w:hAnsi="Arial"/>
          <w:color w:val="2C3E50"/>
          <w:sz w:val="20"/>
          <w:szCs w:val="20"/>
        </w:rPr>
        <w:t xml:space="preserve">No walk-forward validation. The simulator runs on historical data that was used to tune the parameters. There is no out-of-sample testing. Parameters tuned on 2024 data will overfit to 2024 conditions.</w:t>
      </w:r>
    </w:p>
    <w:p>
      <w:pPr>
        <w:spacing w:before="60" w:after="60"/>
      </w:pPr>
      <w:r>
        <w:t xml:space="preserve"/>
      </w:r>
    </w:p>
    <w:p>
      <w:pPr>
        <w:pStyle w:val="ListParagraph"/>
        <w:numPr>
          <w:ilvl w:val="0"/>
          <w:numId w:val="2"/>
        </w:numPr>
        <w:spacing w:before="40" w:after="40"/>
      </w:pPr>
      <w:r>
        <w:rPr>
          <w:rFonts w:ascii="Arial" w:cs="Arial" w:eastAsia="Arial" w:hAnsi="Arial"/>
          <w:color w:val="2C3E50"/>
          <w:sz w:val="20"/>
          <w:szCs w:val="20"/>
        </w:rPr>
        <w:t xml:space="preserve">Fix: Implement a rolling walk-forward: use months 1–3 to tune, test on month 4. Advance by 1 month, retune, test. Report out-of-sample Sharpe and max drawdown separately.</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No Monte Carlo simulation. The simulator produces a single P&amp;L path. Real edge validation requires randomizing trade order (Monte Carlo) to estimate the distribution of outcomes and ensure the positive expectancy is not luck.</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atr_trailing_step_points is hardcoded to 10.0 inside the simulator. This magic constant is not exposed to the UI and cannot be optimized. It is also fixed — when a breakout accelerates, the trail should widen proportionally to ATR expansion, not stay at a fixed 10 points.</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Simulator result struct uses Python lists that grow unboundedly. For long date ranges with multiple symbols, this will cause memory pressure. Should use numpy pre-allocated arrays with a counter index.</w:t>
      </w:r>
    </w:p>
    <w:p>
      <w:r>
        <w:br w:type="page"/>
      </w:r>
    </w:p>
    <w:p>
      <w:pPr>
        <w:pStyle w:val="Heading1"/>
        <w:pBdr>
          <w:bottom w:val="single" w:color="1B2A4A" w:sz="6" w:space="4"/>
        </w:pBdr>
        <w:spacing w:before="360" w:after="160"/>
      </w:pPr>
      <w:r>
        <w:rPr>
          <w:rFonts w:ascii="Arial" w:cs="Arial" w:eastAsia="Arial" w:hAnsi="Arial"/>
          <w:b/>
          <w:bCs/>
          <w:color w:val="1B2A4A"/>
          <w:sz w:val="32"/>
          <w:szCs w:val="32"/>
        </w:rPr>
        <w:t xml:space="preserve">Software Architecture Issues</w:t>
      </w:r>
    </w:p>
    <w:p>
      <w:pPr>
        <w:pStyle w:val="Heading2"/>
        <w:spacing w:before="280" w:after="120"/>
      </w:pPr>
      <w:r>
        <w:rPr>
          <w:rFonts w:ascii="Arial" w:cs="Arial" w:eastAsia="Arial" w:hAnsi="Arial"/>
          <w:b/>
          <w:bCs/>
          <w:color w:val="0D6E6E"/>
          <w:sz w:val="26"/>
          <w:szCs w:val="26"/>
        </w:rPr>
        <w:t xml:space="preserve">Class Design &amp; Coupling</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AutoTraderDialog inherits from five mixins (SetupPanelMixin, SettingsManagerMixin, SignalRendererMixin, SimulatorMixin, QDialog). Mixin inheritance at this scale creates fragile implicit dependencies — a method in SetupPanelMixin directly accesses self.all_price_data which is set in SignalRendererMixin. This makes the codebase hard to test and prone to silent attribute errors.</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Settings persistence uses both QSettings and a JSON file (auto_trader_setup.json). Two sources of truth for the same data. On a fresh install, whichever is read first wins — the behavior is undefined.</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StrategySignalDetector computes all strategies on every redraw. There is no incremental update — a new tick triggers full recomputation of ATR, ADX, EMA, and all signal masks from scratch. On long historical ranges (5 days × 375 bars), this is O(N) per tick.</w:t>
      </w:r>
    </w:p>
    <w:p>
      <w:pPr>
        <w:spacing w:before="60" w:after="60"/>
      </w:pPr>
      <w:r>
        <w:t xml:space="preserve"/>
      </w:r>
    </w:p>
    <w:p>
      <w:pPr>
        <w:pStyle w:val="Heading2"/>
        <w:spacing w:before="280" w:after="120"/>
      </w:pPr>
      <w:r>
        <w:rPr>
          <w:rFonts w:ascii="Arial" w:cs="Arial" w:eastAsia="Arial" w:hAnsi="Arial"/>
          <w:b/>
          <w:bCs/>
          <w:color w:val="0D6E6E"/>
          <w:sz w:val="26"/>
          <w:szCs w:val="26"/>
        </w:rPr>
        <w:t xml:space="preserve">Threading</w:t>
      </w:r>
    </w:p>
    <w:p>
      <w:pPr>
        <w:spacing w:before="60" w:after="60"/>
      </w:pPr>
      <w:r>
        <w:t xml:space="preserve"/>
      </w:r>
    </w:p>
    <w:p>
      <w:pPr>
        <w:pBdr>
          <w:left w:val="single" w:color="C0392B" w:sz="12" w:space="8"/>
        </w:pBdr>
        <w:shd w:fill="FDEDEC" w:val="clear"/>
        <w:spacing w:before="120" w:after="120"/>
        <w:ind w:left="360"/>
      </w:pPr>
      <w:r>
        <w:rPr>
          <w:rFonts w:ascii="Arial" w:cs="Arial" w:eastAsia="Arial" w:hAnsi="Arial"/>
          <w:b/>
          <w:bCs/>
          <w:color w:val="C0392B"/>
          <w:sz w:val="20"/>
          <w:szCs w:val="20"/>
        </w:rPr>
        <w:t xml:space="preserve">FLAW  </w:t>
      </w:r>
      <w:r>
        <w:rPr>
          <w:rFonts w:ascii="Arial" w:cs="Arial" w:eastAsia="Arial" w:hAnsi="Arial"/>
          <w:color w:val="2C3E50"/>
          <w:sz w:val="20"/>
          <w:szCs w:val="20"/>
        </w:rPr>
        <w:t xml:space="preserve">Thread cleanup relies on finished.connect(deleteLater). If _fetch_thread is still running when the dialog closes, the thread continues running with a dangling reference to the dialog. Need explicit thread.quit() + thread.wait() in closeEvent.</w:t>
      </w:r>
    </w:p>
    <w:p>
      <w:pPr>
        <w:spacing w:before="60" w:after="60"/>
      </w:pPr>
      <w:r>
        <w:t xml:space="preserve"/>
      </w:r>
    </w:p>
    <w:p>
      <w:pPr>
        <w:pBdr>
          <w:left w:val="single" w:color="E67E22" w:sz="12" w:space="8"/>
        </w:pBdr>
        <w:shd w:fill="FEF9E7" w:val="clear"/>
        <w:spacing w:before="120" w:after="120"/>
        <w:ind w:left="360"/>
      </w:pPr>
      <w:r>
        <w:rPr>
          <w:rFonts w:ascii="Arial" w:cs="Arial" w:eastAsia="Arial" w:hAnsi="Arial"/>
          <w:b/>
          <w:bCs/>
          <w:color w:val="E67E22"/>
          <w:sz w:val="20"/>
          <w:szCs w:val="20"/>
        </w:rPr>
        <w:t xml:space="preserve">FLAW  </w:t>
      </w:r>
      <w:r>
        <w:rPr>
          <w:rFonts w:ascii="Arial" w:cs="Arial" w:eastAsia="Arial" w:hAnsi="Arial"/>
          <w:color w:val="2C3E50"/>
          <w:sz w:val="20"/>
          <w:szCs w:val="20"/>
        </w:rPr>
        <w:t xml:space="preserve">The _cvd_tick_received signal marshals WebSocket data to the GUI thread correctly — this is right. But _apply_cvd_tick() does numpy comparisons (abs(plotted_cvd - last_cvd) &gt; 1.0) on the GUI thread for every tick. Under high-frequency tick streams, this blocks the event loop.</w:t>
      </w:r>
    </w:p>
    <w:p>
      <w:r>
        <w:br w:type="page"/>
      </w:r>
    </w:p>
    <w:p>
      <w:pPr>
        <w:pStyle w:val="Heading1"/>
        <w:pBdr>
          <w:bottom w:val="single" w:color="1B2A4A" w:sz="6" w:space="4"/>
        </w:pBdr>
        <w:spacing w:before="360" w:after="160"/>
      </w:pPr>
      <w:r>
        <w:rPr>
          <w:rFonts w:ascii="Arial" w:cs="Arial" w:eastAsia="Arial" w:hAnsi="Arial"/>
          <w:b/>
          <w:bCs/>
          <w:color w:val="1B2A4A"/>
          <w:sz w:val="32"/>
          <w:szCs w:val="32"/>
        </w:rPr>
        <w:t xml:space="preserve">Prioritized Improvement Roadmap</w:t>
      </w:r>
    </w:p>
    <w:p>
      <w:pPr>
        <w:spacing w:before="60" w:after="60"/>
      </w:pPr>
      <w:r>
        <w:t xml:space="preserve"/>
      </w:r>
    </w:p>
    <w:p>
      <w:pPr>
        <w:pStyle w:val="Heading2"/>
        <w:spacing w:before="280" w:after="120"/>
      </w:pPr>
      <w:r>
        <w:rPr>
          <w:rFonts w:ascii="Arial" w:cs="Arial" w:eastAsia="Arial" w:hAnsi="Arial"/>
          <w:b/>
          <w:bCs/>
          <w:color w:val="0D6E6E"/>
          <w:sz w:val="26"/>
          <w:szCs w:val="26"/>
        </w:rPr>
        <w:t xml:space="preserve">Phase 1 — Quick Wins (1–2 weeks)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55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Item</w:t>
            </w:r>
          </w:p>
        </w:tc>
        <w:tc>
          <w:tcPr>
            <w:tcW w:type="dxa" w:w="9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Impact</w:t>
            </w:r>
          </w:p>
        </w:tc>
        <w:tc>
          <w:tcPr>
            <w:tcW w:type="dxa" w:w="9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Effort</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Normalized CVD</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A4A"/>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A4A"/>
                <w:sz w:val="19"/>
                <w:szCs w:val="19"/>
              </w:rPr>
              <w:t xml:space="preserve">Low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Divide CVD by cumulative session volume → consistent signal strength</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Daily Loss Kill-Switch</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1A7A4A"/>
                <w:sz w:val="19"/>
                <w:szCs w:val="19"/>
              </w:rPr>
              <w:t xml:space="preserve">High</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1A7A4A"/>
                <w:sz w:val="19"/>
                <w:szCs w:val="19"/>
              </w:rPr>
              <w:t xml:space="preserve">Low</w:t>
            </w:r>
          </w:p>
        </w:tc>
        <w:tc>
          <w:tcPr>
            <w:tcW w:type="dxa" w:w="55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Halt automation after N consecutive losses or X-point daily drawdown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Retry Logic in DataWorker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A4A"/>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A4A"/>
                <w:sz w:val="19"/>
                <w:szCs w:val="19"/>
              </w:rPr>
              <w:t xml:space="preserve">Low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Exponential backoff (3 retries) on Kite API failure</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Min Consolidation Hard Floor</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E67E22"/>
                <w:sz w:val="19"/>
                <w:szCs w:val="19"/>
              </w:rPr>
              <w:t xml:space="preserve">Medium</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1A7A4A"/>
                <w:sz w:val="19"/>
                <w:szCs w:val="19"/>
              </w:rPr>
              <w:t xml:space="preserve">Low</w:t>
            </w:r>
          </w:p>
        </w:tc>
        <w:tc>
          <w:tcPr>
            <w:tcW w:type="dxa" w:w="55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Enforce minimum 15-min consolidation before breakout fires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Session Phase Filter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A4A"/>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A4A"/>
                <w:sz w:val="19"/>
                <w:szCs w:val="19"/>
              </w:rPr>
              <w:t xml:space="preserve">Low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Suppress all signals in first 15 min and last 30 min or raise SL 50%</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VWAP as Primary Filter</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1A7A4A"/>
                <w:sz w:val="19"/>
                <w:szCs w:val="19"/>
              </w:rPr>
              <w:t xml:space="preserve">High</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1A7A4A"/>
                <w:sz w:val="19"/>
                <w:szCs w:val="19"/>
              </w:rPr>
              <w:t xml:space="preserve">Low</w:t>
            </w:r>
          </w:p>
        </w:tc>
        <w:tc>
          <w:tcPr>
            <w:tcW w:type="dxa" w:w="55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Gate long signals to price &gt; VWAP; short signals to price &lt; VWAP</w:t>
            </w:r>
          </w:p>
        </w:tc>
      </w:tr>
    </w:tbl>
    <w:p>
      <w:pPr>
        <w:spacing w:before="60" w:after="60"/>
      </w:pPr>
      <w:r>
        <w:t xml:space="preserve"/>
      </w:r>
    </w:p>
    <w:p>
      <w:pPr>
        <w:pStyle w:val="Heading2"/>
        <w:spacing w:before="280" w:after="120"/>
      </w:pPr>
      <w:r>
        <w:rPr>
          <w:rFonts w:ascii="Arial" w:cs="Arial" w:eastAsia="Arial" w:hAnsi="Arial"/>
          <w:b/>
          <w:bCs/>
          <w:color w:val="0D6E6E"/>
          <w:sz w:val="26"/>
          <w:szCs w:val="26"/>
        </w:rPr>
        <w:t xml:space="preserve">Phase 2 — Structural Upgrades (1–2 months)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55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Item</w:t>
            </w:r>
          </w:p>
        </w:tc>
        <w:tc>
          <w:tcPr>
            <w:tcW w:type="dxa" w:w="9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Impact</w:t>
            </w:r>
          </w:p>
        </w:tc>
        <w:tc>
          <w:tcPr>
            <w:tcW w:type="dxa" w:w="9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Effort</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5m Parent Regime Filter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A4A"/>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19"/>
                <w:szCs w:val="19"/>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Lightweight 5m EMA + regime; only take signals when 1m and 5m agree</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Adaptive EMA / KAMA</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1A7A4A"/>
                <w:sz w:val="19"/>
                <w:szCs w:val="19"/>
              </w:rPr>
              <w:t xml:space="preserve">High</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E67E22"/>
                <w:sz w:val="19"/>
                <w:szCs w:val="19"/>
              </w:rPr>
              <w:t xml:space="preserve">Medium</w:t>
            </w:r>
          </w:p>
        </w:tc>
        <w:tc>
          <w:tcPr>
            <w:tcW w:type="dxa" w:w="55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Replace fixed EMA10/51 with Kaufman AMA that self-adjusts to volatility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Dynamic Breakout Threshold</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A4A"/>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19"/>
                <w:szCs w:val="19"/>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BB/Keltner squeeze ratio → scale threshold inversely to squeeze quality</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ATR Normalization</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E67E22"/>
                <w:sz w:val="19"/>
                <w:szCs w:val="19"/>
              </w:rPr>
              <w:t xml:space="preserve">Medium</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E67E22"/>
                <w:sz w:val="19"/>
                <w:szCs w:val="19"/>
              </w:rPr>
              <w:t xml:space="preserve">Medium</w:t>
            </w:r>
          </w:p>
        </w:tc>
        <w:tc>
          <w:tcPr>
            <w:tcW w:type="dxa" w:w="55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Normalize ATR vs 30-session rolling average; add velocity check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Online Strategy Weighting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A4A"/>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19"/>
                <w:szCs w:val="19"/>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Replace hardcoded governance weights with rolling win-rate weighting</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Relative Volume Filter</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E67E22"/>
                <w:sz w:val="19"/>
                <w:szCs w:val="19"/>
              </w:rPr>
              <w:t xml:space="preserve">Medium</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E67E22"/>
                <w:sz w:val="19"/>
                <w:szCs w:val="19"/>
              </w:rPr>
              <w:t xml:space="preserve">Medium</w:t>
            </w:r>
          </w:p>
        </w:tc>
        <w:tc>
          <w:tcPr>
            <w:tcW w:type="dxa" w:w="55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Volume vs same-time-of-day rolling average; eliminates thin-market false positives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Walk-Forward Validation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A4A"/>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19"/>
                <w:szCs w:val="19"/>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Rolling 3m in-sample / 1m out-of-sample simulator; report OOS metrics separately</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WebSocket Reconnect</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1A7A4A"/>
                <w:sz w:val="19"/>
                <w:szCs w:val="19"/>
              </w:rPr>
              <w:t xml:space="preserve">High</w:t>
            </w:r>
          </w:p>
        </w:tc>
        <w:tc>
          <w:tcPr>
            <w:tcW w:type="dxa" w:w="9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1A7A4A"/>
                <w:sz w:val="19"/>
                <w:szCs w:val="19"/>
              </w:rPr>
              <w:t xml:space="preserve">Low</w:t>
            </w:r>
          </w:p>
        </w:tc>
        <w:tc>
          <w:tcPr>
            <w:tcW w:type="dxa" w:w="55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Auto-reconnect with visible indicator; alert user on data gap &gt; 30s</w:t>
            </w:r>
          </w:p>
        </w:tc>
      </w:tr>
    </w:tbl>
    <w:p>
      <w:pPr>
        <w:spacing w:before="60" w:after="60"/>
      </w:pPr>
      <w:r>
        <w:t xml:space="preserve"/>
      </w:r>
    </w:p>
    <w:p>
      <w:pPr>
        <w:pStyle w:val="Heading2"/>
        <w:spacing w:before="280" w:after="120"/>
      </w:pPr>
      <w:r>
        <w:rPr>
          <w:rFonts w:ascii="Arial" w:cs="Arial" w:eastAsia="Arial" w:hAnsi="Arial"/>
          <w:b/>
          <w:bCs/>
          <w:color w:val="0D6E6E"/>
          <w:sz w:val="26"/>
          <w:szCs w:val="26"/>
        </w:rPr>
        <w:t xml:space="preserve">Phase 3 — New Strategies to Add</w:t>
      </w:r>
    </w:p>
    <w:p>
      <w:pPr>
        <w:spacing w:before="60" w:after="60"/>
      </w:pPr>
      <w:r>
        <w:t xml:space="preserve"/>
      </w:r>
    </w:p>
    <w:p>
      <w:pPr>
        <w:pStyle w:val="ListParagraph"/>
        <w:numPr>
          <w:ilvl w:val="0"/>
          <w:numId w:val="2"/>
        </w:numPr>
        <w:spacing w:before="40" w:after="40"/>
      </w:pPr>
      <w:r>
        <w:rPr>
          <w:rFonts w:ascii="Arial" w:cs="Arial" w:eastAsia="Arial" w:hAnsi="Arial"/>
          <w:color w:val="2C3E50"/>
          <w:sz w:val="20"/>
          <w:szCs w:val="20"/>
        </w:rPr>
        <w:t xml:space="preserve">Opening Range Breakout (ORB) — First 15-min range → breakout in either direction. You already have range detection infrastructure; gate it to 9:15–9:30. Backtests consistently well on BankNifty.</w:t>
      </w:r>
    </w:p>
    <w:p>
      <w:pPr>
        <w:pStyle w:val="ListParagraph"/>
        <w:numPr>
          <w:ilvl w:val="0"/>
          <w:numId w:val="2"/>
        </w:numPr>
        <w:spacing w:before="40" w:after="40"/>
      </w:pPr>
      <w:r>
        <w:rPr>
          <w:rFonts w:ascii="Arial" w:cs="Arial" w:eastAsia="Arial" w:hAnsi="Arial"/>
          <w:color w:val="2C3E50"/>
          <w:sz w:val="20"/>
          <w:szCs w:val="20"/>
        </w:rPr>
        <w:t xml:space="preserve">VWAP Reclaim — Price dips below VWAP, then reclaims it with volume spike + CVD flipping positive. Staple of Indian intraday and pairs beautifully with your CVD backbone.</w:t>
      </w:r>
    </w:p>
    <w:p>
      <w:pPr>
        <w:pStyle w:val="ListParagraph"/>
        <w:numPr>
          <w:ilvl w:val="0"/>
          <w:numId w:val="2"/>
        </w:numPr>
        <w:spacing w:before="40" w:after="40"/>
      </w:pPr>
      <w:r>
        <w:rPr>
          <w:rFonts w:ascii="Arial" w:cs="Arial" w:eastAsia="Arial" w:hAnsi="Arial"/>
          <w:color w:val="2C3E50"/>
          <w:sz w:val="20"/>
          <w:szCs w:val="20"/>
        </w:rPr>
        <w:t xml:space="preserve">Liquidity Sweep Detector — Price briefly spikes below a swing low (stops get taken), then reverses hard. This is the single most reliable institutional setup in derivatives and perfectly complements ATR Reversal.</w:t>
      </w:r>
    </w:p>
    <w:p>
      <w:pPr>
        <w:pStyle w:val="ListParagraph"/>
        <w:numPr>
          <w:ilvl w:val="0"/>
          <w:numId w:val="2"/>
        </w:numPr>
        <w:spacing w:before="40" w:after="40"/>
      </w:pPr>
      <w:r>
        <w:rPr>
          <w:rFonts w:ascii="Arial" w:cs="Arial" w:eastAsia="Arial" w:hAnsi="Arial"/>
          <w:color w:val="2C3E50"/>
          <w:sz w:val="20"/>
          <w:szCs w:val="20"/>
        </w:rPr>
        <w:t xml:space="preserve">True Delta Divergence — Price makes a new high/low but CVD does not confirm. Your current ATR Divergence strategy is a continuation play; this would be a genuine reversal signal from swing-level orderflow divergence.</w:t>
      </w:r>
    </w:p>
    <w:p>
      <w:pPr>
        <w:pStyle w:val="ListParagraph"/>
        <w:numPr>
          <w:ilvl w:val="0"/>
          <w:numId w:val="2"/>
        </w:numPr>
        <w:spacing w:before="40" w:after="40"/>
      </w:pPr>
      <w:r>
        <w:rPr>
          <w:rFonts w:ascii="Arial" w:cs="Arial" w:eastAsia="Arial" w:hAnsi="Arial"/>
          <w:color w:val="2C3E50"/>
          <w:sz w:val="20"/>
          <w:szCs w:val="20"/>
        </w:rPr>
        <w:t xml:space="preserve">Imbalance Candle Zone — Large single candles (&gt;2x avg size) closing with minimal wicks represent institutional absorption. When price returns to these zones, they act as high-probability S/R.</w:t>
      </w:r>
    </w:p>
    <w:p>
      <w:pPr>
        <w:spacing w:before="60" w:after="60"/>
      </w:pPr>
      <w:r>
        <w:t xml:space="preserve"/>
      </w:r>
    </w:p>
    <w:p>
      <w:pPr>
        <w:pStyle w:val="Heading2"/>
        <w:spacing w:before="280" w:after="120"/>
      </w:pPr>
      <w:r>
        <w:rPr>
          <w:rFonts w:ascii="Arial" w:cs="Arial" w:eastAsia="Arial" w:hAnsi="Arial"/>
          <w:b/>
          <w:bCs/>
          <w:color w:val="0D6E6E"/>
          <w:sz w:val="26"/>
          <w:szCs w:val="26"/>
        </w:rPr>
        <w:t xml:space="preserve">Phase 4 — Institutional Completeness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Feature</w:t>
            </w:r>
          </w:p>
        </w:tc>
        <w:tc>
          <w:tcPr>
            <w:tcW w:type="dxa" w:w="6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Why It Matters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Confidence-Proportional Position Sizing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Size = f(confidence) × f(account equity / ATR risk). Currently all trades are equal size — this is not risk-adjusted.</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Slippage Model Calibration</w:t>
            </w:r>
          </w:p>
        </w:tc>
        <w:tc>
          <w:tcPr>
            <w:tcW w:type="dxa" w:w="61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Compare simulated entry vs actual fill prices daily. Feed the delta back as a slippage adjustment factor in the simulator.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Portfolio Greeks Overlay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If trading options, track delta/gamma/vega exposure at book level. A system that buys CE and PE simultaneously is net-hedged — the coordinator should know this.</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Redundant Data Feed</w:t>
            </w:r>
          </w:p>
        </w:tc>
        <w:tc>
          <w:tcPr>
            <w:tcW w:type="dxa" w:w="61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Kite WebSocket as primary + a secondary NSE feed as fallback. Single-feed dependency is an operational risk that will eventually cause a live-session outage.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Alpha Decay Monitor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Automatically detect when a strategy's rolling OOS Sharpe drops below 0.5 and flag it for review. Prevents running dead strategies while continuing to take losses.</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Incident Playbook</w:t>
            </w:r>
          </w:p>
        </w:tc>
        <w:tc>
          <w:tcPr>
            <w:tcW w:type="dxa" w:w="61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Documented, automated responses to: API timeout, WebSocket drop, order reject, position mismatch. Currently these are all silent / manual.</w:t>
            </w:r>
          </w:p>
        </w:tc>
      </w:tr>
    </w:tbl>
    <w:p>
      <w:r>
        <w:br w:type="page"/>
      </w:r>
    </w:p>
    <w:p>
      <w:pPr>
        <w:pStyle w:val="Heading1"/>
        <w:pBdr>
          <w:bottom w:val="single" w:color="1B2A4A" w:sz="6" w:space="4"/>
        </w:pBdr>
        <w:spacing w:before="360" w:after="160"/>
      </w:pPr>
      <w:r>
        <w:rPr>
          <w:rFonts w:ascii="Arial" w:cs="Arial" w:eastAsia="Arial" w:hAnsi="Arial"/>
          <w:b/>
          <w:bCs/>
          <w:color w:val="1B2A4A"/>
          <w:sz w:val="32"/>
          <w:szCs w:val="32"/>
        </w:rPr>
        <w:t xml:space="preserve">Final Scorecard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Category</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Current State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After Phase 1+2</w:t>
            </w:r>
          </w:p>
        </w:tc>
        <w:tc>
          <w:tcPr>
            <w:tcW w:type="dxa" w:w="3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Institutional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Signal Quality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19"/>
                <w:szCs w:val="19"/>
              </w:rPr>
              <w:t xml:space="preserve">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D6E6E"/>
                <w:sz w:val="19"/>
                <w:szCs w:val="19"/>
              </w:rPr>
              <w:t xml:space="preserve">80%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90%+ with MTF + adaptive params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Risk Controls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C0392B"/>
                <w:sz w:val="19"/>
                <w:szCs w:val="19"/>
              </w:rPr>
              <w:t xml:space="preserve">40%</w:t>
            </w:r>
          </w:p>
        </w:tc>
        <w:tc>
          <w:tcPr>
            <w:tcW w:type="dxa" w:w="20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E67E22"/>
                <w:sz w:val="19"/>
                <w:szCs w:val="19"/>
              </w:rPr>
              <w:t xml:space="preserve">70%</w:t>
            </w:r>
          </w:p>
        </w:tc>
        <w:tc>
          <w:tcPr>
            <w:tcW w:type="dxa" w:w="31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Full position sizing + kill-switch + portfolio caps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Data Integrity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19"/>
                <w:szCs w:val="19"/>
              </w:rPr>
              <w:t xml:space="preserve">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D6E6E"/>
                <w:sz w:val="19"/>
                <w:szCs w:val="19"/>
              </w:rPr>
              <w:t xml:space="preserve">75%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Normalized CVD + redundant feed + tick-level CVD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Execution</w:t>
            </w:r>
          </w:p>
        </w:tc>
        <w:tc>
          <w:tcPr>
            <w:tcW w:type="dxa" w:w="18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E67E22"/>
                <w:sz w:val="19"/>
                <w:szCs w:val="19"/>
              </w:rPr>
              <w:t xml:space="preserve">60%</w:t>
            </w:r>
          </w:p>
        </w:tc>
        <w:tc>
          <w:tcPr>
            <w:tcW w:type="dxa" w:w="20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0D6E6E"/>
                <w:sz w:val="19"/>
                <w:szCs w:val="19"/>
              </w:rPr>
              <w:t xml:space="preserve">75%</w:t>
            </w:r>
          </w:p>
        </w:tc>
        <w:tc>
          <w:tcPr>
            <w:tcW w:type="dxa" w:w="31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Slippage model + actual fill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Resiliency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0392B"/>
                <w:sz w:val="19"/>
                <w:szCs w:val="19"/>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19"/>
                <w:szCs w:val="19"/>
              </w:rPr>
              <w:t xml:space="preserve">65%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Redundant feed + playbook + auto-reconnect</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Validation</w:t>
            </w:r>
          </w:p>
        </w:tc>
        <w:tc>
          <w:tcPr>
            <w:tcW w:type="dxa" w:w="18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C0392B"/>
                <w:sz w:val="19"/>
                <w:szCs w:val="19"/>
              </w:rPr>
              <w:t xml:space="preserve">45%</w:t>
            </w:r>
          </w:p>
        </w:tc>
        <w:tc>
          <w:tcPr>
            <w:tcW w:type="dxa" w:w="20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0D6E6E"/>
                <w:sz w:val="19"/>
                <w:szCs w:val="19"/>
              </w:rPr>
              <w:t xml:space="preserve">80%</w:t>
            </w:r>
          </w:p>
        </w:tc>
        <w:tc>
          <w:tcPr>
            <w:tcW w:type="dxa" w:w="31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Walk-forward + Monte Carlo + OOS metrics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Software Architecture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19"/>
                <w:szCs w:val="19"/>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D6E6E"/>
                <w:sz w:val="19"/>
                <w:szCs w:val="19"/>
              </w:rPr>
              <w:t xml:space="preserve">75%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Decoupled components + incremental computation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OVERALL</w:t>
            </w:r>
          </w:p>
        </w:tc>
        <w:tc>
          <w:tcPr>
            <w:tcW w:type="dxa" w:w="18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C0392B"/>
                <w:sz w:val="19"/>
                <w:szCs w:val="19"/>
              </w:rPr>
              <w:t xml:space="preserve">51%</w:t>
            </w:r>
          </w:p>
        </w:tc>
        <w:tc>
          <w:tcPr>
            <w:tcW w:type="dxa" w:w="200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bCs/>
                <w:color w:val="E67E22"/>
                <w:sz w:val="19"/>
                <w:szCs w:val="19"/>
              </w:rPr>
              <w:t xml:space="preserve">74%</w:t>
            </w:r>
          </w:p>
        </w:tc>
        <w:tc>
          <w:tcPr>
            <w:tcW w:type="dxa" w:w="3160"/>
            <w:tcBorders>
              <w:top w:val="single" w:color="CCCCCC" w:sz="1"/>
              <w:left w:val="single" w:color="CCCCCC" w:sz="1"/>
              <w:bottom w:val="single" w:color="CCCCCC" w:sz="1"/>
              <w:right w:val="single" w:color="CCCCCC" w:sz="1"/>
            </w:tcBorders>
            <w:shd w:fill="F4F6F7" w:val="clear"/>
            <w:tcMar>
              <w:top w:type="dxa" w:w="80"/>
              <w:left w:type="dxa" w:w="150"/>
              <w:bottom w:type="dxa" w:w="80"/>
              <w:right w:type="dxa" w:w="150"/>
            </w:tcMar>
          </w:tcPr>
          <w:p>
            <w:r>
              <w:rPr>
                <w:rFonts w:ascii="Arial" w:cs="Arial" w:eastAsia="Arial" w:hAnsi="Arial"/>
                <w:b w:val="function bold() { [native code] }"/>
                <w:bCs w:val="function bold() { [native code] }"/>
                <w:color w:val="2C3E50"/>
                <w:sz w:val="19"/>
                <w:szCs w:val="19"/>
              </w:rPr>
              <w:t xml:space="preserve">85%+ institutional-grade</w:t>
            </w:r>
          </w:p>
        </w:tc>
      </w:tr>
    </w:tbl>
    <w:p>
      <w:pPr>
        <w:spacing w:before="60" w:after="60"/>
      </w:pPr>
      <w:r>
        <w:t xml:space="preserve"/>
      </w:r>
    </w:p>
    <w:p>
      <w:pPr>
        <w:pBdr>
          <w:left w:val="single" w:color="0D6E6E" w:sz="12" w:space="8"/>
        </w:pBdr>
        <w:shd w:fill="E8F8F5" w:val="clear"/>
        <w:spacing w:before="120" w:after="120"/>
        <w:ind w:left="360"/>
      </w:pPr>
      <w:r>
        <w:rPr>
          <w:rFonts w:ascii="Arial" w:cs="Arial" w:eastAsia="Arial" w:hAnsi="Arial"/>
          <w:b/>
          <w:bCs/>
          <w:color w:val="0D6E6E"/>
          <w:sz w:val="20"/>
          <w:szCs w:val="20"/>
        </w:rPr>
        <w:t xml:space="preserve">BOTTOM LINE  </w:t>
      </w:r>
      <w:r>
        <w:rPr>
          <w:rFonts w:ascii="Arial" w:cs="Arial" w:eastAsia="Arial" w:hAnsi="Arial"/>
          <w:color w:val="2C3E50"/>
          <w:sz w:val="20"/>
          <w:szCs w:val="20"/>
        </w:rPr>
        <w:t xml:space="preserve">The CVD backbone, priority system, chop filter, and deployment governance are legitimately institutional-quality decisions. The gap is almost entirely in: adaptive parameters, multi-timeframe context, normalized data, and operational resiliency. None of these are fundamental redesigns — they are additive improvements on a solid foundation.</w:t>
      </w:r>
    </w:p>
    <w:p>
      <w:pPr>
        <w:spacing w:before="60" w:after="60"/>
      </w:pPr>
      <w:r>
        <w:t xml:space="preserve"/>
      </w:r>
    </w:p>
    <w:p>
      <w:pPr>
        <w:spacing w:before="480" w:after="0"/>
        <w:jc w:val="center"/>
      </w:pPr>
      <w:r>
        <w:rPr>
          <w:rFonts w:ascii="Arial" w:cs="Arial" w:eastAsia="Arial" w:hAnsi="Arial"/>
          <w:i/>
          <w:iCs/>
          <w:color w:val="AAAAAA"/>
          <w:sz w:val="18"/>
          <w:szCs w:val="18"/>
        </w:rPr>
        <w:t xml:space="preserve">— End of Analysis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D6E6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2026-02-23T18:03:45.420Z</dcterms:created>
  <dcterms:modified xsi:type="dcterms:W3CDTF">2026-02-23T18:03:45.421Z</dcterms:modified>
</cp:coreProperties>
</file>

<file path=docProps/custom.xml><?xml version="1.0" encoding="utf-8"?>
<Properties xmlns="http://schemas.openxmlformats.org/officeDocument/2006/custom-properties" xmlns:vt="http://schemas.openxmlformats.org/officeDocument/2006/docPropsVTypes"/>
</file>