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6C1D45"/>
          <w:sz w:val="18"/>
        </w:rPr>
        <w:t>INSTITUTO POLITÉCNICO NACIONAL  ·  CECyT No. 3 “ESTANISLAO RAMÍREZ RUIZ”</w:t>
      </w:r>
    </w:p>
    <w:p>
      <w:pPr>
        <w:spacing w:before="0" w:after="200"/>
        <w:jc w:val="left"/>
      </w:pPr>
      <w:r>
        <w:rPr>
          <w:rFonts w:ascii="Arial" w:hAnsi="Arial"/>
          <w:color w:val="505F73"/>
          <w:sz w:val="18"/>
        </w:rPr>
        <w:t>Materia: Portales Web   |   Alumno: Rivera Corona Victor Eduardo   |   5to Semestre · Computación</w:t>
      </w:r>
    </w:p>
    <w:p>
      <w:pPr>
        <w:spacing w:before="80" w:after="280"/>
        <w:jc w:val="center"/>
      </w:pPr>
      <w:r>
        <w:rPr>
          <w:rFonts w:ascii="Arial" w:hAnsi="Arial"/>
          <w:b/>
          <w:color w:val="1E293B"/>
          <w:sz w:val="28"/>
        </w:rPr>
        <w:t>RECOPILACIÓN DE APUNTES PARA CUADERNO</w:t>
        <w:br/>
        <w:t>PRÁCTICAS 1.4, 1.5 Y 1.6</w:t>
      </w:r>
    </w:p>
    <w:p>
      <w:pPr>
        <w:spacing w:before="280" w:after="80"/>
      </w:pPr>
      <w:r>
        <w:rPr>
          <w:rFonts w:ascii="Arial" w:hAnsi="Arial"/>
          <w:b/>
          <w:color w:val="6C1D45"/>
          <w:sz w:val="24"/>
        </w:rPr>
        <w:t>1. TEMA 1.4 · ACCESIBILIDAD WEB Y WCAG</w:t>
      </w:r>
    </w:p>
    <w:p>
      <w:pPr>
        <w:spacing w:before="200" w:after="60"/>
      </w:pPr>
      <w:r>
        <w:rPr>
          <w:rFonts w:ascii="Arial" w:hAnsi="Arial"/>
          <w:b/>
          <w:color w:val="0284C7"/>
          <w:sz w:val="21"/>
        </w:rPr>
        <w:t>A. AI Mission: Comparativa "IA vs Lighthouse"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¿Cuál fue más estricta?: </w:t>
      </w:r>
      <w:r>
        <w:rPr>
          <w:rFonts w:ascii="Arial" w:hAnsi="Arial"/>
          <w:color w:val="1E293B"/>
          <w:sz w:val="19"/>
        </w:rPr>
        <w:t>Lighthouse y WAVE auditan reglas sintácticas y métricas fijas de forma cuantitativa (por ejemplo, ratio numérico 4.5:1, presencia de etiquetas &lt;label&gt; o existencia del atributo alt). La IA evalúa la semántica cualitativa y la usabilidad real: determina si el texto alternativo realmente describe la imagen para una persona con discapacidad visual y si los mensajes de error son comprensibles.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¿Cuál dio mejores justificaciones?: </w:t>
      </w:r>
      <w:r>
        <w:rPr>
          <w:rFonts w:ascii="Arial" w:hAnsi="Arial"/>
          <w:color w:val="1E293B"/>
          <w:sz w:val="19"/>
        </w:rPr>
        <w:t>La IA proporciona explicaciones basadas en el impacto humano de las pautas WCAG (por ejemplo, explica por qué un enlace o botón requiere descripción accesible para ser interpretado por un lector de pantalla).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¿En cuál confiarías más en un proyecto real?: </w:t>
      </w:r>
      <w:r>
        <w:rPr>
          <w:rFonts w:ascii="Arial" w:hAnsi="Arial"/>
          <w:color w:val="1E293B"/>
          <w:sz w:val="19"/>
        </w:rPr>
        <w:t>En un entorno profesional se emplean ambas: Lighthouse para auditorías automatizadas continuas en integración de código, e IA / pruebas manuales con teclado y lectores de pantalla para evaluar la interacción humana real.</w:t>
      </w:r>
    </w:p>
    <w:p>
      <w:pPr>
        <w:spacing w:before="200" w:after="60"/>
      </w:pPr>
      <w:r>
        <w:rPr>
          <w:rFonts w:ascii="Arial" w:hAnsi="Arial"/>
          <w:b/>
          <w:color w:val="0284C7"/>
          <w:sz w:val="21"/>
        </w:rPr>
        <w:t>B. Resumen del Laboratorio 1.4 (Auditoría y Corrección)</w:t>
      </w:r>
    </w:p>
    <w:p>
      <w:pPr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Diagnóstico y Solución: </w:t>
      </w:r>
      <w:r>
        <w:rPr>
          <w:rFonts w:ascii="Arial" w:hAnsi="Arial"/>
          <w:color w:val="1E293B"/>
          <w:sz w:val="19"/>
        </w:rPr>
        <w:t>Se tomó la página personal creada en la práctica 1.3 y se corrigieron las barreras de accesibilidad detectadas: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1. Perceptible: </w:t>
      </w:r>
      <w:r>
        <w:rPr>
          <w:rFonts w:ascii="Arial" w:hAnsi="Arial"/>
          <w:color w:val="1E293B"/>
          <w:sz w:val="19"/>
        </w:rPr>
        <w:t>Se asignaron textos alt descriptivos a todas las figuras ("Foto de perfil de Victor Eduardo", "Captura de Mobile Legends", "Portada de El cisne negro") y se aseguró un contraste adecuado en todo el texto.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2. Operable: </w:t>
      </w:r>
      <w:r>
        <w:rPr>
          <w:rFonts w:ascii="Arial" w:hAnsi="Arial"/>
          <w:color w:val="1E293B"/>
          <w:sz w:val="19"/>
        </w:rPr>
        <w:t>Se integró un enlace de salto (.skip-link) al inicio del body y se configuró un indicador de foco visible con :focus-visible { outline: 3px solid #ff6b00; } para navegación con teclado.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3. Comprensible: </w:t>
      </w:r>
      <w:r>
        <w:rPr>
          <w:rFonts w:ascii="Arial" w:hAnsi="Arial"/>
          <w:color w:val="1E293B"/>
          <w:sz w:val="19"/>
        </w:rPr>
        <w:t>Se definió el idioma con &lt;html lang="es"&gt; y se organizaron los encabezados en una jerarquía lógica (h1 para título, h2 para secciones y h3 para artículos/hobbies).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4. Robusto: </w:t>
      </w:r>
      <w:r>
        <w:rPr>
          <w:rFonts w:ascii="Arial" w:hAnsi="Arial"/>
          <w:color w:val="1E293B"/>
          <w:sz w:val="19"/>
        </w:rPr>
        <w:t>Estructura HTML5 semántica estándar (&lt;header&gt;, &lt;nav&gt;, &lt;main&gt;, &lt;aside&gt;, &lt;footer&gt;) compatible con lectores de pantalla.</w:t>
      </w:r>
    </w:p>
    <w:p>
      <w:pPr>
        <w:spacing w:before="280" w:after="80"/>
      </w:pPr>
      <w:r>
        <w:rPr>
          <w:rFonts w:ascii="Arial" w:hAnsi="Arial"/>
          <w:b/>
          <w:color w:val="6C1D45"/>
          <w:sz w:val="24"/>
        </w:rPr>
        <w:t>2. TEMA 1.5 · CSS3: EL LENGUAJE DE ESTILO</w:t>
      </w:r>
    </w:p>
    <w:p>
      <w:pPr>
        <w:spacing w:before="200" w:after="60"/>
      </w:pPr>
      <w:r>
        <w:rPr>
          <w:rFonts w:ascii="Arial" w:hAnsi="Arial"/>
          <w:b/>
          <w:color w:val="0284C7"/>
          <w:sz w:val="21"/>
        </w:rPr>
        <w:t>A. AI Mission: "Estilo Personal vs IA"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Personalidad definida (3 adjetivos): </w:t>
      </w:r>
      <w:r>
        <w:rPr>
          <w:rFonts w:ascii="Arial" w:hAnsi="Arial"/>
          <w:color w:val="1E293B"/>
          <w:sz w:val="19"/>
        </w:rPr>
        <w:t>Técnico, Moderno y Minimalista.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Sugerencia inicial de la IA: </w:t>
      </w:r>
      <w:r>
        <w:rPr>
          <w:rFonts w:ascii="Arial" w:hAnsi="Arial"/>
          <w:color w:val="1E293B"/>
          <w:sz w:val="19"/>
        </w:rPr>
        <w:t>Una paleta azul corporativa básica (#0066cc) con tipografía serif tradicional (Playfair Display) y tamaños fijos en píxeles.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Lo que se tomó: </w:t>
      </w:r>
      <w:r>
        <w:rPr>
          <w:rFonts w:ascii="Arial" w:hAnsi="Arial"/>
          <w:color w:val="1E293B"/>
          <w:sz w:val="19"/>
        </w:rPr>
        <w:t>La estructura modular con Custom Properties en :root y el límite de lectura de max-width: 70ch.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Las 2 modificaciones aplicadas (Firma de identidad): </w:t>
      </w:r>
      <w:r>
        <w:rPr>
          <w:rFonts w:ascii="Arial" w:hAnsi="Arial"/>
          <w:color w:val="1E293B"/>
          <w:sz w:val="19"/>
        </w:rPr>
        <w:t>1) Tipografía: Se cambió la fuente serif por la combinación de Google Fonts Inter (sans-serif para interfaces) y JetBrains Mono (para código). 2) Paleta HSL: Se sustituyeron los valores hexadecimales fijos por variables hsl() incorporando el tono vino institucional del IPN (hsl(330, 60%, 28%) / #721e48) y un azul técnico accesible (hsl(210, 90%, 35%) / #0959a8).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Verificación WebAIM: </w:t>
      </w:r>
      <w:r>
        <w:rPr>
          <w:rFonts w:ascii="Arial" w:hAnsi="Arial"/>
          <w:color w:val="1E293B"/>
          <w:sz w:val="19"/>
        </w:rPr>
        <w:t>Texto principal sobre fondo blanco: Ratio 14.2:1 (Cumple AAA). Títulos vino IPN sobre blanco: Ratio 7.9:1 (Cumple AAA). Enlaces y botones azules con texto blanco: Ratio 6.8:1 (Cumple AA).</w:t>
      </w:r>
    </w:p>
    <w:p>
      <w:pPr>
        <w:spacing w:before="200" w:after="60"/>
      </w:pPr>
      <w:r>
        <w:rPr>
          <w:rFonts w:ascii="Arial" w:hAnsi="Arial"/>
          <w:b/>
          <w:color w:val="0284C7"/>
          <w:sz w:val="21"/>
        </w:rPr>
        <w:t>B. Resumen del Laboratorio 1.5 (CSS3 Profesional)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Box Model: </w:t>
      </w:r>
      <w:r>
        <w:rPr>
          <w:rFonts w:ascii="Arial" w:hAnsi="Arial"/>
          <w:color w:val="1E293B"/>
          <w:sz w:val="19"/>
        </w:rPr>
        <w:t>*, *::before, *::after { box-sizing: border-box; } asegura que width incluya el padding y border sin desbordar las cajas.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Unidades: </w:t>
      </w:r>
      <w:r>
        <w:rPr>
          <w:rFonts w:ascii="Arial" w:hAnsi="Arial"/>
          <w:color w:val="1E293B"/>
          <w:sz w:val="19"/>
        </w:rPr>
        <w:t>rem para fuentes y espaciados generales; ch para ancho de lectura (70ch); px únicamente para bordes.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Estados de enlaces: </w:t>
      </w:r>
      <w:r>
        <w:rPr>
          <w:rFonts w:ascii="Arial" w:hAnsi="Arial"/>
          <w:color w:val="1E293B"/>
          <w:sz w:val="19"/>
        </w:rPr>
        <w:t>:link (no visitado), :visited (visitado), :hover (puntero encima), :active (clic presionado) y :focus-visible (teclado).</w:t>
      </w:r>
    </w:p>
    <w:p>
      <w:pPr>
        <w:spacing w:before="280" w:after="80"/>
      </w:pPr>
      <w:r>
        <w:rPr>
          <w:rFonts w:ascii="Arial" w:hAnsi="Arial"/>
          <w:b/>
          <w:color w:val="6C1D45"/>
          <w:sz w:val="24"/>
        </w:rPr>
        <w:t>3. TEMA 1.6 · FLEXBOX Y GRID: LAYOUTS PROFESIONALES</w:t>
      </w:r>
    </w:p>
    <w:p>
      <w:pPr>
        <w:spacing w:before="200" w:after="60"/>
      </w:pPr>
      <w:r>
        <w:rPr>
          <w:rFonts w:ascii="Arial" w:hAnsi="Arial"/>
          <w:b/>
          <w:color w:val="0284C7"/>
          <w:sz w:val="21"/>
        </w:rPr>
        <w:t>A. AI Mission: "Flexbox y Grid en Layouts Reales"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3 Modelos de Layout: </w:t>
      </w:r>
      <w:r>
        <w:rPr>
          <w:rFonts w:ascii="Arial" w:hAnsi="Arial"/>
          <w:color w:val="1E293B"/>
          <w:sz w:val="19"/>
        </w:rPr>
        <w:t>1) Landing Page (secciones verticales en bloques), 2) Blog / Perfil Personal (header + main de contenido + sidebar lateral + footer), 3) Dashboard (múltiples paneles y métricas distribuidos en cuadrícula).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Modelo seleccionado para "Sobre Mí": </w:t>
      </w:r>
      <w:r>
        <w:rPr>
          <w:rFonts w:ascii="Arial" w:hAnsi="Arial"/>
          <w:color w:val="1E293B"/>
          <w:sz w:val="19"/>
        </w:rPr>
        <w:t>El modelo de Blog / Perfil Personal, ya que requiere un área principal para biografía y pasatiempos, junto con un aside lateral para cursos y datos.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Justificación de decisiones: </w:t>
      </w:r>
      <w:r>
        <w:rPr>
          <w:rFonts w:ascii="Arial" w:hAnsi="Arial"/>
          <w:color w:val="1E293B"/>
          <w:sz w:val="19"/>
        </w:rPr>
        <w:t>Grid organiza la macroestructura bidimensional (2D: filas y columnas simultáneas para header, main, sidebar y footer con grid-template-areas). Flexbox organiza los microcomponentes unidimensionales (1D: distribución horizontal de la navbar, tarjetas de pasatiempos con flex-wrap y widgets verticales en el aside).</w:t>
      </w:r>
    </w:p>
    <w:p>
      <w:pPr>
        <w:spacing w:before="200" w:after="60"/>
      </w:pPr>
      <w:r>
        <w:rPr>
          <w:rFonts w:ascii="Arial" w:hAnsi="Arial"/>
          <w:b/>
          <w:color w:val="0284C7"/>
          <w:sz w:val="21"/>
        </w:rPr>
        <w:t>B. Resumen del Laboratorio 1.6 (Layout Grid + Flexbox)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Macro-layout con CSS Grid: </w:t>
      </w:r>
      <w:r>
        <w:rPr>
          <w:rFonts w:ascii="Arial" w:hAnsi="Arial"/>
          <w:color w:val="1E293B"/>
          <w:sz w:val="19"/>
        </w:rPr>
        <w:t>Contenedor con display: grid; grid-template-areas: "header header" "main sidebar" "footer footer"; y grid-template-rows: auto 1fr auto; min-height: 100vh para mantener el footer al fondo.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Micro-layout con Flexbox: </w:t>
      </w:r>
      <w:r>
        <w:rPr>
          <w:rFonts w:ascii="Arial" w:hAnsi="Arial"/>
          <w:color w:val="1E293B"/>
          <w:sz w:val="19"/>
        </w:rPr>
        <w:t>Navbar con display: flex; justify-content: space-between; y tarjetas con flex: 1 1 240px; gap: 1.25rem;</w:t>
      </w:r>
    </w:p>
    <w:p>
      <w:pPr>
        <w:pStyle w:val="ListBullet"/>
        <w:spacing w:before="0" w:after="60" w:line="269" w:lineRule="auto"/>
      </w:pPr>
      <w:r>
        <w:rPr>
          <w:rFonts w:ascii="Arial" w:hAnsi="Arial"/>
          <w:b/>
          <w:color w:val="1E293B"/>
          <w:sz w:val="19"/>
        </w:rPr>
        <w:t xml:space="preserve">Diseño Responsivo: </w:t>
      </w:r>
      <w:r>
        <w:rPr>
          <w:rFonts w:ascii="Arial" w:hAnsi="Arial"/>
          <w:color w:val="1E293B"/>
          <w:sz w:val="19"/>
        </w:rPr>
        <w:t>En pantallas menores a 860px (@media max-width: 860px), el grid cambia a 1 sola columna: grid-template-areas: "header" "main" "sidebar" "footer"; garantizando navegación fluida en móviles.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