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일정</w:t>
            </w:r>
          </w:p>
        </w:tc>
        <w:tc>
          <w:tcPr>
            <w:tcW w:type="dxa" w:w="2880"/>
          </w:tcPr>
          <w:p>
            <w:r>
              <w:t>정상 진행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품질</w:t>
            </w:r>
          </w:p>
        </w:tc>
        <w:tc>
          <w:tcPr>
            <w:tcW w:type="dxa" w:w="2880"/>
          </w:tcPr>
          <w:p>
            <w:r>
              <w:t>양호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리스크</w:t>
            </w:r>
          </w:p>
        </w:tc>
        <w:tc>
          <w:tcPr>
            <w:tcW w:type="dxa" w:w="2880"/>
          </w:tcPr>
          <w:p>
            <w:r>
              <w:t>낮음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