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5966D" w14:textId="40C21D81" w:rsidR="00DC4224" w:rsidRDefault="00DC4224" w:rsidP="00DC4224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TPT TESS Proposal Tool User Guide</w:t>
      </w:r>
    </w:p>
    <w:p w14:paraId="0619338D" w14:textId="71F2C14A" w:rsidR="00DC4224" w:rsidRPr="00DC4224" w:rsidRDefault="00DC4224" w:rsidP="00DC4224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</w:rPr>
        <w:t>Target audience: The TPT-TESS Proposal Tool is a web application designed for researchers and educators who want to create proposals for using the Transiting Exoplanet Survey Satellite (TESS). The target audience likely includes people with a background in astronomy or astrophysics, so the guide can assume a certain level of technical expertise.</w:t>
      </w:r>
    </w:p>
    <w:p w14:paraId="02D6FFA4" w14:textId="77777777" w:rsidR="00DC4224" w:rsidRDefault="00DC4224" w:rsidP="00DC4224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The web app contains three screens. </w:t>
      </w:r>
    </w:p>
    <w:p w14:paraId="35879F5C" w14:textId="007EB96A" w:rsidR="00DC4224" w:rsidRDefault="00DC4224" w:rsidP="00DC4224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Home screen: </w:t>
      </w:r>
      <w:r>
        <w:rPr>
          <w:noProof/>
        </w:rPr>
        <w:drawing>
          <wp:inline distT="0" distB="0" distL="0" distR="0" wp14:anchorId="65314F33" wp14:editId="1D3D0EC6">
            <wp:extent cx="5943600" cy="2823845"/>
            <wp:effectExtent l="0" t="0" r="0" b="0"/>
            <wp:docPr id="1" name="Picture 1" descr="tess_basic_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ss_basic_layou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D5557" w14:textId="1F888B9A" w:rsidR="00DC4224" w:rsidRDefault="00043DAF" w:rsidP="00DC4224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U</w:t>
      </w:r>
      <w:r w:rsidR="00DC4224">
        <w:rPr>
          <w:rFonts w:ascii="Segoe UI" w:hAnsi="Segoe UI" w:cs="Segoe UI"/>
          <w:color w:val="374151"/>
        </w:rPr>
        <w:t>sers can select either of the following tools.</w:t>
      </w:r>
    </w:p>
    <w:p w14:paraId="77E6BAAB" w14:textId="77777777" w:rsidR="00DC5C7D" w:rsidRDefault="00DC4224" w:rsidP="00DC4224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Target visualization tool: </w:t>
      </w:r>
      <w:r w:rsidR="00DC5C7D">
        <w:rPr>
          <w:rFonts w:ascii="Segoe UI" w:hAnsi="Segoe UI" w:cs="Segoe UI"/>
          <w:color w:val="374151"/>
        </w:rPr>
        <w:t xml:space="preserve">this will allow users to observe targets in the </w:t>
      </w:r>
      <w:proofErr w:type="spellStart"/>
      <w:r w:rsidR="00DC5C7D">
        <w:rPr>
          <w:rFonts w:ascii="Segoe UI" w:hAnsi="Segoe UI" w:cs="Segoe UI"/>
          <w:color w:val="374151"/>
        </w:rPr>
        <w:t>skymap</w:t>
      </w:r>
      <w:proofErr w:type="spellEnd"/>
      <w:r w:rsidR="00DC5C7D">
        <w:rPr>
          <w:rFonts w:ascii="Segoe UI" w:hAnsi="Segoe UI" w:cs="Segoe UI"/>
          <w:color w:val="374151"/>
        </w:rPr>
        <w:t>.</w:t>
      </w:r>
    </w:p>
    <w:p w14:paraId="2DB10498" w14:textId="0D7D2345" w:rsidR="00DC5C7D" w:rsidRDefault="00DC5C7D" w:rsidP="00DC4224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The search box for </w:t>
      </w:r>
      <w:r w:rsidR="00043DAF">
        <w:rPr>
          <w:rFonts w:ascii="Segoe UI" w:hAnsi="Segoe UI" w:cs="Segoe UI"/>
          <w:color w:val="374151"/>
        </w:rPr>
        <w:t xml:space="preserve">a </w:t>
      </w:r>
      <w:r>
        <w:rPr>
          <w:rFonts w:ascii="Segoe UI" w:hAnsi="Segoe UI" w:cs="Segoe UI"/>
          <w:color w:val="374151"/>
        </w:rPr>
        <w:t>single target will accept entries like:</w:t>
      </w:r>
    </w:p>
    <w:p w14:paraId="66191E65" w14:textId="4BE5F2CC" w:rsidR="00DC5C7D" w:rsidRDefault="00DC5C7D" w:rsidP="00DC4224">
      <w:pPr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ObjectName</w:t>
      </w:r>
      <w:proofErr w:type="spellEnd"/>
      <w:r>
        <w:rPr>
          <w:rFonts w:ascii="Segoe UI" w:hAnsi="Segoe UI" w:cs="Segoe UI"/>
          <w:color w:val="374151"/>
        </w:rPr>
        <w:t xml:space="preserve"> (</w:t>
      </w:r>
      <w:proofErr w:type="spellStart"/>
      <w:r w:rsidRPr="00DC5C7D">
        <w:rPr>
          <w:rFonts w:ascii="Segoe UI" w:hAnsi="Segoe UI" w:cs="Segoe UI"/>
          <w:color w:val="374151"/>
        </w:rPr>
        <w:t>Cyg</w:t>
      </w:r>
      <w:proofErr w:type="spellEnd"/>
      <w:r w:rsidRPr="00DC5C7D">
        <w:rPr>
          <w:rFonts w:ascii="Segoe UI" w:hAnsi="Segoe UI" w:cs="Segoe UI"/>
          <w:color w:val="374151"/>
        </w:rPr>
        <w:t xml:space="preserve"> X-1</w:t>
      </w:r>
      <w:r>
        <w:rPr>
          <w:rFonts w:ascii="Segoe UI" w:hAnsi="Segoe UI" w:cs="Segoe UI"/>
          <w:color w:val="374151"/>
        </w:rPr>
        <w:t xml:space="preserve">), </w:t>
      </w:r>
    </w:p>
    <w:p w14:paraId="5BA10913" w14:textId="3B24D4EE" w:rsidR="00DC5C7D" w:rsidRDefault="00DC5C7D" w:rsidP="00DC4224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TIC </w:t>
      </w:r>
      <w:proofErr w:type="gramStart"/>
      <w:r>
        <w:rPr>
          <w:rFonts w:ascii="Segoe UI" w:hAnsi="Segoe UI" w:cs="Segoe UI"/>
          <w:color w:val="374151"/>
        </w:rPr>
        <w:t>ID(</w:t>
      </w:r>
      <w:proofErr w:type="gramEnd"/>
      <w:r w:rsidRPr="00DC5C7D">
        <w:rPr>
          <w:rFonts w:ascii="Segoe UI" w:hAnsi="Segoe UI" w:cs="Segoe UI"/>
          <w:color w:val="374151"/>
        </w:rPr>
        <w:t>12941989</w:t>
      </w:r>
      <w:r>
        <w:rPr>
          <w:rFonts w:ascii="Segoe UI" w:hAnsi="Segoe UI" w:cs="Segoe UI"/>
          <w:color w:val="374151"/>
        </w:rPr>
        <w:t xml:space="preserve">), </w:t>
      </w:r>
    </w:p>
    <w:p w14:paraId="5943E45C" w14:textId="0F0F9CAB" w:rsidR="00DC4224" w:rsidRDefault="00DC5C7D" w:rsidP="00DC4224">
      <w:pPr>
        <w:rPr>
          <w:rFonts w:ascii="Segoe UI" w:hAnsi="Segoe UI" w:cs="Segoe UI"/>
          <w:color w:val="374151"/>
        </w:rPr>
      </w:pPr>
      <w:proofErr w:type="spellStart"/>
      <w:proofErr w:type="gramStart"/>
      <w:r>
        <w:rPr>
          <w:rFonts w:ascii="Segoe UI" w:hAnsi="Segoe UI" w:cs="Segoe UI"/>
          <w:color w:val="374151"/>
        </w:rPr>
        <w:t>Ra,Dec</w:t>
      </w:r>
      <w:proofErr w:type="spellEnd"/>
      <w:proofErr w:type="gramEnd"/>
      <w:r>
        <w:rPr>
          <w:rFonts w:ascii="Segoe UI" w:hAnsi="Segoe UI" w:cs="Segoe UI"/>
          <w:color w:val="374151"/>
        </w:rPr>
        <w:t>(</w:t>
      </w:r>
      <w:r w:rsidRPr="00DC5C7D">
        <w:rPr>
          <w:rFonts w:ascii="Segoe UI" w:hAnsi="Segoe UI" w:cs="Segoe UI"/>
          <w:color w:val="374151"/>
        </w:rPr>
        <w:t>117.4150, -52.12</w:t>
      </w:r>
      <w:r w:rsidR="007C4E13">
        <w:rPr>
          <w:rFonts w:ascii="Segoe UI" w:hAnsi="Segoe UI" w:cs="Segoe UI"/>
          <w:color w:val="374151"/>
        </w:rPr>
        <w:t>04</w:t>
      </w:r>
      <w:r>
        <w:rPr>
          <w:rFonts w:ascii="Segoe UI" w:hAnsi="Segoe UI" w:cs="Segoe UI"/>
          <w:color w:val="374151"/>
        </w:rPr>
        <w:t>)</w:t>
      </w:r>
    </w:p>
    <w:p w14:paraId="2B1DBB66" w14:textId="77777777" w:rsidR="00043DAF" w:rsidRDefault="00043DAF" w:rsidP="00DC4224">
      <w:pPr>
        <w:rPr>
          <w:rFonts w:ascii="Segoe UI" w:hAnsi="Segoe UI" w:cs="Segoe UI"/>
          <w:color w:val="374151"/>
        </w:rPr>
      </w:pPr>
    </w:p>
    <w:p w14:paraId="6F70A2B0" w14:textId="77777777" w:rsidR="00043DAF" w:rsidRDefault="00043DAF" w:rsidP="00DC4224">
      <w:pPr>
        <w:rPr>
          <w:rFonts w:ascii="Segoe UI" w:hAnsi="Segoe UI" w:cs="Segoe UI"/>
          <w:color w:val="374151"/>
        </w:rPr>
      </w:pPr>
    </w:p>
    <w:p w14:paraId="51175D63" w14:textId="77777777" w:rsidR="00043DAF" w:rsidRDefault="00043DAF" w:rsidP="00DC4224">
      <w:pPr>
        <w:rPr>
          <w:rFonts w:ascii="Segoe UI" w:hAnsi="Segoe UI" w:cs="Segoe UI"/>
          <w:color w:val="374151"/>
        </w:rPr>
      </w:pPr>
    </w:p>
    <w:p w14:paraId="5C88FBC7" w14:textId="77777777" w:rsidR="00043DAF" w:rsidRDefault="00043DAF" w:rsidP="00DC4224">
      <w:pPr>
        <w:rPr>
          <w:rFonts w:ascii="Segoe UI" w:hAnsi="Segoe UI" w:cs="Segoe UI"/>
          <w:color w:val="374151"/>
        </w:rPr>
      </w:pPr>
    </w:p>
    <w:p w14:paraId="5CEDD969" w14:textId="77777777" w:rsidR="00043DAF" w:rsidRDefault="00043DAF" w:rsidP="00DC4224">
      <w:pPr>
        <w:rPr>
          <w:rFonts w:ascii="Segoe UI" w:hAnsi="Segoe UI" w:cs="Segoe UI"/>
          <w:color w:val="374151"/>
        </w:rPr>
      </w:pPr>
    </w:p>
    <w:p w14:paraId="5E8002C3" w14:textId="77777777" w:rsidR="00043DAF" w:rsidRDefault="00043DAF" w:rsidP="00DC4224">
      <w:pPr>
        <w:rPr>
          <w:rFonts w:ascii="Segoe UI" w:hAnsi="Segoe UI" w:cs="Segoe UI"/>
          <w:color w:val="374151"/>
        </w:rPr>
      </w:pPr>
    </w:p>
    <w:p w14:paraId="7CB0E8FF" w14:textId="76EB2DF5" w:rsidR="00043DAF" w:rsidRDefault="00DC5C7D" w:rsidP="00043DAF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lastRenderedPageBreak/>
        <w:t>Users can also select csv</w:t>
      </w:r>
      <w:r w:rsidR="00043DAF"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files with the following format</w:t>
      </w:r>
      <w:r w:rsidR="00043DAF">
        <w:rPr>
          <w:rFonts w:ascii="Segoe UI" w:hAnsi="Segoe UI" w:cs="Segoe UI"/>
          <w:color w:val="374151"/>
        </w:rPr>
        <w:t>:</w:t>
      </w:r>
    </w:p>
    <w:p w14:paraId="63717DFF" w14:textId="29E78416" w:rsidR="00043DAF" w:rsidRDefault="00043DAF" w:rsidP="00043DAF">
      <w:pPr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ObjectName</w:t>
      </w:r>
      <w:proofErr w:type="spellEnd"/>
      <w:r>
        <w:rPr>
          <w:rFonts w:ascii="Segoe UI" w:hAnsi="Segoe UI" w:cs="Segoe UI"/>
          <w:color w:val="374151"/>
        </w:rPr>
        <w:t xml:space="preserve"> (</w:t>
      </w:r>
      <w:proofErr w:type="spellStart"/>
      <w:r w:rsidRPr="00DC5C7D">
        <w:rPr>
          <w:rFonts w:ascii="Segoe UI" w:hAnsi="Segoe UI" w:cs="Segoe UI"/>
          <w:color w:val="374151"/>
        </w:rPr>
        <w:t>Cyg</w:t>
      </w:r>
      <w:proofErr w:type="spellEnd"/>
      <w:r w:rsidRPr="00DC5C7D">
        <w:rPr>
          <w:rFonts w:ascii="Segoe UI" w:hAnsi="Segoe UI" w:cs="Segoe UI"/>
          <w:color w:val="374151"/>
        </w:rPr>
        <w:t xml:space="preserve"> X-1</w:t>
      </w:r>
      <w:r>
        <w:rPr>
          <w:rFonts w:ascii="Segoe UI" w:hAnsi="Segoe UI" w:cs="Segoe UI"/>
          <w:color w:val="374151"/>
        </w:rPr>
        <w:t xml:space="preserve">), </w:t>
      </w:r>
    </w:p>
    <w:p w14:paraId="21E8B2E7" w14:textId="77777777" w:rsidR="00043DAF" w:rsidRDefault="00043DAF" w:rsidP="00043DAF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noProof/>
          <w:color w:val="374151"/>
        </w:rPr>
        <w:drawing>
          <wp:inline distT="0" distB="0" distL="0" distR="0" wp14:anchorId="470AA62C" wp14:editId="5664FB3D">
            <wp:extent cx="3403600" cy="3352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90169" w14:textId="77777777" w:rsidR="00043DAF" w:rsidRDefault="00043DAF" w:rsidP="00043DAF">
      <w:pPr>
        <w:rPr>
          <w:rFonts w:ascii="Segoe UI" w:hAnsi="Segoe UI" w:cs="Segoe UI"/>
          <w:color w:val="374151"/>
        </w:rPr>
      </w:pPr>
    </w:p>
    <w:p w14:paraId="498B6904" w14:textId="77777777" w:rsidR="00043DAF" w:rsidRDefault="00043DAF" w:rsidP="00043DAF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TIC </w:t>
      </w:r>
      <w:proofErr w:type="gramStart"/>
      <w:r>
        <w:rPr>
          <w:rFonts w:ascii="Segoe UI" w:hAnsi="Segoe UI" w:cs="Segoe UI"/>
          <w:color w:val="374151"/>
        </w:rPr>
        <w:t>ID(</w:t>
      </w:r>
      <w:proofErr w:type="gramEnd"/>
      <w:r w:rsidRPr="00DC5C7D">
        <w:rPr>
          <w:rFonts w:ascii="Segoe UI" w:hAnsi="Segoe UI" w:cs="Segoe UI"/>
          <w:color w:val="374151"/>
        </w:rPr>
        <w:t>12941989</w:t>
      </w:r>
      <w:r>
        <w:rPr>
          <w:rFonts w:ascii="Segoe UI" w:hAnsi="Segoe UI" w:cs="Segoe UI"/>
          <w:color w:val="374151"/>
        </w:rPr>
        <w:t xml:space="preserve">), </w:t>
      </w:r>
    </w:p>
    <w:p w14:paraId="3C029142" w14:textId="710230FA" w:rsidR="00043DAF" w:rsidRDefault="00043DAF" w:rsidP="00043DAF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noProof/>
          <w:color w:val="374151"/>
        </w:rPr>
        <w:drawing>
          <wp:inline distT="0" distB="0" distL="0" distR="0" wp14:anchorId="10BFD427" wp14:editId="4BB4C54E">
            <wp:extent cx="2647950" cy="2952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146C1" w14:textId="77777777" w:rsidR="00043DAF" w:rsidRDefault="00043DAF" w:rsidP="00043DAF">
      <w:pPr>
        <w:rPr>
          <w:rFonts w:ascii="Segoe UI" w:hAnsi="Segoe UI" w:cs="Segoe UI"/>
          <w:color w:val="374151"/>
        </w:rPr>
      </w:pPr>
    </w:p>
    <w:p w14:paraId="4E1C0C7D" w14:textId="77777777" w:rsidR="00043DAF" w:rsidRDefault="00043DAF" w:rsidP="00043DAF">
      <w:pPr>
        <w:rPr>
          <w:rFonts w:ascii="Segoe UI" w:hAnsi="Segoe UI" w:cs="Segoe UI"/>
          <w:color w:val="374151"/>
        </w:rPr>
      </w:pPr>
    </w:p>
    <w:p w14:paraId="79782757" w14:textId="77777777" w:rsidR="00043DAF" w:rsidRDefault="00043DAF" w:rsidP="00043DAF">
      <w:pPr>
        <w:rPr>
          <w:rFonts w:ascii="Segoe UI" w:hAnsi="Segoe UI" w:cs="Segoe UI"/>
          <w:color w:val="374151"/>
        </w:rPr>
      </w:pPr>
    </w:p>
    <w:p w14:paraId="0E0FA9BC" w14:textId="7160AEF4" w:rsidR="00043DAF" w:rsidRDefault="00043DAF" w:rsidP="00043DAF">
      <w:pPr>
        <w:rPr>
          <w:rFonts w:ascii="Segoe UI" w:hAnsi="Segoe UI" w:cs="Segoe UI"/>
          <w:color w:val="374151"/>
        </w:rPr>
      </w:pPr>
      <w:proofErr w:type="spellStart"/>
      <w:proofErr w:type="gramStart"/>
      <w:r>
        <w:rPr>
          <w:rFonts w:ascii="Segoe UI" w:hAnsi="Segoe UI" w:cs="Segoe UI"/>
          <w:color w:val="374151"/>
        </w:rPr>
        <w:t>Ra,Dec</w:t>
      </w:r>
      <w:proofErr w:type="spellEnd"/>
      <w:proofErr w:type="gramEnd"/>
      <w:r>
        <w:rPr>
          <w:rFonts w:ascii="Segoe UI" w:hAnsi="Segoe UI" w:cs="Segoe UI"/>
          <w:color w:val="374151"/>
        </w:rPr>
        <w:t>(</w:t>
      </w:r>
      <w:r w:rsidRPr="00DC5C7D">
        <w:rPr>
          <w:rFonts w:ascii="Segoe UI" w:hAnsi="Segoe UI" w:cs="Segoe UI"/>
          <w:color w:val="374151"/>
        </w:rPr>
        <w:t>117.4150, -52.12</w:t>
      </w:r>
      <w:r w:rsidR="007C4E13">
        <w:rPr>
          <w:rFonts w:ascii="Segoe UI" w:hAnsi="Segoe UI" w:cs="Segoe UI"/>
          <w:color w:val="374151"/>
        </w:rPr>
        <w:t>04</w:t>
      </w:r>
      <w:r>
        <w:rPr>
          <w:rFonts w:ascii="Segoe UI" w:hAnsi="Segoe UI" w:cs="Segoe UI"/>
          <w:color w:val="374151"/>
        </w:rPr>
        <w:t>)</w:t>
      </w:r>
    </w:p>
    <w:p w14:paraId="47A96844" w14:textId="35AFA17F" w:rsidR="00DC5C7D" w:rsidRDefault="00043DAF" w:rsidP="00DC4224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noProof/>
          <w:color w:val="374151"/>
        </w:rPr>
        <w:drawing>
          <wp:inline distT="0" distB="0" distL="0" distR="0" wp14:anchorId="2AE0AB4F" wp14:editId="552CE08F">
            <wp:extent cx="3060700" cy="31178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5C7D">
        <w:rPr>
          <w:rFonts w:ascii="Segoe UI" w:hAnsi="Segoe UI" w:cs="Segoe UI"/>
          <w:color w:val="374151"/>
        </w:rPr>
        <w:t xml:space="preserve"> </w:t>
      </w:r>
    </w:p>
    <w:p w14:paraId="6FFDFEB8" w14:textId="6A274144" w:rsidR="00043DAF" w:rsidRDefault="00043DAF" w:rsidP="00DC4224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After entering the single target or csv file they will click in the search sky map </w:t>
      </w:r>
      <w:proofErr w:type="spellStart"/>
      <w:r>
        <w:rPr>
          <w:rFonts w:ascii="Segoe UI" w:hAnsi="Segoe UI" w:cs="Segoe UI"/>
          <w:color w:val="374151"/>
        </w:rPr>
        <w:t>btn</w:t>
      </w:r>
      <w:proofErr w:type="spellEnd"/>
      <w:r>
        <w:rPr>
          <w:rFonts w:ascii="Segoe UI" w:hAnsi="Segoe UI" w:cs="Segoe UI"/>
          <w:color w:val="374151"/>
        </w:rPr>
        <w:t xml:space="preserve"> and the sky map will move to the expected location drawing a red circle around the target/s. after this step</w:t>
      </w:r>
      <w:r w:rsidR="007C4E13">
        <w:rPr>
          <w:rFonts w:ascii="Segoe UI" w:hAnsi="Segoe UI" w:cs="Segoe UI"/>
          <w:color w:val="374151"/>
        </w:rPr>
        <w:t>,</w:t>
      </w:r>
      <w:r>
        <w:rPr>
          <w:rFonts w:ascii="Segoe UI" w:hAnsi="Segoe UI" w:cs="Segoe UI"/>
          <w:color w:val="374151"/>
        </w:rPr>
        <w:t xml:space="preserve"> users can select a cycle to see if the target falls between any observed sector/cycle.</w:t>
      </w:r>
    </w:p>
    <w:p w14:paraId="31554AF6" w14:textId="5C91BD4F" w:rsidR="007C4E13" w:rsidRDefault="007C4E13" w:rsidP="00DC4224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Example of target </w:t>
      </w:r>
      <w:proofErr w:type="spellStart"/>
      <w:proofErr w:type="gramStart"/>
      <w:r>
        <w:rPr>
          <w:rFonts w:ascii="Segoe UI" w:hAnsi="Segoe UI" w:cs="Segoe UI"/>
          <w:color w:val="374151"/>
        </w:rPr>
        <w:t>ra,dec</w:t>
      </w:r>
      <w:proofErr w:type="spellEnd"/>
      <w:proofErr w:type="gramEnd"/>
      <w:r>
        <w:rPr>
          <w:rFonts w:ascii="Segoe UI" w:hAnsi="Segoe UI" w:cs="Segoe UI"/>
          <w:color w:val="374151"/>
        </w:rPr>
        <w:t xml:space="preserve"> (</w:t>
      </w:r>
      <w:r w:rsidRPr="00DC5C7D">
        <w:rPr>
          <w:rFonts w:ascii="Segoe UI" w:hAnsi="Segoe UI" w:cs="Segoe UI"/>
          <w:color w:val="374151"/>
        </w:rPr>
        <w:t>117.4150, -52.12</w:t>
      </w:r>
      <w:r>
        <w:rPr>
          <w:rFonts w:ascii="Segoe UI" w:hAnsi="Segoe UI" w:cs="Segoe UI"/>
          <w:color w:val="374151"/>
        </w:rPr>
        <w:t>04) and cycle 3 selected:</w:t>
      </w:r>
      <w:r>
        <w:rPr>
          <w:rFonts w:ascii="Segoe UI" w:hAnsi="Segoe UI" w:cs="Segoe UI"/>
          <w:noProof/>
          <w:color w:val="374151"/>
        </w:rPr>
        <w:drawing>
          <wp:inline distT="0" distB="0" distL="0" distR="0" wp14:anchorId="0A0AC350" wp14:editId="2F5FD14F">
            <wp:extent cx="5943600" cy="2806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53CC6" w14:textId="77777777" w:rsidR="007C4E13" w:rsidRDefault="007C4E13" w:rsidP="00DC4224">
      <w:pPr>
        <w:rPr>
          <w:rFonts w:ascii="Segoe UI" w:hAnsi="Segoe UI" w:cs="Segoe UI"/>
          <w:color w:val="374151"/>
        </w:rPr>
      </w:pPr>
    </w:p>
    <w:p w14:paraId="42EBF6EF" w14:textId="32FB0BFD" w:rsidR="007C4E13" w:rsidRDefault="007C4E13" w:rsidP="00DC4224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noProof/>
          <w:color w:val="374151"/>
        </w:rPr>
        <w:lastRenderedPageBreak/>
        <w:drawing>
          <wp:inline distT="0" distB="0" distL="0" distR="0" wp14:anchorId="3EA8F5DB" wp14:editId="01444440">
            <wp:extent cx="5581650" cy="6070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07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E8197" w14:textId="77777777" w:rsidR="00043DAF" w:rsidRDefault="00043DAF" w:rsidP="00DC4224">
      <w:pPr>
        <w:rPr>
          <w:rFonts w:ascii="Segoe UI" w:hAnsi="Segoe UI" w:cs="Segoe UI"/>
          <w:color w:val="374151"/>
        </w:rPr>
      </w:pPr>
    </w:p>
    <w:p w14:paraId="6506654E" w14:textId="77777777" w:rsidR="007C4E13" w:rsidRDefault="007C4E13" w:rsidP="00DC4224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For the Target Data query table input box will accept the same format as above. </w:t>
      </w:r>
    </w:p>
    <w:p w14:paraId="48E51630" w14:textId="29380436" w:rsidR="00DC5C7D" w:rsidRDefault="007C4E13" w:rsidP="00DC4224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Here users will be able to optionally enter a sector number in case they only would like information about a specific sector.  </w:t>
      </w:r>
    </w:p>
    <w:p w14:paraId="7F7FC2F4" w14:textId="112AFCF3" w:rsidR="007C4E13" w:rsidRDefault="007C4E13" w:rsidP="00DC4224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lastRenderedPageBreak/>
        <w:t>The input box for radius will accept entries like 0.01, 0.1, 1(this will be big and can take some time to process)</w:t>
      </w:r>
      <w:r w:rsidR="00664AC0">
        <w:rPr>
          <w:rFonts w:ascii="Segoe UI" w:hAnsi="Segoe UI" w:cs="Segoe UI"/>
          <w:noProof/>
          <w:color w:val="374151"/>
        </w:rPr>
        <w:drawing>
          <wp:inline distT="0" distB="0" distL="0" distR="0" wp14:anchorId="573BE015" wp14:editId="0911F685">
            <wp:extent cx="5943600" cy="4324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2111" w14:textId="77777777" w:rsidR="007C4E13" w:rsidRDefault="007C4E13" w:rsidP="00DC4224">
      <w:pPr>
        <w:rPr>
          <w:rFonts w:ascii="Segoe UI" w:hAnsi="Segoe UI" w:cs="Segoe UI"/>
          <w:color w:val="374151"/>
        </w:rPr>
      </w:pPr>
    </w:p>
    <w:p w14:paraId="14671125" w14:textId="77777777" w:rsidR="007C4E13" w:rsidRDefault="007C4E13" w:rsidP="00DC4224">
      <w:pPr>
        <w:rPr>
          <w:rFonts w:ascii="Segoe UI" w:hAnsi="Segoe UI" w:cs="Segoe UI"/>
          <w:color w:val="374151"/>
        </w:rPr>
      </w:pPr>
    </w:p>
    <w:p w14:paraId="7512DEC9" w14:textId="1551ECE0" w:rsidR="007C4E13" w:rsidRDefault="00664AC0" w:rsidP="00DC4224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lastRenderedPageBreak/>
        <w:t>Target List Crafting Tool will accept only csv file with the same format stated above:</w:t>
      </w:r>
      <w:r>
        <w:rPr>
          <w:rFonts w:ascii="Segoe UI" w:hAnsi="Segoe UI" w:cs="Segoe UI"/>
          <w:noProof/>
          <w:color w:val="374151"/>
        </w:rPr>
        <w:drawing>
          <wp:inline distT="0" distB="0" distL="0" distR="0" wp14:anchorId="207BECBE" wp14:editId="3EF7FB0F">
            <wp:extent cx="5937250" cy="28829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4DFDF" w14:textId="2B5D5AAE" w:rsidR="007C4E13" w:rsidRDefault="00664AC0" w:rsidP="00DC4224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Users will be able to </w:t>
      </w:r>
    </w:p>
    <w:p w14:paraId="2F2E93EB" w14:textId="77777777" w:rsidR="00BD7783" w:rsidRDefault="00BD7783" w:rsidP="00DC4224">
      <w:pPr>
        <w:rPr>
          <w:rFonts w:ascii="Segoe UI" w:hAnsi="Segoe UI" w:cs="Segoe UI"/>
          <w:color w:val="374151"/>
        </w:rPr>
      </w:pPr>
    </w:p>
    <w:p w14:paraId="35218FB8" w14:textId="49D1781A" w:rsidR="00BD7783" w:rsidRDefault="00BD7783" w:rsidP="00DC4224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Notice: usually there are more than 1 magnitude, frequency, temperature, and luminosity per target. The tic catalog retrieves more than one per target. </w:t>
      </w:r>
    </w:p>
    <w:p w14:paraId="54226508" w14:textId="77777777" w:rsidR="00BD7783" w:rsidRDefault="00BD7783" w:rsidP="00DC4224">
      <w:pPr>
        <w:rPr>
          <w:rFonts w:ascii="Segoe UI" w:hAnsi="Segoe UI" w:cs="Segoe UI"/>
          <w:color w:val="374151"/>
        </w:rPr>
      </w:pPr>
    </w:p>
    <w:p w14:paraId="1B8BD3F7" w14:textId="77777777" w:rsidR="00BD7783" w:rsidRPr="00BD7783" w:rsidRDefault="00BD7783" w:rsidP="00BD778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BD778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In the magnitude histogram, the values in the downloaded file correspond to the information in the </w:t>
      </w:r>
      <w:proofErr w:type="spellStart"/>
      <w:r w:rsidRPr="00BD778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ColumnDataSource</w:t>
      </w:r>
      <w:proofErr w:type="spellEnd"/>
      <w:r w:rsidRPr="00BD778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 used for the histogram plot. Each row of the data represents a single bin in the histogram:</w:t>
      </w:r>
    </w:p>
    <w:p w14:paraId="5E4F65FF" w14:textId="77777777" w:rsidR="00BD7783" w:rsidRPr="00BD7783" w:rsidRDefault="00BD7783" w:rsidP="00BD7783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BD7783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top</w:t>
      </w:r>
      <w:r w:rsidRPr="00BD778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: The frequency or count of items in each bin. This represents the number of stars with magnitudes in the range specified by the </w:t>
      </w:r>
      <w:r w:rsidRPr="00BD7783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left</w:t>
      </w:r>
      <w:r w:rsidRPr="00BD778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 and </w:t>
      </w:r>
      <w:r w:rsidRPr="00BD7783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right</w:t>
      </w:r>
      <w:r w:rsidRPr="00BD778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 values.</w:t>
      </w:r>
    </w:p>
    <w:p w14:paraId="2708DB7A" w14:textId="77777777" w:rsidR="00BD7783" w:rsidRPr="00BD7783" w:rsidRDefault="00BD7783" w:rsidP="00BD7783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BD7783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bottom</w:t>
      </w:r>
      <w:r w:rsidRPr="00BD778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 The lower edge of the bin. In this case, it's always 0 since the histogram starts at 0 frequency.</w:t>
      </w:r>
    </w:p>
    <w:p w14:paraId="19D8AA1E" w14:textId="77777777" w:rsidR="00BD7783" w:rsidRPr="00BD7783" w:rsidRDefault="00BD7783" w:rsidP="00BD7783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BD7783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left</w:t>
      </w:r>
      <w:r w:rsidRPr="00BD778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 The lower limit of the bin on the x-axis (magnitude value).</w:t>
      </w:r>
    </w:p>
    <w:p w14:paraId="28030FBA" w14:textId="77777777" w:rsidR="00BD7783" w:rsidRPr="00BD7783" w:rsidRDefault="00BD7783" w:rsidP="00BD7783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BD7783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right</w:t>
      </w:r>
      <w:r w:rsidRPr="00BD778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 The upper limit of the bin on the x-axis (magnitude value).</w:t>
      </w:r>
    </w:p>
    <w:p w14:paraId="521FCB42" w14:textId="47751DDA" w:rsidR="00BD7783" w:rsidRDefault="00BD7783" w:rsidP="00BD778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BD778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For example, the first row of the data:</w:t>
      </w:r>
    </w:p>
    <w:p w14:paraId="6F5C3054" w14:textId="265A2F91" w:rsidR="00BD7783" w:rsidRDefault="00BD7783" w:rsidP="00BD778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BD778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8</w:t>
      </w:r>
      <w:r w:rsidRPr="00BD778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ab/>
        <w:t>0</w:t>
      </w:r>
      <w:r w:rsidRPr="00BD778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ab/>
        <w:t>13.29982</w:t>
      </w:r>
      <w:r w:rsidRPr="00BD778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ab/>
        <w:t>15.44908</w:t>
      </w:r>
    </w:p>
    <w:p w14:paraId="5716D392" w14:textId="6BAACD0B" w:rsidR="00BD7783" w:rsidRPr="00BD7783" w:rsidRDefault="00BD7783" w:rsidP="00BD778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This indicates that there are 8 items (stars) in the bin with magnitudes ranging from 13.29982 to 15.44908. The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bottom</w:t>
      </w:r>
      <w:r>
        <w:rPr>
          <w:rFonts w:ascii="Segoe UI" w:hAnsi="Segoe UI" w:cs="Segoe UI"/>
          <w:color w:val="374151"/>
          <w:shd w:val="clear" w:color="auto" w:fill="F7F7F8"/>
        </w:rPr>
        <w:t xml:space="preserve"> value of 0 represents the starting point for the frequency of the histogram.</w:t>
      </w:r>
    </w:p>
    <w:p w14:paraId="0A7FB098" w14:textId="77777777" w:rsidR="007C4E13" w:rsidRDefault="007C4E13" w:rsidP="00DC4224">
      <w:pPr>
        <w:rPr>
          <w:rFonts w:ascii="Segoe UI" w:hAnsi="Segoe UI" w:cs="Segoe UI"/>
          <w:color w:val="374151"/>
        </w:rPr>
      </w:pPr>
    </w:p>
    <w:p w14:paraId="67BD09B6" w14:textId="13FD2A97" w:rsidR="00DC4224" w:rsidRDefault="00880C65" w:rsidP="00DC42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Distance histogram: </w:t>
      </w:r>
    </w:p>
    <w:p w14:paraId="7BCBE665" w14:textId="77777777" w:rsidR="00880C65" w:rsidRPr="00880C65" w:rsidRDefault="00880C65" w:rsidP="00880C65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880C65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top</w:t>
      </w:r>
      <w:r w:rsidRPr="00880C65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 The frequency or count of items in each bin.</w:t>
      </w:r>
    </w:p>
    <w:p w14:paraId="58529DF9" w14:textId="77777777" w:rsidR="00880C65" w:rsidRPr="00880C65" w:rsidRDefault="00880C65" w:rsidP="00880C65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880C65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bottom</w:t>
      </w:r>
      <w:r w:rsidRPr="00880C65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 The lower edge of the bin. In this case, it's always 0 since the histogram starts at 0 frequency.</w:t>
      </w:r>
    </w:p>
    <w:p w14:paraId="748343A1" w14:textId="77777777" w:rsidR="00880C65" w:rsidRPr="00880C65" w:rsidRDefault="00880C65" w:rsidP="00880C65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880C65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left</w:t>
      </w:r>
      <w:r w:rsidRPr="00880C65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 The lower limit of the bin on the x-axis (distance in parsecs).</w:t>
      </w:r>
    </w:p>
    <w:p w14:paraId="6AC66016" w14:textId="77777777" w:rsidR="00880C65" w:rsidRPr="00880C65" w:rsidRDefault="00880C65" w:rsidP="00880C65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880C65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right</w:t>
      </w:r>
      <w:r w:rsidRPr="00880C65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 The upper limit of the bin on the x-axis (distance in parsecs).</w:t>
      </w:r>
    </w:p>
    <w:p w14:paraId="57611BB6" w14:textId="77777777" w:rsidR="00880C65" w:rsidRPr="00880C65" w:rsidRDefault="00880C65" w:rsidP="00880C65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880C65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For example, the first row of the data:</w:t>
      </w:r>
    </w:p>
    <w:p w14:paraId="5B1A3FAD" w14:textId="3DDABCFD" w:rsidR="00880C65" w:rsidRDefault="00880C65" w:rsidP="00DC4224">
      <w:pPr>
        <w:rPr>
          <w:rFonts w:ascii="Times New Roman" w:hAnsi="Times New Roman" w:cs="Times New Roman"/>
        </w:rPr>
      </w:pPr>
      <w:r w:rsidRPr="00880C65">
        <w:rPr>
          <w:rFonts w:ascii="Times New Roman" w:hAnsi="Times New Roman" w:cs="Times New Roman"/>
        </w:rPr>
        <w:t>18</w:t>
      </w:r>
      <w:r w:rsidRPr="00880C65">
        <w:rPr>
          <w:rFonts w:ascii="Times New Roman" w:hAnsi="Times New Roman" w:cs="Times New Roman"/>
        </w:rPr>
        <w:tab/>
        <w:t>0</w:t>
      </w:r>
      <w:r w:rsidRPr="00880C65">
        <w:rPr>
          <w:rFonts w:ascii="Times New Roman" w:hAnsi="Times New Roman" w:cs="Times New Roman"/>
        </w:rPr>
        <w:tab/>
        <w:t>17.99368176</w:t>
      </w:r>
      <w:r w:rsidRPr="00880C65">
        <w:rPr>
          <w:rFonts w:ascii="Times New Roman" w:hAnsi="Times New Roman" w:cs="Times New Roman"/>
        </w:rPr>
        <w:tab/>
        <w:t>19.19311194</w:t>
      </w:r>
    </w:p>
    <w:p w14:paraId="53AC31BC" w14:textId="684B19D6" w:rsidR="00880C65" w:rsidRPr="00DC4224" w:rsidRDefault="00880C65" w:rsidP="00DC4224">
      <w:pPr>
        <w:rPr>
          <w:rFonts w:ascii="Times New Roman" w:hAnsi="Times New Roman" w:cs="Times New Roman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This indicates that there are 18 items in the bin with distances ranging from 17.99368176 to 19.19311194 parsecs. The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bottom</w:t>
      </w:r>
      <w:r>
        <w:rPr>
          <w:rFonts w:ascii="Segoe UI" w:hAnsi="Segoe UI" w:cs="Segoe UI"/>
          <w:color w:val="374151"/>
          <w:shd w:val="clear" w:color="auto" w:fill="F7F7F8"/>
        </w:rPr>
        <w:t xml:space="preserve"> value of 0 represents the starting point for the frequency of the histogram.</w:t>
      </w:r>
    </w:p>
    <w:sectPr w:rsidR="00880C65" w:rsidRPr="00DC42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253C1"/>
    <w:multiLevelType w:val="multilevel"/>
    <w:tmpl w:val="A3D8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C068D6"/>
    <w:multiLevelType w:val="multilevel"/>
    <w:tmpl w:val="3FFAD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5A6010E"/>
    <w:multiLevelType w:val="multilevel"/>
    <w:tmpl w:val="3FEC9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2898293">
    <w:abstractNumId w:val="2"/>
  </w:num>
  <w:num w:numId="2" w16cid:durableId="2146389538">
    <w:abstractNumId w:val="0"/>
  </w:num>
  <w:num w:numId="3" w16cid:durableId="3152578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224"/>
    <w:rsid w:val="00043DAF"/>
    <w:rsid w:val="00664AC0"/>
    <w:rsid w:val="007C4E13"/>
    <w:rsid w:val="00880C65"/>
    <w:rsid w:val="009B4DAF"/>
    <w:rsid w:val="00BD7783"/>
    <w:rsid w:val="00DC4224"/>
    <w:rsid w:val="00DC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9EAC9"/>
  <w15:chartTrackingRefBased/>
  <w15:docId w15:val="{2D8A74E7-77B1-4822-B9EB-328EBB81D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3D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C42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80C6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2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sheimypazserpa@gmail.com</dc:creator>
  <cp:keywords/>
  <dc:description/>
  <cp:lastModifiedBy>sheimypazserpa@gmail.com</cp:lastModifiedBy>
  <cp:revision>2</cp:revision>
  <dcterms:created xsi:type="dcterms:W3CDTF">2023-04-25T14:09:00Z</dcterms:created>
  <dcterms:modified xsi:type="dcterms:W3CDTF">2023-04-25T14:09:00Z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fa55f86a-35eb-4f3e-9551-00d5eeef6e08</vt:lpwstr>
  </property>
</Properties>
</file>