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7385C" w14:textId="0704CDC9" w:rsidR="007A3F2A" w:rsidRPr="002D214D" w:rsidRDefault="007A3F2A" w:rsidP="0054098D">
      <w:pPr>
        <w:spacing w:line="240" w:lineRule="auto"/>
        <w:ind w:left="1440"/>
        <w:jc w:val="right"/>
        <w:rPr>
          <w:rFonts w:ascii="Arial" w:hAnsi="Arial" w:cs="Arial"/>
          <w:b/>
          <w:bCs/>
        </w:rPr>
      </w:pPr>
      <w:r w:rsidRPr="002D214D">
        <w:rPr>
          <w:rFonts w:ascii="Arial" w:hAnsi="Arial" w:cs="Arial"/>
          <w:b/>
          <w:bCs/>
        </w:rPr>
        <w:t>Case reference: LON/00BK/</w:t>
      </w:r>
      <w:r w:rsidR="005D7D36" w:rsidRPr="002D214D">
        <w:rPr>
          <w:rFonts w:ascii="Arial" w:hAnsi="Arial" w:cs="Arial"/>
          <w:b/>
          <w:bCs/>
        </w:rPr>
        <w:t>LSC</w:t>
      </w:r>
      <w:r w:rsidRPr="002D214D">
        <w:rPr>
          <w:rFonts w:ascii="Arial" w:hAnsi="Arial" w:cs="Arial"/>
          <w:b/>
          <w:bCs/>
        </w:rPr>
        <w:t>/202</w:t>
      </w:r>
      <w:r w:rsidR="005D7D36" w:rsidRPr="002D214D">
        <w:rPr>
          <w:rFonts w:ascii="Arial" w:hAnsi="Arial" w:cs="Arial"/>
          <w:b/>
          <w:bCs/>
        </w:rPr>
        <w:t>5</w:t>
      </w:r>
      <w:r w:rsidRPr="002D214D">
        <w:rPr>
          <w:rFonts w:ascii="Arial" w:hAnsi="Arial" w:cs="Arial"/>
          <w:b/>
          <w:bCs/>
        </w:rPr>
        <w:t>/0</w:t>
      </w:r>
      <w:r w:rsidR="005D7D36" w:rsidRPr="002D214D">
        <w:rPr>
          <w:rFonts w:ascii="Arial" w:hAnsi="Arial" w:cs="Arial"/>
          <w:b/>
          <w:bCs/>
        </w:rPr>
        <w:t>827</w:t>
      </w:r>
    </w:p>
    <w:p w14:paraId="53F9E7EE" w14:textId="77777777" w:rsidR="007A3F2A" w:rsidRPr="002D214D" w:rsidRDefault="007A3F2A" w:rsidP="0054098D">
      <w:pPr>
        <w:spacing w:line="240" w:lineRule="auto"/>
        <w:rPr>
          <w:rFonts w:ascii="Arial" w:hAnsi="Arial" w:cs="Arial"/>
          <w:b/>
          <w:bCs/>
        </w:rPr>
      </w:pPr>
      <w:r w:rsidRPr="002D214D">
        <w:rPr>
          <w:rFonts w:ascii="Arial" w:hAnsi="Arial" w:cs="Arial"/>
          <w:b/>
          <w:bCs/>
        </w:rPr>
        <w:t>IN THE FIRST-TIER TRIBUNAL</w:t>
      </w:r>
    </w:p>
    <w:p w14:paraId="35436C61" w14:textId="77777777" w:rsidR="007A3F2A" w:rsidRPr="002D214D" w:rsidRDefault="007A3F2A" w:rsidP="0054098D">
      <w:pPr>
        <w:spacing w:line="240" w:lineRule="auto"/>
        <w:rPr>
          <w:rFonts w:ascii="Arial" w:hAnsi="Arial" w:cs="Arial"/>
          <w:b/>
          <w:bCs/>
        </w:rPr>
      </w:pPr>
      <w:r w:rsidRPr="002D214D">
        <w:rPr>
          <w:rFonts w:ascii="Arial" w:hAnsi="Arial" w:cs="Arial"/>
          <w:b/>
          <w:bCs/>
        </w:rPr>
        <w:t>PROPERTY CHAMBER</w:t>
      </w:r>
    </w:p>
    <w:p w14:paraId="76A193AF" w14:textId="77777777" w:rsidR="007A3F2A" w:rsidRPr="002D214D" w:rsidRDefault="007A3F2A" w:rsidP="0054098D">
      <w:pPr>
        <w:spacing w:line="240" w:lineRule="auto"/>
        <w:rPr>
          <w:rFonts w:ascii="Arial" w:hAnsi="Arial" w:cs="Arial"/>
          <w:b/>
          <w:bCs/>
        </w:rPr>
      </w:pPr>
      <w:r w:rsidRPr="002D214D">
        <w:rPr>
          <w:rFonts w:ascii="Arial" w:hAnsi="Arial" w:cs="Arial"/>
          <w:b/>
          <w:bCs/>
        </w:rPr>
        <w:t>(RESIDENTIAL PROPERTY)</w:t>
      </w:r>
    </w:p>
    <w:p w14:paraId="2FABA799" w14:textId="77777777" w:rsidR="007A3F2A" w:rsidRPr="002D214D" w:rsidRDefault="007A3F2A" w:rsidP="0054098D">
      <w:pPr>
        <w:spacing w:line="240" w:lineRule="auto"/>
        <w:rPr>
          <w:rFonts w:ascii="Arial" w:hAnsi="Arial" w:cs="Arial"/>
          <w:b/>
          <w:bCs/>
        </w:rPr>
      </w:pPr>
      <w:r w:rsidRPr="002D214D">
        <w:rPr>
          <w:rFonts w:ascii="Arial" w:hAnsi="Arial" w:cs="Arial"/>
          <w:b/>
          <w:bCs/>
        </w:rPr>
        <w:t>IN THE MATTER OF 8 ARTILLERY ROW, LONDON SW1P 1RZ</w:t>
      </w:r>
    </w:p>
    <w:p w14:paraId="0FD7968D" w14:textId="38B8C8F4" w:rsidR="004C1EFC" w:rsidRPr="002D214D" w:rsidRDefault="004C1EFC" w:rsidP="004C1EFC">
      <w:pPr>
        <w:spacing w:line="240" w:lineRule="auto"/>
        <w:rPr>
          <w:rFonts w:ascii="Arial" w:hAnsi="Arial" w:cs="Arial"/>
          <w:b/>
          <w:bCs/>
        </w:rPr>
      </w:pPr>
    </w:p>
    <w:p w14:paraId="0795DC1F" w14:textId="46C25DFA" w:rsidR="006440E5" w:rsidRPr="002D214D" w:rsidRDefault="00FE1B26" w:rsidP="00442E94">
      <w:pPr>
        <w:spacing w:after="0" w:line="360" w:lineRule="auto"/>
        <w:contextualSpacing/>
        <w:jc w:val="center"/>
        <w:rPr>
          <w:rFonts w:ascii="Arial" w:eastAsia="Times New Roman" w:hAnsi="Arial" w:cs="Arial"/>
          <w:b/>
          <w:bCs/>
          <w:kern w:val="0"/>
          <w14:ligatures w14:val="none"/>
        </w:rPr>
      </w:pPr>
      <w:r w:rsidRPr="002D214D">
        <w:rPr>
          <w:rFonts w:ascii="Arial" w:eastAsia="Times New Roman" w:hAnsi="Arial" w:cs="Arial"/>
          <w:b/>
          <w:bCs/>
          <w:kern w:val="0"/>
          <w14:ligatures w14:val="none"/>
        </w:rPr>
        <w:t>(1)</w:t>
      </w:r>
      <w:r w:rsidR="0050082E" w:rsidRPr="002D214D">
        <w:rPr>
          <w:rFonts w:ascii="Arial" w:eastAsia="Times New Roman" w:hAnsi="Arial" w:cs="Arial"/>
          <w:b/>
          <w:bCs/>
          <w:kern w:val="0"/>
          <w14:ligatures w14:val="none"/>
        </w:rPr>
        <w:t xml:space="preserve"> </w:t>
      </w:r>
      <w:r w:rsidR="006440E5" w:rsidRPr="002D214D">
        <w:rPr>
          <w:rFonts w:ascii="Arial" w:eastAsia="Times New Roman" w:hAnsi="Arial" w:cs="Arial"/>
          <w:b/>
          <w:bCs/>
          <w:kern w:val="0"/>
          <w14:ligatures w14:val="none"/>
        </w:rPr>
        <w:t xml:space="preserve">Catherine </w:t>
      </w:r>
      <w:r w:rsidR="004C1EFC" w:rsidRPr="002D214D">
        <w:rPr>
          <w:rFonts w:ascii="Arial" w:eastAsia="Times New Roman" w:hAnsi="Arial" w:cs="Arial"/>
          <w:b/>
          <w:bCs/>
          <w:kern w:val="0"/>
          <w14:ligatures w14:val="none"/>
        </w:rPr>
        <w:t>Bacon</w:t>
      </w:r>
      <w:r w:rsidR="006440E5" w:rsidRPr="002D214D">
        <w:rPr>
          <w:rFonts w:ascii="Arial" w:eastAsia="Times New Roman" w:hAnsi="Arial" w:cs="Arial"/>
          <w:b/>
          <w:bCs/>
          <w:kern w:val="0"/>
          <w14:ligatures w14:val="none"/>
        </w:rPr>
        <w:t xml:space="preserve"> (Apt 101)</w:t>
      </w:r>
    </w:p>
    <w:p w14:paraId="1B2A4BEF" w14:textId="77777777" w:rsidR="006440E5" w:rsidRPr="002D214D" w:rsidRDefault="006440E5" w:rsidP="00442E94">
      <w:pPr>
        <w:spacing w:after="0" w:line="360" w:lineRule="auto"/>
        <w:contextualSpacing/>
        <w:jc w:val="center"/>
        <w:rPr>
          <w:rFonts w:ascii="Arial" w:eastAsia="Times New Roman" w:hAnsi="Arial" w:cs="Arial"/>
          <w:b/>
          <w:bCs/>
          <w:kern w:val="0"/>
          <w14:ligatures w14:val="none"/>
        </w:rPr>
      </w:pPr>
      <w:r w:rsidRPr="002D214D">
        <w:rPr>
          <w:rFonts w:ascii="Arial" w:eastAsia="Times New Roman" w:hAnsi="Arial" w:cs="Arial"/>
          <w:b/>
          <w:bCs/>
          <w:kern w:val="0"/>
          <w14:ligatures w14:val="none"/>
        </w:rPr>
        <w:t>(2) Li Jing (Apt 103)</w:t>
      </w:r>
    </w:p>
    <w:p w14:paraId="40AFCBEB" w14:textId="77777777" w:rsidR="006440E5" w:rsidRPr="002D214D" w:rsidRDefault="006440E5" w:rsidP="00442E94">
      <w:pPr>
        <w:spacing w:after="0" w:line="360" w:lineRule="auto"/>
        <w:contextualSpacing/>
        <w:jc w:val="center"/>
        <w:rPr>
          <w:rFonts w:ascii="Arial" w:eastAsia="Times New Roman" w:hAnsi="Arial" w:cs="Arial"/>
          <w:b/>
          <w:bCs/>
          <w:kern w:val="0"/>
          <w14:ligatures w14:val="none"/>
        </w:rPr>
      </w:pPr>
      <w:r w:rsidRPr="002D214D">
        <w:rPr>
          <w:rFonts w:ascii="Arial" w:eastAsia="Times New Roman" w:hAnsi="Arial" w:cs="Arial"/>
          <w:b/>
          <w:bCs/>
          <w:kern w:val="0"/>
          <w14:ligatures w14:val="none"/>
        </w:rPr>
        <w:t>(3) Lan-Anh Jessica Nguyen-Phuong (Apt 201)</w:t>
      </w:r>
    </w:p>
    <w:p w14:paraId="332EC3C6" w14:textId="77777777" w:rsidR="006440E5" w:rsidRPr="002D214D" w:rsidRDefault="006440E5" w:rsidP="00442E94">
      <w:pPr>
        <w:spacing w:after="0" w:line="360" w:lineRule="auto"/>
        <w:contextualSpacing/>
        <w:jc w:val="center"/>
        <w:rPr>
          <w:rFonts w:ascii="Arial" w:eastAsia="Times New Roman" w:hAnsi="Arial" w:cs="Arial"/>
          <w:b/>
          <w:bCs/>
          <w:kern w:val="0"/>
          <w14:ligatures w14:val="none"/>
        </w:rPr>
      </w:pPr>
      <w:r w:rsidRPr="002D214D">
        <w:rPr>
          <w:rFonts w:ascii="Arial" w:eastAsia="Times New Roman" w:hAnsi="Arial" w:cs="Arial"/>
          <w:b/>
          <w:bCs/>
          <w:kern w:val="0"/>
          <w14:ligatures w14:val="none"/>
        </w:rPr>
        <w:t>(4) Yang Xiao (Apt 203)</w:t>
      </w:r>
    </w:p>
    <w:p w14:paraId="24194EC2" w14:textId="77777777" w:rsidR="006440E5" w:rsidRPr="002D214D" w:rsidRDefault="006440E5" w:rsidP="00442E94">
      <w:pPr>
        <w:spacing w:after="0" w:line="360" w:lineRule="auto"/>
        <w:contextualSpacing/>
        <w:jc w:val="center"/>
        <w:rPr>
          <w:rFonts w:ascii="Arial" w:eastAsia="Times New Roman" w:hAnsi="Arial" w:cs="Arial"/>
          <w:b/>
          <w:bCs/>
          <w:kern w:val="0"/>
          <w14:ligatures w14:val="none"/>
        </w:rPr>
      </w:pPr>
      <w:r w:rsidRPr="002D214D">
        <w:rPr>
          <w:rFonts w:ascii="Arial" w:eastAsia="Times New Roman" w:hAnsi="Arial" w:cs="Arial"/>
          <w:b/>
          <w:bCs/>
          <w:kern w:val="0"/>
          <w14:ligatures w14:val="none"/>
        </w:rPr>
        <w:t>(5) Nigel Harris (Apt 301)</w:t>
      </w:r>
    </w:p>
    <w:p w14:paraId="79EF3B6B" w14:textId="77777777" w:rsidR="006440E5" w:rsidRPr="002D214D" w:rsidRDefault="006440E5" w:rsidP="00442E94">
      <w:pPr>
        <w:spacing w:after="0" w:line="360" w:lineRule="auto"/>
        <w:contextualSpacing/>
        <w:jc w:val="center"/>
        <w:rPr>
          <w:rFonts w:ascii="Arial" w:eastAsia="Times New Roman" w:hAnsi="Arial" w:cs="Arial"/>
          <w:b/>
          <w:bCs/>
          <w:kern w:val="0"/>
          <w14:ligatures w14:val="none"/>
        </w:rPr>
      </w:pPr>
      <w:r w:rsidRPr="002D214D">
        <w:rPr>
          <w:rFonts w:ascii="Arial" w:eastAsia="Times New Roman" w:hAnsi="Arial" w:cs="Arial"/>
          <w:b/>
          <w:bCs/>
          <w:kern w:val="0"/>
          <w14:ligatures w14:val="none"/>
        </w:rPr>
        <w:t>(6) Divine Heritage Ltd (Apt 302)</w:t>
      </w:r>
    </w:p>
    <w:p w14:paraId="69C77AFE" w14:textId="2E2FE02D" w:rsidR="006440E5" w:rsidRPr="002D214D" w:rsidRDefault="006440E5" w:rsidP="00442E94">
      <w:pPr>
        <w:spacing w:after="0" w:line="360" w:lineRule="auto"/>
        <w:contextualSpacing/>
        <w:jc w:val="center"/>
        <w:rPr>
          <w:rFonts w:ascii="Arial" w:eastAsia="Times New Roman" w:hAnsi="Arial" w:cs="Arial"/>
          <w:b/>
          <w:bCs/>
          <w:kern w:val="0"/>
          <w14:ligatures w14:val="none"/>
        </w:rPr>
      </w:pPr>
      <w:r w:rsidRPr="002D214D">
        <w:rPr>
          <w:rFonts w:ascii="Arial" w:eastAsia="Times New Roman" w:hAnsi="Arial" w:cs="Arial"/>
          <w:b/>
          <w:bCs/>
          <w:kern w:val="0"/>
          <w14:ligatures w14:val="none"/>
        </w:rPr>
        <w:t>(7) Nick and Debbie Chism (Apt 303)</w:t>
      </w:r>
    </w:p>
    <w:p w14:paraId="24C65D88" w14:textId="77777777" w:rsidR="006440E5" w:rsidRPr="002D214D" w:rsidRDefault="006440E5" w:rsidP="00442E94">
      <w:pPr>
        <w:spacing w:after="0" w:line="360" w:lineRule="auto"/>
        <w:contextualSpacing/>
        <w:jc w:val="center"/>
        <w:rPr>
          <w:rFonts w:ascii="Arial" w:eastAsia="Times New Roman" w:hAnsi="Arial" w:cs="Arial"/>
          <w:b/>
          <w:bCs/>
          <w:kern w:val="0"/>
          <w14:ligatures w14:val="none"/>
        </w:rPr>
      </w:pPr>
      <w:r w:rsidRPr="002D214D">
        <w:rPr>
          <w:rFonts w:ascii="Arial" w:eastAsia="Times New Roman" w:hAnsi="Arial" w:cs="Arial"/>
          <w:b/>
          <w:bCs/>
          <w:kern w:val="0"/>
          <w14:ligatures w14:val="none"/>
        </w:rPr>
        <w:t xml:space="preserve">(8) </w:t>
      </w:r>
      <w:proofErr w:type="spellStart"/>
      <w:r w:rsidRPr="002D214D">
        <w:rPr>
          <w:rFonts w:ascii="Arial" w:eastAsia="Times New Roman" w:hAnsi="Arial" w:cs="Arial"/>
          <w:b/>
          <w:bCs/>
          <w:kern w:val="0"/>
          <w14:ligatures w14:val="none"/>
        </w:rPr>
        <w:t>Hingwan</w:t>
      </w:r>
      <w:proofErr w:type="spellEnd"/>
      <w:r w:rsidRPr="002D214D">
        <w:rPr>
          <w:rFonts w:ascii="Arial" w:eastAsia="Times New Roman" w:hAnsi="Arial" w:cs="Arial"/>
          <w:b/>
          <w:bCs/>
          <w:kern w:val="0"/>
          <w14:ligatures w14:val="none"/>
        </w:rPr>
        <w:t xml:space="preserve"> Cheung (Apt 403)</w:t>
      </w:r>
    </w:p>
    <w:p w14:paraId="68FEFC87" w14:textId="77777777" w:rsidR="006440E5" w:rsidRPr="002D214D" w:rsidRDefault="006440E5" w:rsidP="00442E94">
      <w:pPr>
        <w:spacing w:after="0" w:line="360" w:lineRule="auto"/>
        <w:contextualSpacing/>
        <w:jc w:val="center"/>
        <w:rPr>
          <w:rFonts w:ascii="Arial" w:eastAsia="Times New Roman" w:hAnsi="Arial" w:cs="Arial"/>
          <w:b/>
          <w:bCs/>
          <w:kern w:val="0"/>
          <w14:ligatures w14:val="none"/>
        </w:rPr>
      </w:pPr>
      <w:r w:rsidRPr="002D214D">
        <w:rPr>
          <w:rFonts w:ascii="Arial" w:eastAsia="Times New Roman" w:hAnsi="Arial" w:cs="Arial"/>
          <w:b/>
          <w:bCs/>
          <w:kern w:val="0"/>
          <w14:ligatures w14:val="none"/>
        </w:rPr>
        <w:t xml:space="preserve">(9) Albert Abutaliev and Regina </w:t>
      </w:r>
      <w:proofErr w:type="spellStart"/>
      <w:r w:rsidRPr="002D214D">
        <w:rPr>
          <w:rFonts w:ascii="Arial" w:eastAsia="Times New Roman" w:hAnsi="Arial" w:cs="Arial"/>
          <w:b/>
          <w:bCs/>
          <w:kern w:val="0"/>
          <w14:ligatures w14:val="none"/>
        </w:rPr>
        <w:t>Arsentyeva</w:t>
      </w:r>
      <w:proofErr w:type="spellEnd"/>
      <w:r w:rsidRPr="002D214D">
        <w:rPr>
          <w:rFonts w:ascii="Arial" w:eastAsia="Times New Roman" w:hAnsi="Arial" w:cs="Arial"/>
          <w:b/>
          <w:bCs/>
          <w:kern w:val="0"/>
          <w14:ligatures w14:val="none"/>
        </w:rPr>
        <w:t xml:space="preserve"> (Apt 601)</w:t>
      </w:r>
    </w:p>
    <w:p w14:paraId="192AA3E2" w14:textId="77777777" w:rsidR="006440E5" w:rsidRPr="00E96812" w:rsidRDefault="006440E5" w:rsidP="00442E94">
      <w:pPr>
        <w:spacing w:after="0" w:line="360" w:lineRule="auto"/>
        <w:contextualSpacing/>
        <w:jc w:val="center"/>
        <w:rPr>
          <w:rFonts w:ascii="Arial" w:eastAsia="Times New Roman" w:hAnsi="Arial" w:cs="Arial"/>
          <w:b/>
          <w:bCs/>
          <w:kern w:val="0"/>
          <w:lang w:val="it-CH"/>
          <w14:ligatures w14:val="none"/>
        </w:rPr>
      </w:pPr>
      <w:r w:rsidRPr="00E96812">
        <w:rPr>
          <w:rFonts w:ascii="Arial" w:eastAsia="Times New Roman" w:hAnsi="Arial" w:cs="Arial"/>
          <w:b/>
          <w:bCs/>
          <w:kern w:val="0"/>
          <w:lang w:val="it-CH"/>
          <w14:ligatures w14:val="none"/>
        </w:rPr>
        <w:t>(10) Lucia Granozio (Apt 602)</w:t>
      </w:r>
    </w:p>
    <w:p w14:paraId="13DDCA9A" w14:textId="77777777" w:rsidR="006440E5" w:rsidRPr="00E96812" w:rsidRDefault="006440E5" w:rsidP="00442E94">
      <w:pPr>
        <w:spacing w:after="0" w:line="360" w:lineRule="auto"/>
        <w:contextualSpacing/>
        <w:jc w:val="center"/>
        <w:rPr>
          <w:rFonts w:ascii="Arial" w:eastAsia="Times New Roman" w:hAnsi="Arial" w:cs="Arial"/>
          <w:b/>
          <w:bCs/>
          <w:kern w:val="0"/>
          <w:lang w:val="it-CH"/>
          <w14:ligatures w14:val="none"/>
        </w:rPr>
      </w:pPr>
      <w:r w:rsidRPr="00E96812">
        <w:rPr>
          <w:rFonts w:ascii="Arial" w:eastAsia="Times New Roman" w:hAnsi="Arial" w:cs="Arial"/>
          <w:b/>
          <w:bCs/>
          <w:kern w:val="0"/>
          <w:lang w:val="it-CH"/>
          <w14:ligatures w14:val="none"/>
        </w:rPr>
        <w:t>(11) Geetanjali Dwivedi and Nachiketa Nachiketa (Apt 603)</w:t>
      </w:r>
    </w:p>
    <w:p w14:paraId="3EB243F2" w14:textId="77777777" w:rsidR="006440E5" w:rsidRPr="002D214D" w:rsidRDefault="006440E5" w:rsidP="00442E94">
      <w:pPr>
        <w:spacing w:after="0" w:line="360" w:lineRule="auto"/>
        <w:contextualSpacing/>
        <w:jc w:val="center"/>
        <w:rPr>
          <w:rFonts w:ascii="Arial" w:eastAsia="Times New Roman" w:hAnsi="Arial" w:cs="Arial"/>
          <w:b/>
          <w:bCs/>
          <w:kern w:val="0"/>
          <w14:ligatures w14:val="none"/>
        </w:rPr>
      </w:pPr>
      <w:r w:rsidRPr="002D214D">
        <w:rPr>
          <w:rFonts w:ascii="Arial" w:eastAsia="Times New Roman" w:hAnsi="Arial" w:cs="Arial"/>
          <w:b/>
          <w:bCs/>
          <w:kern w:val="0"/>
          <w14:ligatures w14:val="none"/>
        </w:rPr>
        <w:t>(12) Jimmy Hidayat under a Power of Attorney for Julian Alexander (Apt 701)</w:t>
      </w:r>
    </w:p>
    <w:p w14:paraId="57E57820" w14:textId="77777777" w:rsidR="006440E5" w:rsidRPr="002D214D" w:rsidRDefault="006440E5" w:rsidP="00442E94">
      <w:pPr>
        <w:spacing w:after="0" w:line="360" w:lineRule="auto"/>
        <w:contextualSpacing/>
        <w:jc w:val="center"/>
        <w:rPr>
          <w:rFonts w:ascii="Arial" w:eastAsia="Times New Roman" w:hAnsi="Arial" w:cs="Arial"/>
          <w:b/>
          <w:bCs/>
          <w:kern w:val="0"/>
          <w14:ligatures w14:val="none"/>
        </w:rPr>
      </w:pPr>
      <w:r w:rsidRPr="002D214D">
        <w:rPr>
          <w:rFonts w:ascii="Arial" w:eastAsia="Times New Roman" w:hAnsi="Arial" w:cs="Arial"/>
          <w:b/>
          <w:bCs/>
          <w:kern w:val="0"/>
          <w14:ligatures w14:val="none"/>
        </w:rPr>
        <w:t>(13) Yu-Yu Lin (Apt 702)</w:t>
      </w:r>
    </w:p>
    <w:p w14:paraId="193E3BF8" w14:textId="77777777" w:rsidR="006440E5" w:rsidRPr="002D214D" w:rsidRDefault="006440E5" w:rsidP="00442E94">
      <w:pPr>
        <w:spacing w:after="0" w:line="360" w:lineRule="auto"/>
        <w:contextualSpacing/>
        <w:jc w:val="center"/>
        <w:rPr>
          <w:rFonts w:ascii="Arial" w:eastAsia="Times New Roman" w:hAnsi="Arial" w:cs="Arial"/>
          <w:b/>
          <w:bCs/>
          <w:kern w:val="0"/>
          <w14:ligatures w14:val="none"/>
        </w:rPr>
      </w:pPr>
      <w:r w:rsidRPr="002D214D">
        <w:rPr>
          <w:rFonts w:ascii="Arial" w:eastAsia="Times New Roman" w:hAnsi="Arial" w:cs="Arial"/>
          <w:b/>
          <w:bCs/>
          <w:kern w:val="0"/>
          <w14:ligatures w14:val="none"/>
        </w:rPr>
        <w:t>(14) Khalid Al Jassim (Apt 703)</w:t>
      </w:r>
    </w:p>
    <w:p w14:paraId="48EBA840" w14:textId="038F527E" w:rsidR="006440E5" w:rsidRPr="002D214D" w:rsidRDefault="006440E5" w:rsidP="00442E94">
      <w:pPr>
        <w:pStyle w:val="ListParagraph"/>
        <w:spacing w:line="360" w:lineRule="auto"/>
        <w:jc w:val="center"/>
        <w:rPr>
          <w:rFonts w:ascii="Arial" w:hAnsi="Arial" w:cs="Arial"/>
          <w:b/>
          <w:bCs/>
        </w:rPr>
      </w:pPr>
      <w:r w:rsidRPr="002D214D">
        <w:rPr>
          <w:rFonts w:ascii="Arial" w:eastAsia="Times New Roman" w:hAnsi="Arial" w:cs="Arial"/>
          <w:b/>
          <w:bCs/>
          <w:kern w:val="0"/>
          <w14:ligatures w14:val="none"/>
        </w:rPr>
        <w:t>(15) Raymond Gubbay CBE (Penthouse)</w:t>
      </w:r>
    </w:p>
    <w:p w14:paraId="3EF185EC" w14:textId="77777777" w:rsidR="007A3F2A" w:rsidRPr="002D214D" w:rsidRDefault="007A3F2A" w:rsidP="0054098D">
      <w:pPr>
        <w:spacing w:line="240" w:lineRule="auto"/>
        <w:jc w:val="center"/>
        <w:rPr>
          <w:rFonts w:ascii="Arial" w:hAnsi="Arial" w:cs="Arial"/>
          <w:b/>
          <w:bCs/>
        </w:rPr>
      </w:pPr>
      <w:r w:rsidRPr="002D214D">
        <w:rPr>
          <w:rFonts w:ascii="Arial" w:hAnsi="Arial" w:cs="Arial"/>
          <w:b/>
          <w:bCs/>
        </w:rPr>
        <w:t>Applicants</w:t>
      </w:r>
    </w:p>
    <w:p w14:paraId="52AB8F17" w14:textId="77777777" w:rsidR="007A3F2A" w:rsidRPr="002D214D" w:rsidRDefault="007A3F2A" w:rsidP="0054098D">
      <w:pPr>
        <w:spacing w:line="240" w:lineRule="auto"/>
        <w:jc w:val="center"/>
        <w:rPr>
          <w:rFonts w:ascii="Arial" w:hAnsi="Arial" w:cs="Arial"/>
          <w:b/>
          <w:bCs/>
        </w:rPr>
      </w:pPr>
      <w:r w:rsidRPr="002D214D">
        <w:rPr>
          <w:rFonts w:ascii="Arial" w:hAnsi="Arial" w:cs="Arial"/>
          <w:b/>
          <w:bCs/>
        </w:rPr>
        <w:t>- and -</w:t>
      </w:r>
    </w:p>
    <w:p w14:paraId="1A9D55D3" w14:textId="77777777" w:rsidR="007A3F2A" w:rsidRPr="002D214D" w:rsidRDefault="007A3F2A" w:rsidP="0054098D">
      <w:pPr>
        <w:spacing w:line="240" w:lineRule="auto"/>
        <w:jc w:val="center"/>
        <w:rPr>
          <w:rFonts w:ascii="Arial" w:hAnsi="Arial" w:cs="Arial"/>
          <w:b/>
          <w:bCs/>
        </w:rPr>
      </w:pPr>
      <w:r w:rsidRPr="002D214D">
        <w:rPr>
          <w:rFonts w:ascii="Arial" w:hAnsi="Arial" w:cs="Arial"/>
          <w:b/>
          <w:bCs/>
        </w:rPr>
        <w:t>AVON GROUND RENTS LIMITED</w:t>
      </w:r>
    </w:p>
    <w:p w14:paraId="20F24BC8" w14:textId="77777777" w:rsidR="007A3F2A" w:rsidRPr="002D214D" w:rsidRDefault="007A3F2A" w:rsidP="0054098D">
      <w:pPr>
        <w:spacing w:line="240" w:lineRule="auto"/>
        <w:jc w:val="center"/>
        <w:rPr>
          <w:rFonts w:ascii="Arial" w:hAnsi="Arial" w:cs="Arial"/>
          <w:b/>
          <w:bCs/>
        </w:rPr>
      </w:pPr>
      <w:r w:rsidRPr="002D214D">
        <w:rPr>
          <w:rFonts w:ascii="Arial" w:hAnsi="Arial" w:cs="Arial"/>
          <w:b/>
          <w:bCs/>
        </w:rPr>
        <w:t>Respondent</w:t>
      </w:r>
    </w:p>
    <w:p w14:paraId="0A52001E" w14:textId="77777777" w:rsidR="007A3F2A" w:rsidRPr="002D214D" w:rsidRDefault="007A3F2A" w:rsidP="0054098D">
      <w:pPr>
        <w:spacing w:line="240" w:lineRule="auto"/>
        <w:jc w:val="center"/>
        <w:rPr>
          <w:rFonts w:ascii="Arial" w:hAnsi="Arial" w:cs="Arial"/>
          <w:b/>
          <w:bCs/>
        </w:rPr>
      </w:pPr>
      <w:r w:rsidRPr="002D214D">
        <w:rPr>
          <w:rFonts w:ascii="Arial" w:hAnsi="Arial" w:cs="Arial"/>
          <w:b/>
          <w:bCs/>
        </w:rPr>
        <w:t>_________________________________________</w:t>
      </w:r>
    </w:p>
    <w:p w14:paraId="06DB24D1" w14:textId="77777777" w:rsidR="007A3F2A" w:rsidRPr="002D214D" w:rsidRDefault="007A3F2A" w:rsidP="0054098D">
      <w:pPr>
        <w:spacing w:line="240" w:lineRule="auto"/>
        <w:jc w:val="center"/>
        <w:rPr>
          <w:rFonts w:ascii="Arial" w:hAnsi="Arial" w:cs="Arial"/>
          <w:b/>
          <w:bCs/>
        </w:rPr>
      </w:pPr>
      <w:r w:rsidRPr="002D214D">
        <w:rPr>
          <w:rFonts w:ascii="Arial" w:hAnsi="Arial" w:cs="Arial"/>
          <w:b/>
          <w:bCs/>
        </w:rPr>
        <w:t>WITNESS STATEMENT OF MR KEVIN HASTINGS</w:t>
      </w:r>
    </w:p>
    <w:p w14:paraId="202015F5" w14:textId="77777777" w:rsidR="00B60493" w:rsidRPr="002D214D" w:rsidRDefault="007A3F2A" w:rsidP="0054098D">
      <w:pPr>
        <w:spacing w:line="240" w:lineRule="auto"/>
        <w:jc w:val="center"/>
        <w:rPr>
          <w:rFonts w:ascii="Arial" w:hAnsi="Arial" w:cs="Arial"/>
        </w:rPr>
      </w:pPr>
      <w:r w:rsidRPr="002D214D">
        <w:rPr>
          <w:rFonts w:ascii="Arial" w:hAnsi="Arial" w:cs="Arial"/>
          <w:b/>
          <w:bCs/>
        </w:rPr>
        <w:t>__________________________________________</w:t>
      </w:r>
    </w:p>
    <w:p w14:paraId="09F71C0B" w14:textId="77777777" w:rsidR="008E1F15" w:rsidRPr="002D214D" w:rsidRDefault="008E1F15" w:rsidP="00BB074E">
      <w:pPr>
        <w:spacing w:line="360" w:lineRule="auto"/>
        <w:rPr>
          <w:rFonts w:ascii="Arial" w:hAnsi="Arial" w:cs="Arial"/>
          <w:sz w:val="22"/>
          <w:szCs w:val="22"/>
        </w:rPr>
      </w:pPr>
    </w:p>
    <w:p w14:paraId="67FB82C6" w14:textId="215F5E01" w:rsidR="001E6018" w:rsidRPr="002D214D" w:rsidRDefault="001E6018" w:rsidP="001E6018">
      <w:pPr>
        <w:pStyle w:val="Level1Number"/>
        <w:numPr>
          <w:ilvl w:val="0"/>
          <w:numId w:val="0"/>
        </w:numPr>
        <w:ind w:left="720" w:hanging="720"/>
        <w:rPr>
          <w:rFonts w:ascii="Arial" w:hAnsi="Arial" w:cs="Arial"/>
        </w:rPr>
      </w:pPr>
      <w:r w:rsidRPr="002D214D">
        <w:rPr>
          <w:rFonts w:ascii="Arial" w:hAnsi="Arial" w:cs="Arial"/>
        </w:rPr>
        <w:t xml:space="preserve">I, </w:t>
      </w:r>
      <w:r w:rsidR="008C3860" w:rsidRPr="002D214D">
        <w:rPr>
          <w:rFonts w:ascii="Arial" w:hAnsi="Arial" w:cs="Arial"/>
        </w:rPr>
        <w:t>Kevin</w:t>
      </w:r>
      <w:r w:rsidRPr="002D214D">
        <w:rPr>
          <w:rFonts w:ascii="Arial" w:hAnsi="Arial" w:cs="Arial"/>
        </w:rPr>
        <w:t xml:space="preserve"> Hastings of</w:t>
      </w:r>
      <w:r w:rsidR="00B94A8A" w:rsidRPr="002D214D">
        <w:rPr>
          <w:rFonts w:ascii="Arial" w:hAnsi="Arial" w:cs="Arial"/>
        </w:rPr>
        <w:t xml:space="preserve"> </w:t>
      </w:r>
      <w:r w:rsidR="00DD144E" w:rsidRPr="002D214D">
        <w:rPr>
          <w:rFonts w:ascii="Arial" w:hAnsi="Arial" w:cs="Arial"/>
        </w:rPr>
        <w:t xml:space="preserve">21 Corbet Close, Wallington SM6 7GB </w:t>
      </w:r>
      <w:r w:rsidR="00514B29" w:rsidRPr="002D214D">
        <w:rPr>
          <w:rFonts w:ascii="Arial" w:hAnsi="Arial" w:cs="Arial"/>
        </w:rPr>
        <w:t>will</w:t>
      </w:r>
      <w:r w:rsidRPr="002D214D">
        <w:rPr>
          <w:rFonts w:ascii="Arial" w:hAnsi="Arial" w:cs="Arial"/>
        </w:rPr>
        <w:t xml:space="preserve"> say as follows: </w:t>
      </w:r>
    </w:p>
    <w:p w14:paraId="36D4C949" w14:textId="766367D1" w:rsidR="008E1F15" w:rsidRPr="002D214D" w:rsidRDefault="008E1F15" w:rsidP="00BA6B37">
      <w:pPr>
        <w:pStyle w:val="Level1Number"/>
        <w:rPr>
          <w:rFonts w:ascii="Arial" w:hAnsi="Arial" w:cs="Arial"/>
        </w:rPr>
      </w:pPr>
      <w:r w:rsidRPr="002D214D">
        <w:rPr>
          <w:rFonts w:ascii="Arial" w:hAnsi="Arial" w:cs="Arial"/>
        </w:rPr>
        <w:t>I</w:t>
      </w:r>
      <w:r w:rsidR="001E6018" w:rsidRPr="002D214D">
        <w:rPr>
          <w:rFonts w:ascii="Arial" w:hAnsi="Arial" w:cs="Arial"/>
        </w:rPr>
        <w:t xml:space="preserve"> </w:t>
      </w:r>
      <w:r w:rsidRPr="002D214D">
        <w:rPr>
          <w:rFonts w:ascii="Arial" w:hAnsi="Arial" w:cs="Arial"/>
        </w:rPr>
        <w:t>have served as the Chair of the 8 Artillery Row Residents Association</w:t>
      </w:r>
      <w:r w:rsidR="002E72F4" w:rsidRPr="002D214D">
        <w:rPr>
          <w:rFonts w:ascii="Arial" w:hAnsi="Arial" w:cs="Arial"/>
        </w:rPr>
        <w:t xml:space="preserve"> since its inception</w:t>
      </w:r>
      <w:r w:rsidR="00921D26" w:rsidRPr="002D214D">
        <w:rPr>
          <w:rFonts w:ascii="Arial" w:hAnsi="Arial" w:cs="Arial"/>
        </w:rPr>
        <w:t xml:space="preserve"> until present day</w:t>
      </w:r>
      <w:r w:rsidRPr="002D214D">
        <w:rPr>
          <w:rFonts w:ascii="Arial" w:hAnsi="Arial" w:cs="Arial"/>
        </w:rPr>
        <w:t>. Although I am not a leaseholder</w:t>
      </w:r>
      <w:r w:rsidR="003312D5" w:rsidRPr="002D214D">
        <w:rPr>
          <w:rFonts w:ascii="Arial" w:hAnsi="Arial" w:cs="Arial"/>
        </w:rPr>
        <w:t xml:space="preserve">, I was </w:t>
      </w:r>
      <w:r w:rsidRPr="002D214D">
        <w:rPr>
          <w:rFonts w:ascii="Arial" w:hAnsi="Arial" w:cs="Arial"/>
        </w:rPr>
        <w:t xml:space="preserve">a tenant </w:t>
      </w:r>
      <w:r w:rsidR="001C06E1" w:rsidRPr="002D214D">
        <w:rPr>
          <w:rFonts w:ascii="Arial" w:hAnsi="Arial" w:cs="Arial"/>
        </w:rPr>
        <w:t>who resided at</w:t>
      </w:r>
      <w:r w:rsidR="006E5A2A" w:rsidRPr="002D214D">
        <w:rPr>
          <w:rFonts w:ascii="Arial" w:hAnsi="Arial" w:cs="Arial"/>
        </w:rPr>
        <w:t xml:space="preserve"> </w:t>
      </w:r>
      <w:r w:rsidR="00C7461F" w:rsidRPr="002D214D">
        <w:rPr>
          <w:rFonts w:ascii="Arial" w:hAnsi="Arial" w:cs="Arial"/>
        </w:rPr>
        <w:t xml:space="preserve">8 Artillery Row, London SW1P 1RZ (“the </w:t>
      </w:r>
      <w:proofErr w:type="gramStart"/>
      <w:r w:rsidR="00C7461F" w:rsidRPr="002D214D">
        <w:rPr>
          <w:rFonts w:ascii="Arial" w:hAnsi="Arial" w:cs="Arial"/>
        </w:rPr>
        <w:t>Building</w:t>
      </w:r>
      <w:proofErr w:type="gramEnd"/>
      <w:r w:rsidR="00C7461F" w:rsidRPr="002D214D">
        <w:rPr>
          <w:rFonts w:ascii="Arial" w:hAnsi="Arial" w:cs="Arial"/>
        </w:rPr>
        <w:t xml:space="preserve">”) </w:t>
      </w:r>
      <w:r w:rsidR="003312D5" w:rsidRPr="002D214D">
        <w:rPr>
          <w:rFonts w:ascii="Arial" w:hAnsi="Arial" w:cs="Arial"/>
        </w:rPr>
        <w:t xml:space="preserve">from </w:t>
      </w:r>
      <w:r w:rsidR="0033193E" w:rsidRPr="002D214D">
        <w:rPr>
          <w:rFonts w:ascii="Arial" w:hAnsi="Arial" w:cs="Arial"/>
        </w:rPr>
        <w:t xml:space="preserve">16 </w:t>
      </w:r>
      <w:r w:rsidR="00EB48D5" w:rsidRPr="002D214D">
        <w:rPr>
          <w:rFonts w:ascii="Arial" w:hAnsi="Arial" w:cs="Arial"/>
        </w:rPr>
        <w:t xml:space="preserve">April </w:t>
      </w:r>
      <w:r w:rsidR="006E5A2A" w:rsidRPr="002D214D">
        <w:rPr>
          <w:rFonts w:ascii="Arial" w:hAnsi="Arial" w:cs="Arial"/>
        </w:rPr>
        <w:t xml:space="preserve">2016 until </w:t>
      </w:r>
      <w:r w:rsidR="00514B29" w:rsidRPr="002D214D">
        <w:rPr>
          <w:rFonts w:ascii="Arial" w:hAnsi="Arial" w:cs="Arial"/>
        </w:rPr>
        <w:t>19 May</w:t>
      </w:r>
      <w:r w:rsidR="001403DC" w:rsidRPr="002D214D">
        <w:rPr>
          <w:rFonts w:ascii="Arial" w:hAnsi="Arial" w:cs="Arial"/>
        </w:rPr>
        <w:t xml:space="preserve"> </w:t>
      </w:r>
      <w:r w:rsidR="001403DC" w:rsidRPr="002D214D">
        <w:rPr>
          <w:rFonts w:ascii="Arial" w:hAnsi="Arial" w:cs="Arial"/>
        </w:rPr>
        <w:lastRenderedPageBreak/>
        <w:t>2024</w:t>
      </w:r>
      <w:r w:rsidR="003312D5" w:rsidRPr="002D214D">
        <w:rPr>
          <w:rFonts w:ascii="Arial" w:hAnsi="Arial" w:cs="Arial"/>
        </w:rPr>
        <w:t>.</w:t>
      </w:r>
      <w:r w:rsidRPr="002D214D">
        <w:rPr>
          <w:rFonts w:ascii="Arial" w:hAnsi="Arial" w:cs="Arial"/>
        </w:rPr>
        <w:t xml:space="preserve"> I have been deeply involved in representing and supporting the leaseholders through the prolonged and distressing process related to the cladding and fire safety issues at our building.</w:t>
      </w:r>
    </w:p>
    <w:p w14:paraId="36AC5CF7" w14:textId="77777777" w:rsidR="002730D1" w:rsidRPr="002D214D" w:rsidRDefault="006E7717" w:rsidP="00BA6B37">
      <w:pPr>
        <w:pStyle w:val="Level1Number"/>
        <w:rPr>
          <w:rFonts w:ascii="Arial" w:hAnsi="Arial" w:cs="Arial"/>
        </w:rPr>
      </w:pPr>
      <w:r w:rsidRPr="002D214D">
        <w:rPr>
          <w:rFonts w:ascii="Arial" w:hAnsi="Arial" w:cs="Arial"/>
        </w:rPr>
        <w:t xml:space="preserve">The facts and matter set out in this statement are within my own knowledge unless otherwise stated, and I believe them to be true. Where I refer to information supplied by others the source of the information is identified; facts and matters derived from other sources are true to the best of my knowledge and belief. </w:t>
      </w:r>
    </w:p>
    <w:p w14:paraId="447849BB" w14:textId="77777777" w:rsidR="002730D1" w:rsidRPr="002D214D" w:rsidRDefault="002730D1" w:rsidP="00BA6B37">
      <w:pPr>
        <w:spacing w:before="100" w:beforeAutospacing="1" w:after="100" w:afterAutospacing="1" w:line="240" w:lineRule="auto"/>
        <w:jc w:val="both"/>
        <w:rPr>
          <w:rFonts w:ascii="Arial" w:hAnsi="Arial" w:cs="Arial"/>
          <w:kern w:val="0"/>
          <w:sz w:val="22"/>
          <w:szCs w:val="22"/>
          <w:lang w:val="en-US" w:eastAsia="en-US"/>
          <w14:ligatures w14:val="none"/>
        </w:rPr>
      </w:pPr>
    </w:p>
    <w:p w14:paraId="55B16EBD" w14:textId="77777777" w:rsidR="002730D1" w:rsidRPr="002D214D" w:rsidRDefault="002730D1" w:rsidP="00BA6B37">
      <w:pPr>
        <w:spacing w:before="100" w:beforeAutospacing="1" w:after="100" w:afterAutospacing="1" w:line="240" w:lineRule="auto"/>
        <w:jc w:val="both"/>
        <w:rPr>
          <w:rFonts w:ascii="Arial" w:hAnsi="Arial" w:cs="Arial"/>
          <w:kern w:val="0"/>
          <w:sz w:val="22"/>
          <w:szCs w:val="22"/>
          <w:lang w:val="en-US" w:eastAsia="en-US"/>
          <w14:ligatures w14:val="none"/>
        </w:rPr>
      </w:pPr>
    </w:p>
    <w:p w14:paraId="12F22067" w14:textId="77777777" w:rsidR="002730D1" w:rsidRPr="002D214D" w:rsidRDefault="002730D1" w:rsidP="00BA6B37">
      <w:pPr>
        <w:spacing w:before="100" w:beforeAutospacing="1" w:after="100" w:afterAutospacing="1" w:line="276" w:lineRule="auto"/>
        <w:jc w:val="both"/>
        <w:rPr>
          <w:rFonts w:ascii="Arial" w:hAnsi="Arial" w:cs="Arial"/>
          <w:b/>
          <w:bCs/>
          <w:kern w:val="0"/>
          <w:sz w:val="22"/>
          <w:szCs w:val="22"/>
          <w:lang w:val="en-US" w:eastAsia="en-US"/>
          <w14:ligatures w14:val="none"/>
        </w:rPr>
      </w:pPr>
      <w:r w:rsidRPr="002D214D">
        <w:rPr>
          <w:rFonts w:ascii="Arial" w:hAnsi="Arial" w:cs="Arial"/>
          <w:b/>
          <w:bCs/>
          <w:kern w:val="0"/>
          <w:sz w:val="22"/>
          <w:szCs w:val="22"/>
          <w:lang w:val="en-US" w:eastAsia="en-US"/>
          <w14:ligatures w14:val="none"/>
        </w:rPr>
        <w:t>WITNESS STATEMENT OF KEVIN HASTINGS</w:t>
      </w:r>
    </w:p>
    <w:p w14:paraId="4813FC84" w14:textId="77777777" w:rsidR="00E666D0" w:rsidRPr="002D214D" w:rsidRDefault="00E666D0" w:rsidP="00151D45">
      <w:pPr>
        <w:pStyle w:val="Level1Number"/>
        <w:numPr>
          <w:ilvl w:val="0"/>
          <w:numId w:val="0"/>
        </w:numPr>
        <w:ind w:left="720" w:hanging="720"/>
        <w:rPr>
          <w:rFonts w:ascii="Arial" w:hAnsi="Arial" w:cs="Arial"/>
        </w:rPr>
      </w:pPr>
      <w:r w:rsidRPr="002D214D">
        <w:rPr>
          <w:rFonts w:ascii="Arial" w:hAnsi="Arial" w:cs="Arial"/>
        </w:rPr>
        <w:t xml:space="preserve">I, Kevin Hastings of 21 Corbet Close, Wallington SM6 7GB will say as follows: </w:t>
      </w:r>
    </w:p>
    <w:p w14:paraId="41CB20D4" w14:textId="1BC980AC" w:rsidR="00E666D0" w:rsidRPr="002D214D" w:rsidRDefault="00E666D0" w:rsidP="00237CBC">
      <w:pPr>
        <w:pStyle w:val="Level1Number"/>
        <w:numPr>
          <w:ilvl w:val="0"/>
          <w:numId w:val="0"/>
        </w:numPr>
        <w:ind w:left="720" w:hanging="720"/>
        <w:rPr>
          <w:rFonts w:ascii="Arial" w:hAnsi="Arial" w:cs="Arial"/>
        </w:rPr>
      </w:pPr>
      <w:r w:rsidRPr="002D214D">
        <w:rPr>
          <w:rFonts w:ascii="Arial" w:hAnsi="Arial" w:cs="Arial"/>
        </w:rPr>
        <w:t>I have served as the Chair of the 8 Artillery Row Residents Association since its inception until</w:t>
      </w:r>
      <w:r w:rsidR="00237CBC" w:rsidRPr="002D214D">
        <w:rPr>
          <w:rFonts w:ascii="Arial" w:hAnsi="Arial" w:cs="Arial"/>
        </w:rPr>
        <w:t xml:space="preserve"> </w:t>
      </w:r>
      <w:proofErr w:type="spellStart"/>
      <w:r w:rsidRPr="002D214D">
        <w:rPr>
          <w:rFonts w:ascii="Arial" w:hAnsi="Arial" w:cs="Arial"/>
        </w:rPr>
        <w:t>presentday</w:t>
      </w:r>
      <w:proofErr w:type="spellEnd"/>
      <w:r w:rsidRPr="002D214D">
        <w:rPr>
          <w:rFonts w:ascii="Arial" w:hAnsi="Arial" w:cs="Arial"/>
        </w:rPr>
        <w:t xml:space="preserve">. Although I am not a leaseholder, I was a tenant who resided at 8 Artillery Row, London SW1P 1RZ (“the </w:t>
      </w:r>
      <w:proofErr w:type="gramStart"/>
      <w:r w:rsidRPr="002D214D">
        <w:rPr>
          <w:rFonts w:ascii="Arial" w:hAnsi="Arial" w:cs="Arial"/>
        </w:rPr>
        <w:t>Building</w:t>
      </w:r>
      <w:proofErr w:type="gramEnd"/>
      <w:r w:rsidRPr="002D214D">
        <w:rPr>
          <w:rFonts w:ascii="Arial" w:hAnsi="Arial" w:cs="Arial"/>
        </w:rPr>
        <w:t>”) from 16 April 2016 until 19 May 2024. I have been deeply involved in representing and supporting the leaseholders through the prolonged and distressing process related to the cladding and fire safety issues at our building.</w:t>
      </w:r>
    </w:p>
    <w:p w14:paraId="7303227F" w14:textId="28B74CCB" w:rsidR="002730D1" w:rsidRPr="002D214D" w:rsidRDefault="00E666D0" w:rsidP="00AA140A">
      <w:p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sz w:val="22"/>
          <w:szCs w:val="22"/>
        </w:rPr>
        <w:t>The facts and matter set out in this statement are within my own knowledge unless otherwise stated, and I believe them to be true. Where I refer to information supplied by others the source of the information is identified; facts and matters derived from other sources are true to the best of my knowledge and belief.</w:t>
      </w:r>
    </w:p>
    <w:p w14:paraId="5A4F4ABC" w14:textId="77777777" w:rsidR="002730D1" w:rsidRPr="002D214D" w:rsidRDefault="002730D1" w:rsidP="00AA140A">
      <w:p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A. INTRODUCTION AND CAPACITY</w:t>
      </w:r>
    </w:p>
    <w:p w14:paraId="2EF2FE04" w14:textId="77777777" w:rsidR="002730D1" w:rsidRPr="002D214D" w:rsidRDefault="002730D1" w:rsidP="00AA140A">
      <w:pPr>
        <w:numPr>
          <w:ilvl w:val="0"/>
          <w:numId w:val="3"/>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I lived at 8 Artillery Row with my family from April 2016 until May 2024. I helped to set up, and have since served as Chair of, the 8 Artillery Row Residents’ Association (“8ARRA”). The Association was only formally recognised by the Respondent after an application to this Tribunal.</w:t>
      </w:r>
    </w:p>
    <w:p w14:paraId="3B07B2A0" w14:textId="77777777" w:rsidR="002730D1" w:rsidRPr="002D214D" w:rsidRDefault="002730D1" w:rsidP="00AA140A">
      <w:pPr>
        <w:numPr>
          <w:ilvl w:val="0"/>
          <w:numId w:val="3"/>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I make this statement on behalf of the Applicants. The facts and matters set out are within my own knowledge, or are derived from documents held by 8ARRA, from supplier and contractor documents, and from correspondence with Y&amp;Y and representatives of the Respondent. Where I refer to documents, they are exhibited under the reference KH-[number].</w:t>
      </w:r>
    </w:p>
    <w:p w14:paraId="315C6F6E" w14:textId="77777777" w:rsidR="002730D1" w:rsidRPr="002D214D" w:rsidRDefault="002730D1" w:rsidP="00AA140A">
      <w:pPr>
        <w:numPr>
          <w:ilvl w:val="0"/>
          <w:numId w:val="3"/>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This statement supports the Applicants’ challenge to the service charges demanded for the years 2017–2024. It addresses, among other things: (</w:t>
      </w:r>
      <w:proofErr w:type="spellStart"/>
      <w:r w:rsidRPr="002D214D">
        <w:rPr>
          <w:rFonts w:ascii="Arial" w:hAnsi="Arial" w:cs="Arial"/>
          <w:kern w:val="0"/>
          <w:sz w:val="22"/>
          <w:szCs w:val="22"/>
          <w14:ligatures w14:val="none"/>
        </w:rPr>
        <w:t>i</w:t>
      </w:r>
      <w:proofErr w:type="spellEnd"/>
      <w:r w:rsidRPr="002D214D">
        <w:rPr>
          <w:rFonts w:ascii="Arial" w:hAnsi="Arial" w:cs="Arial"/>
          <w:kern w:val="0"/>
          <w:sz w:val="22"/>
          <w:szCs w:val="22"/>
          <w14:ligatures w14:val="none"/>
        </w:rPr>
        <w:t>) the reasonableness and payability of key heads of cost; (ii) the management of communal plant and building services (including heating, cooling and pumps); (iii) the procurement and validation of electricity and gas; and (iv) insurance, accounting and consultation issues.</w:t>
      </w:r>
    </w:p>
    <w:p w14:paraId="422B977E" w14:textId="77777777" w:rsidR="002730D1" w:rsidRDefault="002730D1" w:rsidP="00AA140A">
      <w:pPr>
        <w:numPr>
          <w:ilvl w:val="0"/>
          <w:numId w:val="3"/>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The statement is intended to be read alongside the Applicants’ Scott Schedule (filed on 2 September 2025) and Statement of Case. It is a factual account of my dealings with the Respondent and its managing agent, and of the evidence we have been able to obtain.</w:t>
      </w:r>
    </w:p>
    <w:tbl>
      <w:tblPr>
        <w:tblW w:w="0" w:type="auto"/>
        <w:tblCellMar>
          <w:left w:w="0" w:type="dxa"/>
          <w:right w:w="0" w:type="dxa"/>
        </w:tblCellMar>
        <w:tblLook w:val="04A0" w:firstRow="1" w:lastRow="0" w:firstColumn="1" w:lastColumn="0" w:noHBand="0" w:noVBand="1"/>
      </w:tblPr>
      <w:tblGrid>
        <w:gridCol w:w="2215"/>
        <w:gridCol w:w="2320"/>
        <w:gridCol w:w="2304"/>
        <w:gridCol w:w="2167"/>
      </w:tblGrid>
      <w:tr w:rsidR="00932BE9" w:rsidRPr="00932BE9" w14:paraId="31EBCA70" w14:textId="77777777">
        <w:tc>
          <w:tcPr>
            <w:tcW w:w="23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43293F" w14:textId="77777777" w:rsidR="00932BE9" w:rsidRPr="00932BE9" w:rsidRDefault="00932BE9" w:rsidP="00932BE9">
            <w:pPr>
              <w:spacing w:after="0" w:line="240" w:lineRule="auto"/>
              <w:rPr>
                <w:rFonts w:ascii="Aptos" w:eastAsia="Times New Roman" w:hAnsi="Aptos" w:cs="Times New Roman"/>
                <w:kern w:val="0"/>
                <w14:ligatures w14:val="none"/>
              </w:rPr>
            </w:pPr>
            <w:r w:rsidRPr="00932BE9">
              <w:rPr>
                <w:rFonts w:ascii="Verdana" w:eastAsia="Times New Roman" w:hAnsi="Verdana" w:cs="Times New Roman"/>
                <w:color w:val="0E2841"/>
                <w:kern w:val="0"/>
                <w:sz w:val="20"/>
                <w:szCs w:val="20"/>
                <w14:ligatures w14:val="none"/>
              </w:rPr>
              <w:t>Category</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A922FCC" w14:textId="77777777" w:rsidR="00932BE9" w:rsidRPr="00932BE9" w:rsidRDefault="00932BE9" w:rsidP="00932BE9">
            <w:pPr>
              <w:spacing w:after="0" w:line="240" w:lineRule="auto"/>
              <w:rPr>
                <w:rFonts w:ascii="Aptos" w:eastAsia="Times New Roman" w:hAnsi="Aptos" w:cs="Times New Roman"/>
                <w:kern w:val="0"/>
                <w14:ligatures w14:val="none"/>
              </w:rPr>
            </w:pPr>
            <w:r w:rsidRPr="00932BE9">
              <w:rPr>
                <w:rFonts w:ascii="Verdana" w:eastAsia="Times New Roman" w:hAnsi="Verdana" w:cs="Times New Roman"/>
                <w:color w:val="0E2841"/>
                <w:kern w:val="0"/>
                <w:sz w:val="20"/>
                <w:szCs w:val="20"/>
                <w14:ligatures w14:val="none"/>
              </w:rPr>
              <w:t>Reason for reduction</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540A41E" w14:textId="77777777" w:rsidR="00932BE9" w:rsidRPr="00932BE9" w:rsidRDefault="00932BE9" w:rsidP="00932BE9">
            <w:pPr>
              <w:spacing w:after="0" w:line="240" w:lineRule="auto"/>
              <w:rPr>
                <w:rFonts w:ascii="Aptos" w:eastAsia="Times New Roman" w:hAnsi="Aptos" w:cs="Times New Roman"/>
                <w:kern w:val="0"/>
                <w14:ligatures w14:val="none"/>
              </w:rPr>
            </w:pPr>
            <w:r w:rsidRPr="00932BE9">
              <w:rPr>
                <w:rFonts w:ascii="Verdana" w:eastAsia="Times New Roman" w:hAnsi="Verdana" w:cs="Times New Roman"/>
                <w:color w:val="0E2841"/>
                <w:kern w:val="0"/>
                <w:sz w:val="20"/>
                <w:szCs w:val="20"/>
                <w14:ligatures w14:val="none"/>
              </w:rPr>
              <w:t>Period of overcharge/double charge</w:t>
            </w:r>
          </w:p>
        </w:tc>
        <w:tc>
          <w:tcPr>
            <w:tcW w:w="23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BE4C1CE" w14:textId="77777777" w:rsidR="00932BE9" w:rsidRPr="00932BE9" w:rsidRDefault="00932BE9" w:rsidP="00932BE9">
            <w:pPr>
              <w:spacing w:after="0" w:line="240" w:lineRule="auto"/>
              <w:rPr>
                <w:rFonts w:ascii="Aptos" w:eastAsia="Times New Roman" w:hAnsi="Aptos" w:cs="Times New Roman"/>
                <w:kern w:val="0"/>
                <w14:ligatures w14:val="none"/>
              </w:rPr>
            </w:pPr>
            <w:r w:rsidRPr="00932BE9">
              <w:rPr>
                <w:rFonts w:ascii="Verdana" w:eastAsia="Times New Roman" w:hAnsi="Verdana" w:cs="Times New Roman"/>
                <w:color w:val="0E2841"/>
                <w:kern w:val="0"/>
                <w:sz w:val="20"/>
                <w:szCs w:val="20"/>
                <w14:ligatures w14:val="none"/>
              </w:rPr>
              <w:t>Amount claimed</w:t>
            </w:r>
          </w:p>
        </w:tc>
      </w:tr>
      <w:tr w:rsidR="00932BE9" w:rsidRPr="00932BE9" w14:paraId="02469E34"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C1F2EB" w14:textId="77777777" w:rsidR="00932BE9" w:rsidRPr="00932BE9" w:rsidRDefault="00932BE9" w:rsidP="00932BE9">
            <w:pPr>
              <w:spacing w:after="0" w:line="240" w:lineRule="auto"/>
              <w:rPr>
                <w:rFonts w:ascii="Aptos" w:eastAsia="Times New Roman" w:hAnsi="Aptos" w:cs="Times New Roman"/>
                <w:kern w:val="0"/>
                <w14:ligatures w14:val="none"/>
              </w:rPr>
            </w:pPr>
            <w:r w:rsidRPr="00932BE9">
              <w:rPr>
                <w:rFonts w:ascii="Verdana" w:eastAsia="Times New Roman" w:hAnsi="Verdana" w:cs="Times New Roman"/>
                <w:color w:val="0E2841"/>
                <w:kern w:val="0"/>
                <w:sz w:val="20"/>
                <w:szCs w:val="20"/>
                <w14:ligatures w14:val="none"/>
              </w:rPr>
              <w:lastRenderedPageBreak/>
              <w:t>Heat and Hot water</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5490FF1B" w14:textId="77777777" w:rsidR="00932BE9" w:rsidRPr="00932BE9" w:rsidRDefault="00932BE9" w:rsidP="00932BE9">
            <w:pPr>
              <w:spacing w:after="0" w:line="240" w:lineRule="auto"/>
              <w:rPr>
                <w:rFonts w:ascii="Aptos" w:eastAsia="Times New Roman" w:hAnsi="Aptos" w:cs="Times New Roman"/>
                <w:kern w:val="0"/>
                <w14:ligatures w14:val="none"/>
              </w:rPr>
            </w:pPr>
            <w:r w:rsidRPr="00932BE9">
              <w:rPr>
                <w:rFonts w:ascii="Verdana" w:eastAsia="Times New Roman" w:hAnsi="Verdana" w:cs="Times New Roman"/>
                <w:color w:val="0E2841"/>
                <w:kern w:val="0"/>
                <w:sz w:val="20"/>
                <w:szCs w:val="20"/>
                <w14:ligatures w14:val="none"/>
              </w:rPr>
              <w:t>Duplicated maintenance/admin costs</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59979190" w14:textId="77777777" w:rsidR="00932BE9" w:rsidRPr="00932BE9" w:rsidRDefault="00932BE9" w:rsidP="00932BE9">
            <w:pPr>
              <w:spacing w:after="0" w:line="240" w:lineRule="auto"/>
              <w:rPr>
                <w:rFonts w:ascii="Aptos" w:eastAsia="Times New Roman" w:hAnsi="Aptos" w:cs="Times New Roman"/>
                <w:kern w:val="0"/>
                <w14:ligatures w14:val="none"/>
              </w:rPr>
            </w:pPr>
            <w:r w:rsidRPr="00932BE9">
              <w:rPr>
                <w:rFonts w:ascii="Verdana" w:eastAsia="Times New Roman" w:hAnsi="Verdana" w:cs="Times New Roman"/>
                <w:color w:val="0E2841"/>
                <w:kern w:val="0"/>
                <w:sz w:val="20"/>
                <w:szCs w:val="20"/>
                <w14:ligatures w14:val="none"/>
              </w:rPr>
              <w:t>2017 to date</w:t>
            </w:r>
          </w:p>
        </w:tc>
        <w:tc>
          <w:tcPr>
            <w:tcW w:w="2338" w:type="dxa"/>
            <w:tcBorders>
              <w:top w:val="nil"/>
              <w:left w:val="nil"/>
              <w:bottom w:val="single" w:sz="8" w:space="0" w:color="auto"/>
              <w:right w:val="single" w:sz="8" w:space="0" w:color="auto"/>
            </w:tcBorders>
            <w:tcMar>
              <w:top w:w="0" w:type="dxa"/>
              <w:left w:w="108" w:type="dxa"/>
              <w:bottom w:w="0" w:type="dxa"/>
              <w:right w:w="108" w:type="dxa"/>
            </w:tcMar>
            <w:hideMark/>
          </w:tcPr>
          <w:p w14:paraId="26B82A97" w14:textId="77777777" w:rsidR="00932BE9" w:rsidRPr="00932BE9" w:rsidRDefault="00932BE9" w:rsidP="00932BE9">
            <w:pPr>
              <w:spacing w:after="0" w:line="240" w:lineRule="auto"/>
              <w:rPr>
                <w:rFonts w:ascii="Aptos" w:eastAsia="Times New Roman" w:hAnsi="Aptos" w:cs="Times New Roman"/>
                <w:kern w:val="0"/>
                <w14:ligatures w14:val="none"/>
              </w:rPr>
            </w:pPr>
            <w:r w:rsidRPr="00932BE9">
              <w:rPr>
                <w:rFonts w:ascii="Verdana" w:eastAsia="Times New Roman" w:hAnsi="Verdana" w:cs="Times New Roman"/>
                <w:color w:val="0E2841"/>
                <w:kern w:val="0"/>
                <w:sz w:val="20"/>
                <w:szCs w:val="20"/>
                <w14:ligatures w14:val="none"/>
              </w:rPr>
              <w:t>£10,000 (or whatever the figure is)</w:t>
            </w:r>
          </w:p>
        </w:tc>
      </w:tr>
      <w:tr w:rsidR="00932BE9" w:rsidRPr="00932BE9" w14:paraId="0243FB4F" w14:textId="77777777" w:rsidTr="00865232">
        <w:tc>
          <w:tcPr>
            <w:tcW w:w="2337" w:type="dxa"/>
            <w:tcBorders>
              <w:top w:val="nil"/>
              <w:left w:val="single" w:sz="8" w:space="0" w:color="auto"/>
              <w:bottom w:val="nil"/>
              <w:right w:val="single" w:sz="8" w:space="0" w:color="auto"/>
            </w:tcBorders>
            <w:tcMar>
              <w:top w:w="0" w:type="dxa"/>
              <w:left w:w="108" w:type="dxa"/>
              <w:bottom w:w="0" w:type="dxa"/>
              <w:right w:w="108" w:type="dxa"/>
            </w:tcMar>
            <w:hideMark/>
          </w:tcPr>
          <w:p w14:paraId="6A2FDEF8" w14:textId="77777777" w:rsidR="00932BE9" w:rsidRPr="00932BE9" w:rsidRDefault="00932BE9" w:rsidP="00932BE9">
            <w:pPr>
              <w:spacing w:after="0" w:line="240" w:lineRule="auto"/>
              <w:rPr>
                <w:rFonts w:ascii="Aptos" w:eastAsia="Times New Roman" w:hAnsi="Aptos" w:cs="Times New Roman"/>
                <w:kern w:val="0"/>
                <w14:ligatures w14:val="none"/>
              </w:rPr>
            </w:pPr>
            <w:r w:rsidRPr="00932BE9">
              <w:rPr>
                <w:rFonts w:ascii="Verdana" w:eastAsia="Times New Roman" w:hAnsi="Verdana" w:cs="Times New Roman"/>
                <w:color w:val="0E2841"/>
                <w:kern w:val="0"/>
                <w:sz w:val="20"/>
                <w:szCs w:val="20"/>
                <w14:ligatures w14:val="none"/>
              </w:rPr>
              <w:t>Electricity charges</w:t>
            </w:r>
          </w:p>
        </w:tc>
        <w:tc>
          <w:tcPr>
            <w:tcW w:w="2337" w:type="dxa"/>
            <w:tcBorders>
              <w:top w:val="nil"/>
              <w:left w:val="nil"/>
              <w:bottom w:val="nil"/>
              <w:right w:val="single" w:sz="8" w:space="0" w:color="auto"/>
            </w:tcBorders>
            <w:tcMar>
              <w:top w:w="0" w:type="dxa"/>
              <w:left w:w="108" w:type="dxa"/>
              <w:bottom w:w="0" w:type="dxa"/>
              <w:right w:w="108" w:type="dxa"/>
            </w:tcMar>
            <w:hideMark/>
          </w:tcPr>
          <w:p w14:paraId="4989C522" w14:textId="77777777" w:rsidR="00932BE9" w:rsidRPr="00932BE9" w:rsidRDefault="00932BE9" w:rsidP="00932BE9">
            <w:pPr>
              <w:spacing w:after="0" w:line="240" w:lineRule="auto"/>
              <w:rPr>
                <w:rFonts w:ascii="Aptos" w:eastAsia="Times New Roman" w:hAnsi="Aptos" w:cs="Times New Roman"/>
                <w:kern w:val="0"/>
                <w14:ligatures w14:val="none"/>
              </w:rPr>
            </w:pPr>
            <w:r w:rsidRPr="00932BE9">
              <w:rPr>
                <w:rFonts w:ascii="Verdana" w:eastAsia="Times New Roman" w:hAnsi="Verdana" w:cs="Times New Roman"/>
                <w:color w:val="0E2841"/>
                <w:kern w:val="0"/>
                <w:sz w:val="20"/>
                <w:szCs w:val="20"/>
                <w14:ligatures w14:val="none"/>
              </w:rPr>
              <w:t>Double charging of communal supply</w:t>
            </w:r>
          </w:p>
        </w:tc>
        <w:tc>
          <w:tcPr>
            <w:tcW w:w="2338" w:type="dxa"/>
            <w:tcBorders>
              <w:top w:val="nil"/>
              <w:left w:val="nil"/>
              <w:bottom w:val="nil"/>
              <w:right w:val="single" w:sz="8" w:space="0" w:color="auto"/>
            </w:tcBorders>
            <w:tcMar>
              <w:top w:w="0" w:type="dxa"/>
              <w:left w:w="108" w:type="dxa"/>
              <w:bottom w:w="0" w:type="dxa"/>
              <w:right w:w="108" w:type="dxa"/>
            </w:tcMar>
            <w:hideMark/>
          </w:tcPr>
          <w:p w14:paraId="455C8F8E" w14:textId="77777777" w:rsidR="00932BE9" w:rsidRPr="00932BE9" w:rsidRDefault="00932BE9" w:rsidP="00932BE9">
            <w:pPr>
              <w:spacing w:after="0" w:line="240" w:lineRule="auto"/>
              <w:rPr>
                <w:rFonts w:ascii="Aptos" w:eastAsia="Times New Roman" w:hAnsi="Aptos" w:cs="Times New Roman"/>
                <w:kern w:val="0"/>
                <w14:ligatures w14:val="none"/>
              </w:rPr>
            </w:pPr>
            <w:r w:rsidRPr="00932BE9">
              <w:rPr>
                <w:rFonts w:ascii="Verdana" w:eastAsia="Times New Roman" w:hAnsi="Verdana" w:cs="Times New Roman"/>
                <w:color w:val="0E2841"/>
                <w:kern w:val="0"/>
                <w:sz w:val="20"/>
                <w:szCs w:val="20"/>
                <w14:ligatures w14:val="none"/>
              </w:rPr>
              <w:t>2015 to date</w:t>
            </w:r>
          </w:p>
        </w:tc>
        <w:tc>
          <w:tcPr>
            <w:tcW w:w="2338" w:type="dxa"/>
            <w:tcBorders>
              <w:top w:val="nil"/>
              <w:left w:val="nil"/>
              <w:bottom w:val="nil"/>
              <w:right w:val="single" w:sz="8" w:space="0" w:color="auto"/>
            </w:tcBorders>
            <w:tcMar>
              <w:top w:w="0" w:type="dxa"/>
              <w:left w:w="108" w:type="dxa"/>
              <w:bottom w:w="0" w:type="dxa"/>
              <w:right w:w="108" w:type="dxa"/>
            </w:tcMar>
            <w:hideMark/>
          </w:tcPr>
          <w:p w14:paraId="0AFC0B23" w14:textId="77777777" w:rsidR="00932BE9" w:rsidRPr="00932BE9" w:rsidRDefault="00932BE9" w:rsidP="00932BE9">
            <w:pPr>
              <w:spacing w:after="0" w:line="240" w:lineRule="auto"/>
              <w:rPr>
                <w:rFonts w:ascii="Aptos" w:eastAsia="Times New Roman" w:hAnsi="Aptos" w:cs="Times New Roman"/>
                <w:kern w:val="0"/>
                <w14:ligatures w14:val="none"/>
              </w:rPr>
            </w:pPr>
            <w:r w:rsidRPr="00932BE9">
              <w:rPr>
                <w:rFonts w:ascii="Verdana" w:eastAsia="Times New Roman" w:hAnsi="Verdana" w:cs="Times New Roman"/>
                <w:color w:val="0E2841"/>
                <w:kern w:val="0"/>
                <w:sz w:val="20"/>
                <w:szCs w:val="20"/>
                <w14:ligatures w14:val="none"/>
              </w:rPr>
              <w:t>£1.3m</w:t>
            </w:r>
          </w:p>
        </w:tc>
      </w:tr>
      <w:tr w:rsidR="00865232" w:rsidRPr="00932BE9" w14:paraId="2F4E391E" w14:textId="77777777" w:rsidTr="00865232">
        <w:tc>
          <w:tcPr>
            <w:tcW w:w="2337" w:type="dxa"/>
            <w:tcBorders>
              <w:top w:val="nil"/>
              <w:left w:val="single" w:sz="8" w:space="0" w:color="auto"/>
              <w:bottom w:val="nil"/>
              <w:right w:val="single" w:sz="8" w:space="0" w:color="auto"/>
            </w:tcBorders>
            <w:tcMar>
              <w:top w:w="0" w:type="dxa"/>
              <w:left w:w="108" w:type="dxa"/>
              <w:bottom w:w="0" w:type="dxa"/>
              <w:right w:w="108" w:type="dxa"/>
            </w:tcMar>
          </w:tcPr>
          <w:p w14:paraId="2F7765F9" w14:textId="77777777" w:rsidR="00865232" w:rsidRPr="00932BE9" w:rsidRDefault="00865232" w:rsidP="00932BE9">
            <w:pPr>
              <w:spacing w:after="0" w:line="240" w:lineRule="auto"/>
              <w:rPr>
                <w:rFonts w:ascii="Verdana" w:eastAsia="Times New Roman" w:hAnsi="Verdana" w:cs="Times New Roman"/>
                <w:color w:val="0E2841"/>
                <w:kern w:val="0"/>
                <w:sz w:val="20"/>
                <w:szCs w:val="20"/>
                <w14:ligatures w14:val="none"/>
              </w:rPr>
            </w:pPr>
          </w:p>
        </w:tc>
        <w:tc>
          <w:tcPr>
            <w:tcW w:w="2337" w:type="dxa"/>
            <w:tcBorders>
              <w:top w:val="nil"/>
              <w:left w:val="nil"/>
              <w:bottom w:val="nil"/>
              <w:right w:val="single" w:sz="8" w:space="0" w:color="auto"/>
            </w:tcBorders>
            <w:tcMar>
              <w:top w:w="0" w:type="dxa"/>
              <w:left w:w="108" w:type="dxa"/>
              <w:bottom w:w="0" w:type="dxa"/>
              <w:right w:w="108" w:type="dxa"/>
            </w:tcMar>
          </w:tcPr>
          <w:p w14:paraId="128FD155" w14:textId="77777777" w:rsidR="00865232" w:rsidRPr="00932BE9" w:rsidRDefault="00865232" w:rsidP="00932BE9">
            <w:pPr>
              <w:spacing w:after="0" w:line="240" w:lineRule="auto"/>
              <w:rPr>
                <w:rFonts w:ascii="Verdana" w:eastAsia="Times New Roman" w:hAnsi="Verdana" w:cs="Times New Roman"/>
                <w:color w:val="0E2841"/>
                <w:kern w:val="0"/>
                <w:sz w:val="20"/>
                <w:szCs w:val="20"/>
                <w14:ligatures w14:val="none"/>
              </w:rPr>
            </w:pPr>
          </w:p>
        </w:tc>
        <w:tc>
          <w:tcPr>
            <w:tcW w:w="2338" w:type="dxa"/>
            <w:tcBorders>
              <w:top w:val="nil"/>
              <w:left w:val="nil"/>
              <w:bottom w:val="nil"/>
              <w:right w:val="single" w:sz="8" w:space="0" w:color="auto"/>
            </w:tcBorders>
            <w:tcMar>
              <w:top w:w="0" w:type="dxa"/>
              <w:left w:w="108" w:type="dxa"/>
              <w:bottom w:w="0" w:type="dxa"/>
              <w:right w:w="108" w:type="dxa"/>
            </w:tcMar>
          </w:tcPr>
          <w:p w14:paraId="325E757C" w14:textId="77777777" w:rsidR="00865232" w:rsidRPr="00932BE9" w:rsidRDefault="00865232" w:rsidP="00932BE9">
            <w:pPr>
              <w:spacing w:after="0" w:line="240" w:lineRule="auto"/>
              <w:rPr>
                <w:rFonts w:ascii="Verdana" w:eastAsia="Times New Roman" w:hAnsi="Verdana" w:cs="Times New Roman"/>
                <w:color w:val="0E2841"/>
                <w:kern w:val="0"/>
                <w:sz w:val="20"/>
                <w:szCs w:val="20"/>
                <w14:ligatures w14:val="none"/>
              </w:rPr>
            </w:pPr>
          </w:p>
        </w:tc>
        <w:tc>
          <w:tcPr>
            <w:tcW w:w="2338" w:type="dxa"/>
            <w:tcBorders>
              <w:top w:val="nil"/>
              <w:left w:val="nil"/>
              <w:bottom w:val="nil"/>
              <w:right w:val="single" w:sz="8" w:space="0" w:color="auto"/>
            </w:tcBorders>
            <w:tcMar>
              <w:top w:w="0" w:type="dxa"/>
              <w:left w:w="108" w:type="dxa"/>
              <w:bottom w:w="0" w:type="dxa"/>
              <w:right w:w="108" w:type="dxa"/>
            </w:tcMar>
          </w:tcPr>
          <w:p w14:paraId="6CCDD416" w14:textId="77777777" w:rsidR="00865232" w:rsidRPr="00932BE9" w:rsidRDefault="00865232" w:rsidP="00932BE9">
            <w:pPr>
              <w:spacing w:after="0" w:line="240" w:lineRule="auto"/>
              <w:rPr>
                <w:rFonts w:ascii="Verdana" w:eastAsia="Times New Roman" w:hAnsi="Verdana" w:cs="Times New Roman"/>
                <w:color w:val="0E2841"/>
                <w:kern w:val="0"/>
                <w:sz w:val="20"/>
                <w:szCs w:val="20"/>
                <w14:ligatures w14:val="none"/>
              </w:rPr>
            </w:pPr>
          </w:p>
        </w:tc>
      </w:tr>
      <w:tr w:rsidR="00865232" w:rsidRPr="00932BE9" w14:paraId="539A5771" w14:textId="77777777">
        <w:tc>
          <w:tcPr>
            <w:tcW w:w="233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2503A05" w14:textId="77777777" w:rsidR="00865232" w:rsidRDefault="00865232" w:rsidP="00932BE9">
            <w:pPr>
              <w:spacing w:after="0" w:line="240" w:lineRule="auto"/>
              <w:rPr>
                <w:rFonts w:ascii="Verdana" w:eastAsia="Times New Roman" w:hAnsi="Verdana" w:cs="Times New Roman"/>
                <w:color w:val="0E2841"/>
                <w:kern w:val="0"/>
                <w:sz w:val="20"/>
                <w:szCs w:val="20"/>
                <w14:ligatures w14:val="none"/>
              </w:rPr>
            </w:pPr>
          </w:p>
          <w:p w14:paraId="392743F2" w14:textId="03201264" w:rsidR="00865232" w:rsidRPr="00932BE9" w:rsidRDefault="00865232" w:rsidP="00932BE9">
            <w:pPr>
              <w:spacing w:after="0" w:line="240" w:lineRule="auto"/>
              <w:rPr>
                <w:rFonts w:ascii="Verdana" w:eastAsia="Times New Roman" w:hAnsi="Verdana" w:cs="Times New Roman"/>
                <w:color w:val="0E2841"/>
                <w:kern w:val="0"/>
                <w:sz w:val="20"/>
                <w:szCs w:val="20"/>
                <w14:ligatures w14:val="none"/>
              </w:rPr>
            </w:pPr>
            <w:r>
              <w:rPr>
                <w:rFonts w:ascii="Verdana" w:eastAsia="Times New Roman" w:hAnsi="Verdana" w:cs="Times New Roman"/>
                <w:color w:val="0E2841"/>
                <w:kern w:val="0"/>
                <w:sz w:val="20"/>
                <w:szCs w:val="20"/>
                <w14:ligatures w14:val="none"/>
              </w:rPr>
              <w:t>AES Systems plant or Heat Interface Maintenance</w:t>
            </w:r>
          </w:p>
        </w:tc>
        <w:tc>
          <w:tcPr>
            <w:tcW w:w="2337" w:type="dxa"/>
            <w:tcBorders>
              <w:top w:val="nil"/>
              <w:left w:val="nil"/>
              <w:bottom w:val="single" w:sz="8" w:space="0" w:color="auto"/>
              <w:right w:val="single" w:sz="8" w:space="0" w:color="auto"/>
            </w:tcBorders>
            <w:tcMar>
              <w:top w:w="0" w:type="dxa"/>
              <w:left w:w="108" w:type="dxa"/>
              <w:bottom w:w="0" w:type="dxa"/>
              <w:right w:w="108" w:type="dxa"/>
            </w:tcMar>
          </w:tcPr>
          <w:p w14:paraId="32665BA7" w14:textId="77777777" w:rsidR="00865232" w:rsidRPr="00932BE9" w:rsidRDefault="00865232" w:rsidP="00932BE9">
            <w:pPr>
              <w:spacing w:after="0" w:line="240" w:lineRule="auto"/>
              <w:rPr>
                <w:rFonts w:ascii="Verdana" w:eastAsia="Times New Roman" w:hAnsi="Verdana" w:cs="Times New Roman"/>
                <w:color w:val="0E2841"/>
                <w:kern w:val="0"/>
                <w:sz w:val="20"/>
                <w:szCs w:val="20"/>
                <w14:ligatures w14:val="none"/>
              </w:rPr>
            </w:pPr>
          </w:p>
        </w:tc>
        <w:tc>
          <w:tcPr>
            <w:tcW w:w="2338" w:type="dxa"/>
            <w:tcBorders>
              <w:top w:val="nil"/>
              <w:left w:val="nil"/>
              <w:bottom w:val="single" w:sz="8" w:space="0" w:color="auto"/>
              <w:right w:val="single" w:sz="8" w:space="0" w:color="auto"/>
            </w:tcBorders>
            <w:tcMar>
              <w:top w:w="0" w:type="dxa"/>
              <w:left w:w="108" w:type="dxa"/>
              <w:bottom w:w="0" w:type="dxa"/>
              <w:right w:w="108" w:type="dxa"/>
            </w:tcMar>
          </w:tcPr>
          <w:p w14:paraId="1BD6ED1D" w14:textId="77777777" w:rsidR="00865232" w:rsidRPr="00932BE9" w:rsidRDefault="00865232" w:rsidP="00932BE9">
            <w:pPr>
              <w:spacing w:after="0" w:line="240" w:lineRule="auto"/>
              <w:rPr>
                <w:rFonts w:ascii="Verdana" w:eastAsia="Times New Roman" w:hAnsi="Verdana" w:cs="Times New Roman"/>
                <w:color w:val="0E2841"/>
                <w:kern w:val="0"/>
                <w:sz w:val="20"/>
                <w:szCs w:val="20"/>
                <w14:ligatures w14:val="none"/>
              </w:rPr>
            </w:pPr>
          </w:p>
        </w:tc>
        <w:tc>
          <w:tcPr>
            <w:tcW w:w="2338" w:type="dxa"/>
            <w:tcBorders>
              <w:top w:val="nil"/>
              <w:left w:val="nil"/>
              <w:bottom w:val="single" w:sz="8" w:space="0" w:color="auto"/>
              <w:right w:val="single" w:sz="8" w:space="0" w:color="auto"/>
            </w:tcBorders>
            <w:tcMar>
              <w:top w:w="0" w:type="dxa"/>
              <w:left w:w="108" w:type="dxa"/>
              <w:bottom w:w="0" w:type="dxa"/>
              <w:right w:w="108" w:type="dxa"/>
            </w:tcMar>
          </w:tcPr>
          <w:p w14:paraId="1F53240A" w14:textId="77777777" w:rsidR="00865232" w:rsidRPr="00932BE9" w:rsidRDefault="00865232" w:rsidP="00932BE9">
            <w:pPr>
              <w:spacing w:after="0" w:line="240" w:lineRule="auto"/>
              <w:rPr>
                <w:rFonts w:ascii="Verdana" w:eastAsia="Times New Roman" w:hAnsi="Verdana" w:cs="Times New Roman"/>
                <w:color w:val="0E2841"/>
                <w:kern w:val="0"/>
                <w:sz w:val="20"/>
                <w:szCs w:val="20"/>
                <w14:ligatures w14:val="none"/>
              </w:rPr>
            </w:pPr>
          </w:p>
        </w:tc>
      </w:tr>
    </w:tbl>
    <w:p w14:paraId="4A721ABD" w14:textId="77777777" w:rsidR="00932BE9" w:rsidRPr="002D214D" w:rsidRDefault="00932BE9" w:rsidP="00932BE9">
      <w:pPr>
        <w:spacing w:before="100" w:beforeAutospacing="1" w:after="100" w:afterAutospacing="1" w:line="240" w:lineRule="auto"/>
        <w:jc w:val="both"/>
        <w:rPr>
          <w:rFonts w:ascii="Arial" w:hAnsi="Arial" w:cs="Arial"/>
          <w:kern w:val="0"/>
          <w:sz w:val="22"/>
          <w:szCs w:val="22"/>
          <w14:ligatures w14:val="none"/>
        </w:rPr>
      </w:pPr>
    </w:p>
    <w:p w14:paraId="1D5F9005" w14:textId="77777777" w:rsidR="002730D1" w:rsidRPr="002D214D" w:rsidRDefault="002730D1" w:rsidP="00AA140A">
      <w:pPr>
        <w:spacing w:before="100" w:beforeAutospacing="1" w:after="100" w:afterAutospacing="1" w:line="240" w:lineRule="auto"/>
        <w:jc w:val="both"/>
        <w:rPr>
          <w:rFonts w:ascii="Arial" w:hAnsi="Arial" w:cs="Arial"/>
          <w:kern w:val="0"/>
          <w:sz w:val="22"/>
          <w:szCs w:val="22"/>
          <w14:ligatures w14:val="none"/>
        </w:rPr>
      </w:pPr>
    </w:p>
    <w:p w14:paraId="7624E216" w14:textId="77777777" w:rsidR="002730D1" w:rsidRPr="002D214D" w:rsidRDefault="002730D1" w:rsidP="00AA140A">
      <w:p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B. DISCLOSURE CONDUCT AND CASE MANAGEMENT</w:t>
      </w:r>
    </w:p>
    <w:p w14:paraId="000250C5" w14:textId="77777777" w:rsidR="002730D1" w:rsidRPr="002D214D" w:rsidRDefault="002730D1" w:rsidP="00AA140A">
      <w:pPr>
        <w:numPr>
          <w:ilvl w:val="0"/>
          <w:numId w:val="4"/>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Respondent and its solicitors have suggested that they required additional time in these proceedings </w:t>
      </w:r>
      <w:proofErr w:type="gramStart"/>
      <w:r w:rsidRPr="002D214D">
        <w:rPr>
          <w:rFonts w:ascii="Arial" w:hAnsi="Arial" w:cs="Arial"/>
          <w:kern w:val="0"/>
          <w:sz w:val="22"/>
          <w:szCs w:val="22"/>
          <w14:ligatures w14:val="none"/>
        </w:rPr>
        <w:t>in order to</w:t>
      </w:r>
      <w:proofErr w:type="gramEnd"/>
      <w:r w:rsidRPr="002D214D">
        <w:rPr>
          <w:rFonts w:ascii="Arial" w:hAnsi="Arial" w:cs="Arial"/>
          <w:kern w:val="0"/>
          <w:sz w:val="22"/>
          <w:szCs w:val="22"/>
          <w14:ligatures w14:val="none"/>
        </w:rPr>
        <w:t xml:space="preserve"> gather documentation and that they have been open and cooperative, including by inviting the Applicants to inspect records.</w:t>
      </w:r>
    </w:p>
    <w:p w14:paraId="73E142E5" w14:textId="77777777" w:rsidR="002730D1" w:rsidRPr="002D214D" w:rsidRDefault="002730D1" w:rsidP="00AA140A">
      <w:pPr>
        <w:numPr>
          <w:ilvl w:val="0"/>
          <w:numId w:val="4"/>
        </w:numPr>
        <w:spacing w:before="100" w:beforeAutospacing="1" w:after="100" w:afterAutospacing="1" w:line="240" w:lineRule="auto"/>
        <w:jc w:val="both"/>
        <w:rPr>
          <w:rFonts w:ascii="Arial" w:hAnsi="Arial" w:cs="Arial"/>
          <w:kern w:val="0"/>
          <w:sz w:val="22"/>
          <w:szCs w:val="22"/>
          <w14:ligatures w14:val="none"/>
        </w:rPr>
      </w:pPr>
      <w:proofErr w:type="gramStart"/>
      <w:r w:rsidRPr="002D214D">
        <w:rPr>
          <w:rFonts w:ascii="Arial" w:hAnsi="Arial" w:cs="Arial"/>
          <w:kern w:val="0"/>
          <w:sz w:val="22"/>
          <w:szCs w:val="22"/>
          <w14:ligatures w14:val="none"/>
        </w:rPr>
        <w:t>In reality, most</w:t>
      </w:r>
      <w:proofErr w:type="gramEnd"/>
      <w:r w:rsidRPr="002D214D">
        <w:rPr>
          <w:rFonts w:ascii="Arial" w:hAnsi="Arial" w:cs="Arial"/>
          <w:kern w:val="0"/>
          <w:sz w:val="22"/>
          <w:szCs w:val="22"/>
          <w14:ligatures w14:val="none"/>
        </w:rPr>
        <w:t xml:space="preserve"> of the documents now produced for this reference were already in the Respondent’s possession and had previously been provided – often only after repeated requests – under earlier section 22 Landlord and Tenant Act 1985 requests and in the 2022–2023 remediation proceedings. For example, gas bills for 2023/2024 were already in our possession; yet when disclosure was given in this claim, only those years were supplied and no earlier years, despite our clear requests in the Scott Schedule. The same applies to insurance: key items that we had specifically identified as missing were still not disclosed. In relation to waking-watch charges, the Respondent has produced only a single spreadsheet showing an undated one-week breakdown and a copy of generic government guidance, but no underlying invoices or demands. There are numerous similar examples, but in this </w:t>
      </w:r>
      <w:proofErr w:type="gramStart"/>
      <w:r w:rsidRPr="002D214D">
        <w:rPr>
          <w:rFonts w:ascii="Arial" w:hAnsi="Arial" w:cs="Arial"/>
          <w:kern w:val="0"/>
          <w:sz w:val="22"/>
          <w:szCs w:val="22"/>
          <w14:ligatures w14:val="none"/>
        </w:rPr>
        <w:t>statement</w:t>
      </w:r>
      <w:proofErr w:type="gramEnd"/>
      <w:r w:rsidRPr="002D214D">
        <w:rPr>
          <w:rFonts w:ascii="Arial" w:hAnsi="Arial" w:cs="Arial"/>
          <w:kern w:val="0"/>
          <w:sz w:val="22"/>
          <w:szCs w:val="22"/>
          <w14:ligatures w14:val="none"/>
        </w:rPr>
        <w:t xml:space="preserve"> I focus on the major heads of cost.</w:t>
      </w:r>
    </w:p>
    <w:p w14:paraId="23D04747" w14:textId="77777777" w:rsidR="002730D1" w:rsidRPr="002D214D" w:rsidRDefault="002730D1" w:rsidP="00AA140A">
      <w:pPr>
        <w:numPr>
          <w:ilvl w:val="0"/>
          <w:numId w:val="4"/>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What is genuinely new in this claim is very limited: a partial set of meter-operator (MOP) data for one year; a partial set of Clever Energy invoices (limited to 15 of the 22 flats); and a single spreadsheet showing one year’s insurance apportionment. The Respondent has still not disclosed, for example, Clever Energy’s monthly reconciliation statements (which its own billing contract states must be produced for the customer every month), complete MOP contracts and full half-hourly data, or full historic service-charge reconciliation statements for all years in issue.</w:t>
      </w:r>
    </w:p>
    <w:p w14:paraId="084B2844" w14:textId="77777777" w:rsidR="002730D1" w:rsidRPr="002D214D" w:rsidRDefault="002730D1" w:rsidP="00AA140A">
      <w:pPr>
        <w:numPr>
          <w:ilvl w:val="0"/>
          <w:numId w:val="4"/>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On several occasions I wrote to Y&amp;Y and to Mr Richard Simmons of Avon asking for specific documents (including MOP contracts and readings, HIU charges, gas invoices, reconciliation statements, insurance documents and evidence of credits). These requests were either ignored or only partially answered. For example, on 30 June 2025 I emailed Mr Azoulay and Mr Simmons listing eight areas of outstanding disclosure (including MOP data, HIU charges, gas/Clever Energy discrepancies and reconciliation statements for 2016–2020) and asking whether any of this would be provided before the then-imminent hearing; no substantive response was received.</w:t>
      </w:r>
    </w:p>
    <w:p w14:paraId="46547864" w14:textId="77777777" w:rsidR="002730D1" w:rsidRPr="002D214D" w:rsidRDefault="002730D1" w:rsidP="00AA140A">
      <w:pPr>
        <w:numPr>
          <w:ilvl w:val="0"/>
          <w:numId w:val="4"/>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Earlier, in March 2023, I sent a series of emails to Mr Simmons querying the disparity between the Respondent’s gas costs and the much higher charges levied on leaseholders by Clever </w:t>
      </w:r>
      <w:proofErr w:type="gramStart"/>
      <w:r w:rsidRPr="002D214D">
        <w:rPr>
          <w:rFonts w:ascii="Arial" w:hAnsi="Arial" w:cs="Arial"/>
          <w:kern w:val="0"/>
          <w:sz w:val="22"/>
          <w:szCs w:val="22"/>
          <w14:ligatures w14:val="none"/>
        </w:rPr>
        <w:t>Energy, and</w:t>
      </w:r>
      <w:proofErr w:type="gramEnd"/>
      <w:r w:rsidRPr="002D214D">
        <w:rPr>
          <w:rFonts w:ascii="Arial" w:hAnsi="Arial" w:cs="Arial"/>
          <w:kern w:val="0"/>
          <w:sz w:val="22"/>
          <w:szCs w:val="22"/>
          <w14:ligatures w14:val="none"/>
        </w:rPr>
        <w:t xml:space="preserve"> asking for the supplier’s actual unit rates and standing charges. Although one partial reply was received, my follow-up emails of 7, 21 and 30 March 2023 seeking clarification of those figures went unanswered.</w:t>
      </w:r>
    </w:p>
    <w:p w14:paraId="319B7D4E" w14:textId="77777777" w:rsidR="002730D1" w:rsidRPr="002D214D" w:rsidRDefault="002730D1" w:rsidP="00AA140A">
      <w:pPr>
        <w:numPr>
          <w:ilvl w:val="0"/>
          <w:numId w:val="4"/>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In relation to insurance, when broker Howden finally supplied commission-disclosure letters for 2024 and 2025, the key box stating the amount of remuneration paid to Avon </w:t>
      </w:r>
      <w:r w:rsidRPr="002D214D">
        <w:rPr>
          <w:rFonts w:ascii="Arial" w:hAnsi="Arial" w:cs="Arial"/>
          <w:kern w:val="0"/>
          <w:sz w:val="22"/>
          <w:szCs w:val="22"/>
          <w14:ligatures w14:val="none"/>
        </w:rPr>
        <w:lastRenderedPageBreak/>
        <w:t>Ground Rents was simply left blank. On 3 July 2025 I wrote to Mr Simmons pointing out that the letters appeared incomplete and asking that Howden re-issue them stating explicitly how much remuneration Avon had received. I also reminded him that we still required an explanation for the discrepancy between gas invoices of around £18,000 per annum and Clever Energy charges to the 22 leaseholders of around £70,000. No substantive response has been provided.</w:t>
      </w:r>
    </w:p>
    <w:p w14:paraId="3522DF2C" w14:textId="77777777" w:rsidR="002730D1" w:rsidRPr="002D214D" w:rsidRDefault="002730D1" w:rsidP="00AA140A">
      <w:pPr>
        <w:numPr>
          <w:ilvl w:val="0"/>
          <w:numId w:val="4"/>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A similar pattern occurred when we raised concerns about plant failures. In May 2024 Y&amp;Y first informed us that the main booster pumps were “at the end of their useful life” and required replacement at a cost of over £21,000. On 24 May 2024 I asked for maintenance records, failure history and evidence of competitive tendering. More than a year later, in September 2025, I was still chasing a response. Y&amp;Y stated only that they were “reviewing the pump issue” with their M&amp;E contractor and would revert once they had feedback. No detailed report has ever been supplied and, as at the date of this statement, the building is still operating with only one of three pumps in service.</w:t>
      </w:r>
    </w:p>
    <w:p w14:paraId="15D8598D" w14:textId="77777777" w:rsidR="002730D1" w:rsidRPr="002D214D" w:rsidRDefault="002730D1" w:rsidP="00AA140A">
      <w:pPr>
        <w:numPr>
          <w:ilvl w:val="0"/>
          <w:numId w:val="4"/>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The Respondent’s representatives also assert that we have been “invited” to inspect records. That invitation was extended to one of the Applicants, Mr Raymond Gubbay CBE, who at 79 years of age finds travel increasingly difficult. We asked the Respondent, given his age and health, to provide the relevant documents by email instead, particularly as many of the records in question are electronic reports. That request went unanswered. Instead of genuine cooperation we have encountered repeated delays, partial disclosure and refusals to provide key schedules (in particular, income-receivables and credits to the service-charge accounts, and Clever Energy reconciliation statements), sometimes justified by generic references to “confidentiality” or GDPR. Even now we do not have the full documentation needed to test the Respondent’s assertions properly.</w:t>
      </w:r>
    </w:p>
    <w:p w14:paraId="27F04367" w14:textId="77777777" w:rsidR="002730D1" w:rsidRPr="002D214D" w:rsidRDefault="002730D1" w:rsidP="00AA140A">
      <w:pPr>
        <w:numPr>
          <w:ilvl w:val="0"/>
          <w:numId w:val="4"/>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Meanwhile, the Respondent continues to issue budgets at historically high levels. For the 2026 service-charge year, Y&amp;Y’s covering letter expressly acknowledges that many categories have been “realigned” to match historic expenditure and that the overall budget is higher than 2025, with communal electricity budgeted at £70,000 and buildings insurance increasing from £45,000 to £53,000. In my view, unless the Tribunal gives a clear steer on what is recoverable and on the need for transparency, there is a real risk that the overcharging and opaque practices identified for 2017–2024 will simply continue in 2025–2026 and beyond, leading to further disputes and potentially further applications.</w:t>
      </w:r>
    </w:p>
    <w:p w14:paraId="18707F31" w14:textId="6C12E301" w:rsidR="00935CFF" w:rsidRPr="00935CFF" w:rsidRDefault="002730D1" w:rsidP="00935CFF">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2D214D">
        <w:rPr>
          <w:rFonts w:ascii="Arial" w:hAnsi="Arial" w:cs="Arial"/>
          <w:kern w:val="0"/>
          <w:sz w:val="22"/>
          <w:szCs w:val="22"/>
          <w14:ligatures w14:val="none"/>
        </w:rPr>
        <w:t>For these reasons I do not accept that the Respondent’s delays in this case were caused by any genuine difficulty in assembling documents. The key materials have existed within Avon’s and Y&amp;Y’s systems for many years. The limited additional disclosure produced during these proceedings, compared with what we already held from earlier requests, reinforces my view that the extensions sought were largely tactical and have added to the Applicants’ costs and stress without materially improving transparency.</w:t>
      </w:r>
    </w:p>
    <w:p w14:paraId="2ECC46B4" w14:textId="77777777" w:rsidR="00935CFF" w:rsidRPr="00935CFF" w:rsidRDefault="00935CFF" w:rsidP="00935CFF">
      <w:pPr>
        <w:numPr>
          <w:ilvl w:val="0"/>
          <w:numId w:val="4"/>
        </w:numPr>
        <w:spacing w:before="100" w:beforeAutospacing="1" w:after="100" w:afterAutospacing="1" w:line="240" w:lineRule="auto"/>
        <w:jc w:val="both"/>
        <w:rPr>
          <w:rFonts w:ascii="Arial" w:eastAsia="Times New Roman" w:hAnsi="Arial" w:cs="Arial"/>
          <w:kern w:val="0"/>
          <w:sz w:val="22"/>
          <w:szCs w:val="22"/>
          <w14:ligatures w14:val="none"/>
        </w:rPr>
      </w:pPr>
      <w:r w:rsidRPr="00935CFF">
        <w:rPr>
          <w:rFonts w:ascii="Arial" w:eastAsia="Times New Roman" w:hAnsi="Arial" w:cs="Arial"/>
          <w:kern w:val="0"/>
          <w:sz w:val="22"/>
          <w:szCs w:val="22"/>
          <w14:ligatures w14:val="none"/>
        </w:rPr>
        <w:t xml:space="preserve">When completing the Scott Schedule, the Applicants did not yet have the underlying contracts, invoices, reconciliation statements or tender documentation for many of the disputed expenditure headings. In those circumstances, the only realistic way to put such items in issue was to identify the relevant budget line (for example “Mech &amp; Plant Maintenance”, “Clever Energy hot &amp; heating”, “Electricity”, “Building Insurance”) and to request disclosure of the core documents needed to understand and test what had been charged. That is what we did. The Respondent has in many instances replied that there are “no grounds of dispute specified” and has simply pointed to expenditure listings said to be enclosed with its Statement of Case.  </w:t>
      </w:r>
    </w:p>
    <w:p w14:paraId="6DC1414D" w14:textId="5DD6AC16" w:rsidR="00935CFF" w:rsidRPr="00935CFF" w:rsidRDefault="00935CFF" w:rsidP="00935CFF">
      <w:pPr>
        <w:numPr>
          <w:ilvl w:val="0"/>
          <w:numId w:val="4"/>
        </w:numPr>
        <w:spacing w:before="100" w:beforeAutospacing="1" w:after="100" w:afterAutospacing="1" w:line="240" w:lineRule="auto"/>
        <w:jc w:val="both"/>
        <w:rPr>
          <w:rFonts w:ascii="Arial" w:eastAsia="Times New Roman" w:hAnsi="Arial" w:cs="Arial"/>
          <w:kern w:val="0"/>
          <w:sz w:val="22"/>
          <w:szCs w:val="22"/>
          <w14:ligatures w14:val="none"/>
        </w:rPr>
      </w:pPr>
      <w:r w:rsidRPr="00935CFF">
        <w:rPr>
          <w:rFonts w:ascii="Arial" w:eastAsia="Times New Roman" w:hAnsi="Arial" w:cs="Arial"/>
          <w:kern w:val="0"/>
          <w:sz w:val="22"/>
          <w:szCs w:val="22"/>
          <w14:ligatures w14:val="none"/>
        </w:rPr>
        <w:t xml:space="preserve">I do not accept that this means those items were not genuinely disputed. </w:t>
      </w:r>
      <w:r>
        <w:rPr>
          <w:rFonts w:ascii="Arial" w:eastAsia="Times New Roman" w:hAnsi="Arial" w:cs="Arial"/>
          <w:kern w:val="0"/>
          <w:sz w:val="22"/>
          <w:szCs w:val="22"/>
          <w14:ligatures w14:val="none"/>
        </w:rPr>
        <w:t xml:space="preserve">As I describe </w:t>
      </w:r>
      <w:r w:rsidR="001B337C">
        <w:rPr>
          <w:rFonts w:ascii="Arial" w:eastAsia="Times New Roman" w:hAnsi="Arial" w:cs="Arial"/>
          <w:kern w:val="0"/>
          <w:sz w:val="22"/>
          <w:szCs w:val="22"/>
          <w14:ligatures w14:val="none"/>
        </w:rPr>
        <w:t xml:space="preserve">in my statement later on, there have been numerous emails to the Respondent stating that we need disclosure of such documents and making clear that we have concerns about these charges </w:t>
      </w:r>
      <w:r w:rsidR="001B337C" w:rsidRPr="001B337C">
        <w:rPr>
          <w:rFonts w:ascii="Arial" w:eastAsia="Times New Roman" w:hAnsi="Arial" w:cs="Arial"/>
          <w:b/>
          <w:bCs/>
          <w:kern w:val="0"/>
          <w:sz w:val="22"/>
          <w:szCs w:val="22"/>
          <w14:ligatures w14:val="none"/>
        </w:rPr>
        <w:t xml:space="preserve">(KH2 bundle emails Richard Simmons </w:t>
      </w:r>
      <w:r w:rsidR="00E96812">
        <w:rPr>
          <w:rFonts w:ascii="Arial" w:eastAsia="Times New Roman" w:hAnsi="Arial" w:cs="Arial"/>
          <w:b/>
          <w:bCs/>
          <w:kern w:val="0"/>
          <w:sz w:val="22"/>
          <w:szCs w:val="22"/>
          <w14:ligatures w14:val="none"/>
        </w:rPr>
        <w:t>pages 328, 339, 593</w:t>
      </w:r>
      <w:r w:rsidR="001B337C" w:rsidRPr="001B337C">
        <w:rPr>
          <w:rFonts w:ascii="Arial" w:eastAsia="Times New Roman" w:hAnsi="Arial" w:cs="Arial"/>
          <w:b/>
          <w:bCs/>
          <w:kern w:val="0"/>
          <w:sz w:val="22"/>
          <w:szCs w:val="22"/>
          <w14:ligatures w14:val="none"/>
        </w:rPr>
        <w:t xml:space="preserve">) </w:t>
      </w:r>
      <w:r w:rsidRPr="00E96812">
        <w:rPr>
          <w:rFonts w:ascii="Arial" w:eastAsia="Times New Roman" w:hAnsi="Arial" w:cs="Arial"/>
          <w:kern w:val="0"/>
          <w:sz w:val="22"/>
          <w:szCs w:val="22"/>
          <w14:ligatures w14:val="none"/>
        </w:rPr>
        <w:t>The</w:t>
      </w:r>
      <w:r w:rsidRPr="00935CFF">
        <w:rPr>
          <w:rFonts w:ascii="Arial" w:eastAsia="Times New Roman" w:hAnsi="Arial" w:cs="Arial"/>
          <w:kern w:val="0"/>
          <w:sz w:val="22"/>
          <w:szCs w:val="22"/>
          <w14:ligatures w14:val="none"/>
        </w:rPr>
        <w:t xml:space="preserve"> grounds of dispute are, in substance, (a) that the expenditure appears unusually </w:t>
      </w:r>
      <w:r w:rsidRPr="00935CFF">
        <w:rPr>
          <w:rFonts w:ascii="Arial" w:eastAsia="Times New Roman" w:hAnsi="Arial" w:cs="Arial"/>
          <w:kern w:val="0"/>
          <w:sz w:val="22"/>
          <w:szCs w:val="22"/>
          <w14:ligatures w14:val="none"/>
        </w:rPr>
        <w:lastRenderedPageBreak/>
        <w:t>high when compared with historic levels, other comparable buildings or published benchmarks, and/or (b) that, without sight of the underlying contracts and invoices, it is impossible for leaseholders to verify whether the costs were reasonably incurred, properly allocated between the Apartments and Building Service Charges, and correctly credited for any third-party contributions. The Scott Schedule entries were therefore framed as targeted disclosure requests, because at that stage we were being asked to plead “blind”. This witness statement explains, heading by heading, the concerns that have now emerged from the limited documentation disclosed to date.</w:t>
      </w:r>
    </w:p>
    <w:p w14:paraId="29F325FA" w14:textId="77777777" w:rsidR="00935CFF" w:rsidRPr="00935CFF" w:rsidRDefault="00935CFF" w:rsidP="00935CFF">
      <w:pPr>
        <w:numPr>
          <w:ilvl w:val="0"/>
          <w:numId w:val="4"/>
        </w:numPr>
        <w:spacing w:before="100" w:beforeAutospacing="1" w:after="100" w:afterAutospacing="1" w:line="240" w:lineRule="auto"/>
        <w:jc w:val="both"/>
        <w:rPr>
          <w:rFonts w:ascii="Arial" w:eastAsia="Times New Roman" w:hAnsi="Arial" w:cs="Arial"/>
          <w:kern w:val="0"/>
          <w:sz w:val="22"/>
          <w:szCs w:val="22"/>
          <w14:ligatures w14:val="none"/>
        </w:rPr>
      </w:pPr>
      <w:r w:rsidRPr="00935CFF">
        <w:rPr>
          <w:rFonts w:ascii="Arial" w:eastAsia="Times New Roman" w:hAnsi="Arial" w:cs="Arial"/>
          <w:kern w:val="0"/>
          <w:sz w:val="22"/>
          <w:szCs w:val="22"/>
          <w14:ligatures w14:val="none"/>
        </w:rPr>
        <w:t>For the avoidance of doubt, where the Respondent has asserted in the Scott Schedule response that “no grounds of dispute [are] specified”, that is not accepted. The Applicants’ position is that those items are properly in issue; that the Respondent’s refusal to provide full contracts, invoices, reconciliation statements and income/credit schedules has itself become a central feature of the dispute; and that any remaining gaps in our analysis arise from continuing deficiencies in disclosure rather than any lack of genuine objection on our part.</w:t>
      </w:r>
    </w:p>
    <w:p w14:paraId="5C1351EA" w14:textId="77777777" w:rsidR="002730D1" w:rsidRPr="002D214D" w:rsidRDefault="002730D1" w:rsidP="00AA140A">
      <w:pPr>
        <w:spacing w:before="100" w:beforeAutospacing="1" w:after="100" w:afterAutospacing="1" w:line="240" w:lineRule="auto"/>
        <w:jc w:val="both"/>
        <w:rPr>
          <w:rFonts w:ascii="Arial" w:hAnsi="Arial" w:cs="Arial"/>
          <w:kern w:val="0"/>
          <w:sz w:val="22"/>
          <w:szCs w:val="22"/>
          <w14:ligatures w14:val="none"/>
        </w:rPr>
      </w:pPr>
    </w:p>
    <w:p w14:paraId="6C3A59A5" w14:textId="77777777" w:rsidR="002730D1" w:rsidRPr="002D214D" w:rsidRDefault="002730D1" w:rsidP="00AA140A">
      <w:p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C. THE BUILDING, LEASES AND SERVICE-CHARGE STRUCTURE</w:t>
      </w:r>
    </w:p>
    <w:p w14:paraId="158DEE67" w14:textId="77777777" w:rsidR="002730D1" w:rsidRPr="002D214D" w:rsidRDefault="002730D1" w:rsidP="00935CFF">
      <w:pPr>
        <w:numPr>
          <w:ilvl w:val="0"/>
          <w:numId w:val="4"/>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8AR is a mixed-use development comprising 22 residential flats and a ground-floor commercial unit (a café). The basement has a car-park area for four cars and contains electricity and gas meters, relevant pipes and cabling, the plant room, rubbish room and car-park lift. It also contains meters serving the neighbouring building, 10 Artillery Row, although we are not sure whether those are included within the same freehold title.</w:t>
      </w:r>
    </w:p>
    <w:p w14:paraId="00FFA8A2" w14:textId="77777777" w:rsidR="002730D1" w:rsidRPr="002D214D" w:rsidRDefault="002730D1" w:rsidP="00935CFF">
      <w:pPr>
        <w:numPr>
          <w:ilvl w:val="0"/>
          <w:numId w:val="4"/>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The leases divide expenditure between an Apartments Service Charge and a Building Service Charge. In broad terms:</w:t>
      </w:r>
    </w:p>
    <w:p w14:paraId="6AF4FFB4" w14:textId="77777777" w:rsidR="002730D1" w:rsidRPr="002D214D" w:rsidRDefault="002730D1" w:rsidP="00AA140A">
      <w:pPr>
        <w:spacing w:before="100" w:beforeAutospacing="1" w:after="100" w:afterAutospacing="1" w:line="240" w:lineRule="auto"/>
        <w:ind w:left="720"/>
        <w:jc w:val="both"/>
        <w:rPr>
          <w:rFonts w:ascii="Arial" w:hAnsi="Arial" w:cs="Arial"/>
          <w:kern w:val="0"/>
          <w:sz w:val="22"/>
          <w:szCs w:val="22"/>
          <w14:ligatures w14:val="none"/>
        </w:rPr>
      </w:pPr>
      <w:r w:rsidRPr="002D214D">
        <w:rPr>
          <w:rFonts w:ascii="Arial" w:hAnsi="Arial" w:cs="Arial"/>
          <w:kern w:val="0"/>
          <w:sz w:val="22"/>
          <w:szCs w:val="22"/>
          <w14:ligatures w14:val="none"/>
        </w:rPr>
        <w:t>a. the Apartments Service Charge relates to items attributable to the residential part only (for example internal cleaning and certain in-flat equipment where the landlord has chosen to service it); and</w:t>
      </w:r>
    </w:p>
    <w:p w14:paraId="540286B7" w14:textId="77777777" w:rsidR="002730D1" w:rsidRPr="002D214D" w:rsidRDefault="002730D1" w:rsidP="00AA140A">
      <w:pPr>
        <w:spacing w:before="100" w:beforeAutospacing="1" w:after="100" w:afterAutospacing="1" w:line="240" w:lineRule="auto"/>
        <w:ind w:left="720"/>
        <w:jc w:val="both"/>
        <w:rPr>
          <w:rFonts w:ascii="Arial" w:hAnsi="Arial" w:cs="Arial"/>
          <w:kern w:val="0"/>
          <w:sz w:val="22"/>
          <w:szCs w:val="22"/>
          <w14:ligatures w14:val="none"/>
        </w:rPr>
      </w:pPr>
      <w:r w:rsidRPr="002D214D">
        <w:rPr>
          <w:rFonts w:ascii="Arial" w:hAnsi="Arial" w:cs="Arial"/>
          <w:kern w:val="0"/>
          <w:sz w:val="22"/>
          <w:szCs w:val="22"/>
          <w14:ligatures w14:val="none"/>
        </w:rPr>
        <w:t>b. the Building Service Charge relates to building-wide matters, including structure, roof, main plant, common parts and other services benefitting both the flats and the ground-floor commercial premises and, where applicable, neighbouring linked buildings such as 10 Artillery Row.</w:t>
      </w:r>
    </w:p>
    <w:p w14:paraId="7FF6F61D" w14:textId="77777777" w:rsidR="002730D1" w:rsidRPr="002D214D" w:rsidRDefault="002730D1" w:rsidP="00935CFF">
      <w:pPr>
        <w:numPr>
          <w:ilvl w:val="0"/>
          <w:numId w:val="4"/>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Communal plant at 8AR includes, among other things, comfort-cooling equipment (dry coolers, chillers, pumps and associated BMS controls), the main low-voltage electrical intake and distribution, communal water boosters, and a central plant room designed under the planning energy strategy to include a combined heat and power (CHP) unit. The building also has a concierge/estate-office function, CCTV and an access/door-entry system. The concierge service currently operates Monday to Friday 8am–5pm and Saturdays 9am–1pm.</w:t>
      </w:r>
    </w:p>
    <w:p w14:paraId="404CBC5B" w14:textId="77777777" w:rsidR="002730D1" w:rsidRPr="002D214D" w:rsidRDefault="002730D1" w:rsidP="00AA140A">
      <w:pPr>
        <w:spacing w:before="100" w:beforeAutospacing="1" w:after="100" w:afterAutospacing="1" w:line="240" w:lineRule="auto"/>
        <w:jc w:val="both"/>
        <w:rPr>
          <w:rFonts w:ascii="Arial" w:hAnsi="Arial" w:cs="Arial"/>
          <w:kern w:val="0"/>
          <w:sz w:val="22"/>
          <w:szCs w:val="22"/>
          <w14:ligatures w14:val="none"/>
        </w:rPr>
      </w:pPr>
    </w:p>
    <w:p w14:paraId="5AE2D8A2" w14:textId="77777777" w:rsidR="002730D1" w:rsidRPr="002D214D" w:rsidRDefault="002730D1" w:rsidP="00AA140A">
      <w:p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D. HIGH-LEVEL SUMMARY OF OUR CONCERNS</w:t>
      </w:r>
    </w:p>
    <w:p w14:paraId="4B9D9611" w14:textId="29201179" w:rsidR="002730D1" w:rsidRPr="002D214D" w:rsidRDefault="002730D1" w:rsidP="00935CFF">
      <w:pPr>
        <w:numPr>
          <w:ilvl w:val="0"/>
          <w:numId w:val="4"/>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Over </w:t>
      </w:r>
      <w:proofErr w:type="gramStart"/>
      <w:r w:rsidRPr="002D214D">
        <w:rPr>
          <w:rFonts w:ascii="Arial" w:hAnsi="Arial" w:cs="Arial"/>
          <w:kern w:val="0"/>
          <w:sz w:val="22"/>
          <w:szCs w:val="22"/>
          <w14:ligatures w14:val="none"/>
        </w:rPr>
        <w:t>a number of</w:t>
      </w:r>
      <w:proofErr w:type="gramEnd"/>
      <w:r w:rsidRPr="002D214D">
        <w:rPr>
          <w:rFonts w:ascii="Arial" w:hAnsi="Arial" w:cs="Arial"/>
          <w:kern w:val="0"/>
          <w:sz w:val="22"/>
          <w:szCs w:val="22"/>
          <w14:ligatures w14:val="none"/>
        </w:rPr>
        <w:t xml:space="preserve"> years residents have faced increasing service charges without adequate explanation, against a background of cooling systems that frequently did not work properly, very high communal electricity and gas bills, and incomplete or </w:t>
      </w:r>
      <w:r w:rsidRPr="002D214D">
        <w:rPr>
          <w:rFonts w:ascii="Arial" w:hAnsi="Arial" w:cs="Arial"/>
          <w:kern w:val="0"/>
          <w:sz w:val="22"/>
          <w:szCs w:val="22"/>
          <w14:ligatures w14:val="none"/>
        </w:rPr>
        <w:lastRenderedPageBreak/>
        <w:t xml:space="preserve">inconsistent responses to reasonable questions. </w:t>
      </w:r>
      <w:r w:rsidRPr="002D214D">
        <w:rPr>
          <w:rFonts w:ascii="Arial" w:hAnsi="Arial" w:cs="Arial"/>
          <w:b/>
          <w:bCs/>
          <w:kern w:val="0"/>
          <w:sz w:val="22"/>
          <w:szCs w:val="22"/>
          <w14:ligatures w14:val="none"/>
        </w:rPr>
        <w:t xml:space="preserve">Exhibit KH1 page </w:t>
      </w:r>
      <w:r w:rsidR="00A5493E">
        <w:rPr>
          <w:rFonts w:ascii="Arial" w:hAnsi="Arial" w:cs="Arial"/>
          <w:b/>
          <w:bCs/>
          <w:kern w:val="0"/>
          <w:sz w:val="22"/>
          <w:szCs w:val="22"/>
          <w14:ligatures w14:val="none"/>
        </w:rPr>
        <w:t>557</w:t>
      </w:r>
      <w:r w:rsidRPr="002D214D">
        <w:rPr>
          <w:rFonts w:ascii="Arial" w:hAnsi="Arial" w:cs="Arial"/>
          <w:kern w:val="0"/>
          <w:sz w:val="22"/>
          <w:szCs w:val="22"/>
          <w14:ligatures w14:val="none"/>
        </w:rPr>
        <w:t xml:space="preserve"> shows the increase in service-charge costs over time. In outline, the main areas of concern are:</w:t>
      </w:r>
    </w:p>
    <w:p w14:paraId="32321584" w14:textId="495471DD" w:rsidR="004D3C44" w:rsidRPr="002D214D" w:rsidRDefault="004D3C44" w:rsidP="00AA140A">
      <w:pPr>
        <w:pStyle w:val="ListParagraph"/>
        <w:numPr>
          <w:ilvl w:val="0"/>
          <w:numId w:val="10"/>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Communal electricity – extremely high invoices, frequent re-bills and credit notes, unclear validation, opaque MOP meter readings, late-payment charges, and strong evidence that the main landlord meter is recording more than purely communal load (Section H).</w:t>
      </w:r>
    </w:p>
    <w:p w14:paraId="4670372E" w14:textId="77777777" w:rsidR="004D3C44" w:rsidRPr="002D214D" w:rsidRDefault="004D3C44" w:rsidP="00D1296C">
      <w:pPr>
        <w:pStyle w:val="ListParagraph"/>
        <w:spacing w:before="100" w:beforeAutospacing="1" w:after="100" w:afterAutospacing="1" w:line="240" w:lineRule="auto"/>
        <w:ind w:left="1080"/>
        <w:jc w:val="both"/>
        <w:rPr>
          <w:rFonts w:ascii="Arial" w:hAnsi="Arial" w:cs="Arial"/>
          <w:kern w:val="0"/>
          <w:sz w:val="22"/>
          <w:szCs w:val="22"/>
          <w14:ligatures w14:val="none"/>
        </w:rPr>
      </w:pPr>
    </w:p>
    <w:p w14:paraId="5A01AB76" w14:textId="3401AC0E" w:rsidR="004D3C44" w:rsidRPr="002D214D" w:rsidRDefault="004D3C44" w:rsidP="00AA140A">
      <w:pPr>
        <w:pStyle w:val="ListParagraph"/>
        <w:numPr>
          <w:ilvl w:val="0"/>
          <w:numId w:val="10"/>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Heat and cooling – Clever Energy tariffs for heating and hot water that materially exceed the Respondent’s underlying gas costs, together with comfort-cooling standing charges that have increased steeply even when cooling has at times been unavailable (Section I).</w:t>
      </w:r>
    </w:p>
    <w:p w14:paraId="0D1BC036" w14:textId="77777777" w:rsidR="004D3C44" w:rsidRPr="002D214D" w:rsidRDefault="004D3C44" w:rsidP="00D1296C">
      <w:pPr>
        <w:pStyle w:val="ListParagraph"/>
        <w:spacing w:before="100" w:beforeAutospacing="1" w:after="100" w:afterAutospacing="1" w:line="240" w:lineRule="auto"/>
        <w:ind w:left="1080"/>
        <w:jc w:val="both"/>
        <w:rPr>
          <w:rFonts w:ascii="Arial" w:hAnsi="Arial" w:cs="Arial"/>
          <w:kern w:val="0"/>
          <w:sz w:val="22"/>
          <w:szCs w:val="22"/>
          <w14:ligatures w14:val="none"/>
        </w:rPr>
      </w:pPr>
    </w:p>
    <w:p w14:paraId="7CA99222" w14:textId="19383B24" w:rsidR="004D3C44" w:rsidRPr="002D214D" w:rsidRDefault="004D3C44" w:rsidP="00AA140A">
      <w:pPr>
        <w:pStyle w:val="ListParagraph"/>
        <w:numPr>
          <w:ilvl w:val="0"/>
          <w:numId w:val="10"/>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HIU/FCU servicing – charges for in-flat heat interface units and fan-coil units (which the leases treat as demised) being run through the communal accounts, duplication across budget headings, and lack of proper section 20 consultation over any long-term servicing arrangements (Section J).</w:t>
      </w:r>
    </w:p>
    <w:p w14:paraId="10581D3D" w14:textId="77777777" w:rsidR="004D3C44" w:rsidRPr="002D214D" w:rsidRDefault="004D3C44" w:rsidP="00D1296C">
      <w:pPr>
        <w:pStyle w:val="ListParagraph"/>
        <w:spacing w:before="100" w:beforeAutospacing="1" w:after="100" w:afterAutospacing="1" w:line="240" w:lineRule="auto"/>
        <w:ind w:left="1080"/>
        <w:jc w:val="both"/>
        <w:rPr>
          <w:rFonts w:ascii="Arial" w:hAnsi="Arial" w:cs="Arial"/>
          <w:kern w:val="0"/>
          <w:sz w:val="22"/>
          <w:szCs w:val="22"/>
          <w14:ligatures w14:val="none"/>
        </w:rPr>
      </w:pPr>
    </w:p>
    <w:p w14:paraId="1F665C71" w14:textId="2DF44CB6" w:rsidR="004D3C44" w:rsidRPr="002D214D" w:rsidRDefault="004D3C44" w:rsidP="00AA140A">
      <w:pPr>
        <w:pStyle w:val="ListParagraph"/>
        <w:numPr>
          <w:ilvl w:val="0"/>
          <w:numId w:val="10"/>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Insurance – lack of transparency over how premiums are allocated between 8AR, 10 Artillery Row and the café unit; addition of terrorism and engineering cover without clear notification; and incomplete disclosure of broker and freeholder remuneration (Section K).</w:t>
      </w:r>
    </w:p>
    <w:p w14:paraId="34F52621" w14:textId="77777777" w:rsidR="004D3C44" w:rsidRPr="002D214D" w:rsidRDefault="004D3C44" w:rsidP="00D1296C">
      <w:pPr>
        <w:pStyle w:val="ListParagraph"/>
        <w:spacing w:before="100" w:beforeAutospacing="1" w:after="100" w:afterAutospacing="1" w:line="240" w:lineRule="auto"/>
        <w:ind w:left="1080"/>
        <w:jc w:val="both"/>
        <w:rPr>
          <w:rFonts w:ascii="Arial" w:hAnsi="Arial" w:cs="Arial"/>
          <w:kern w:val="0"/>
          <w:sz w:val="22"/>
          <w:szCs w:val="22"/>
          <w14:ligatures w14:val="none"/>
        </w:rPr>
      </w:pPr>
    </w:p>
    <w:p w14:paraId="3BC499FA" w14:textId="63C2B6CB" w:rsidR="004D3C44" w:rsidRPr="002D214D" w:rsidRDefault="004D3C44" w:rsidP="00AA140A">
      <w:pPr>
        <w:pStyle w:val="ListParagraph"/>
        <w:numPr>
          <w:ilvl w:val="0"/>
          <w:numId w:val="10"/>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Accounts and statements – in particular, the failure to provide a proper year-end Building Service Charge statement for 2022 with the balancing demand, despite that account being in credit, and ongoing refusals to disclose income receivables and credits (Section L).</w:t>
      </w:r>
    </w:p>
    <w:p w14:paraId="0053EB6F" w14:textId="77777777" w:rsidR="004D3C44" w:rsidRPr="002D214D" w:rsidRDefault="004D3C44" w:rsidP="002B6CF0">
      <w:pPr>
        <w:pStyle w:val="ListParagraph"/>
        <w:spacing w:before="100" w:beforeAutospacing="1" w:after="100" w:afterAutospacing="1" w:line="240" w:lineRule="auto"/>
        <w:ind w:left="1080"/>
        <w:jc w:val="both"/>
        <w:rPr>
          <w:rFonts w:ascii="Arial" w:hAnsi="Arial" w:cs="Arial"/>
          <w:kern w:val="0"/>
          <w:sz w:val="22"/>
          <w:szCs w:val="22"/>
          <w14:ligatures w14:val="none"/>
        </w:rPr>
      </w:pPr>
    </w:p>
    <w:p w14:paraId="2E7BAC1C" w14:textId="6DC955C9" w:rsidR="004D3C44" w:rsidRPr="002D214D" w:rsidRDefault="004D3C44" w:rsidP="00AA140A">
      <w:pPr>
        <w:pStyle w:val="ListParagraph"/>
        <w:numPr>
          <w:ilvl w:val="0"/>
          <w:numId w:val="10"/>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Reserves and banking of service-charge monies – insufficient evidence that reserve and sinking funds are being held and managed in line with best practice, and lack of clear ledgers (Section M).</w:t>
      </w:r>
    </w:p>
    <w:p w14:paraId="59867D26" w14:textId="77777777" w:rsidR="004D3C44" w:rsidRPr="002D214D" w:rsidRDefault="004D3C44" w:rsidP="002B6CF0">
      <w:pPr>
        <w:pStyle w:val="ListParagraph"/>
        <w:spacing w:before="100" w:beforeAutospacing="1" w:after="100" w:afterAutospacing="1" w:line="240" w:lineRule="auto"/>
        <w:ind w:left="1080"/>
        <w:jc w:val="both"/>
        <w:rPr>
          <w:rFonts w:ascii="Arial" w:hAnsi="Arial" w:cs="Arial"/>
          <w:kern w:val="0"/>
          <w:sz w:val="22"/>
          <w:szCs w:val="22"/>
          <w14:ligatures w14:val="none"/>
        </w:rPr>
      </w:pPr>
    </w:p>
    <w:p w14:paraId="177BEDE7" w14:textId="111FFE5D" w:rsidR="004D3C44" w:rsidRPr="002D214D" w:rsidRDefault="004D3C44" w:rsidP="00AA140A">
      <w:pPr>
        <w:pStyle w:val="ListParagraph"/>
        <w:numPr>
          <w:ilvl w:val="0"/>
          <w:numId w:val="10"/>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Compliance with the original planning/energy strategy – apparent non-operation of the CHP for many years, contrary to the approved energy strategy and to the legitimate expectations of leaseholders who purchased </w:t>
      </w:r>
      <w:proofErr w:type="gramStart"/>
      <w:r w:rsidRPr="002D214D">
        <w:rPr>
          <w:rFonts w:ascii="Arial" w:hAnsi="Arial" w:cs="Arial"/>
          <w:kern w:val="0"/>
          <w:sz w:val="22"/>
          <w:szCs w:val="22"/>
          <w14:ligatures w14:val="none"/>
        </w:rPr>
        <w:t>on the basis of</w:t>
      </w:r>
      <w:proofErr w:type="gramEnd"/>
      <w:r w:rsidRPr="002D214D">
        <w:rPr>
          <w:rFonts w:ascii="Arial" w:hAnsi="Arial" w:cs="Arial"/>
          <w:kern w:val="0"/>
          <w:sz w:val="22"/>
          <w:szCs w:val="22"/>
          <w14:ligatures w14:val="none"/>
        </w:rPr>
        <w:t xml:space="preserve"> an efficient communal system (Section N).</w:t>
      </w:r>
    </w:p>
    <w:p w14:paraId="7792F47F" w14:textId="77777777" w:rsidR="002730D1" w:rsidRPr="002D214D" w:rsidRDefault="002730D1" w:rsidP="00AA140A">
      <w:pPr>
        <w:spacing w:before="100" w:beforeAutospacing="1" w:after="100" w:afterAutospacing="1" w:line="240" w:lineRule="auto"/>
        <w:jc w:val="both"/>
        <w:rPr>
          <w:rFonts w:ascii="Arial" w:hAnsi="Arial" w:cs="Arial"/>
          <w:kern w:val="0"/>
          <w:sz w:val="22"/>
          <w:szCs w:val="22"/>
          <w14:ligatures w14:val="none"/>
        </w:rPr>
      </w:pPr>
    </w:p>
    <w:p w14:paraId="7E858BD0" w14:textId="77777777" w:rsidR="002730D1" w:rsidRPr="002D214D" w:rsidRDefault="002730D1" w:rsidP="00AA140A">
      <w:pPr>
        <w:spacing w:before="100" w:beforeAutospacing="1" w:after="100" w:afterAutospacing="1" w:line="240" w:lineRule="auto"/>
        <w:jc w:val="both"/>
        <w:rPr>
          <w:rFonts w:ascii="Arial" w:hAnsi="Arial" w:cs="Arial"/>
          <w:kern w:val="0"/>
          <w:sz w:val="22"/>
          <w:szCs w:val="22"/>
          <w14:ligatures w14:val="none"/>
        </w:rPr>
      </w:pPr>
    </w:p>
    <w:p w14:paraId="6451B39B" w14:textId="77777777" w:rsidR="002730D1" w:rsidRPr="002D214D" w:rsidRDefault="002730D1" w:rsidP="00AA140A">
      <w:p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E. FORMATION OF THE RESIDENTS’ ASSOCIATION AND EXPERIENCE WITH Y&amp;Y</w:t>
      </w:r>
    </w:p>
    <w:p w14:paraId="2D6423B1"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When concerns first arose, the Respondent and Y&amp;Y did not facilitate residents’ attempts to organise collectively. They refused to disclose contact details for other leaseholders or to forward Residents’ Association communications, citing GDPR, which forced us into a protracted process of identifying and contacting fellow leaseholders individually before 13 of us could coordinate an application to this Tribunal for recognition of our Association. Even now we do not hold contact details for many leaseholders.</w:t>
      </w:r>
    </w:p>
    <w:p w14:paraId="75BA03BB"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The Respondent initially refused to recognise 8ARRA, relying on outdated legal points. It was only after the Tribunal indicated that, if necessary, it would rule on recognition that the Respondent backed down and accepted 8ARRA as a recognised association.</w:t>
      </w:r>
    </w:p>
    <w:p w14:paraId="7C2E133E"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lastRenderedPageBreak/>
        <w:t>Direct approaches to the freeholder and its representatives were, for many years, either ignored or acknowledged only after long delay. In practice, we dealt almost exclusively with Y&amp;Y as managing agent and, more recently, with Mr Richard Simmons as Avon’s representative. Even then, substantive engagement typically occurred only once tribunal proceedings were underway.</w:t>
      </w:r>
    </w:p>
    <w:p w14:paraId="0EA52A89"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A similar pattern has emerged on cladding and fire-safety issues. It took approximately four years of sustained effort by leaseholders before a remediation application to this Tribunal finally prompted meaningful movement, only for it to emerge during those proceedings that the project remained at a very early stage. In my experience, without tribunal pressure, substantive progress on major issues is rarely achieved.</w:t>
      </w:r>
    </w:p>
    <w:p w14:paraId="715D8ABB"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By contrast, where we have sought to assist on smaller, non-contentious matters (for example, modest improvements to the entrance-lobby décor), the Respondent has eventually acted. That experience reinforces the impression that it is primarily on matters affecting the Respondent’s financial interests (energy charges, plant, insurance and similar items) that cooperation is resisted.</w:t>
      </w:r>
    </w:p>
    <w:p w14:paraId="2CA01448"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On communal electricity, we repeatedly warned that the charges were abnormal. A professional landlord with a portfolio of around 177 properties and over 200 MPANs, supported by a specialist bill-validation service, should have identified that 8AR’s reported communal usage (around 240,000 kWh per year) was closer to a medium-sized industrial load than to a 22-flat block. We invited the Respondent to commission an electrical survey at the building’s expense; they refused. Ultimately, 15 Applicants funded the survey themselves at a cost of almost £7,000. The survey has now confirmed that genuine communal load is likely to be only a fraction of what has been charged.</w:t>
      </w:r>
    </w:p>
    <w:p w14:paraId="1436DAA9"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In my experience, the Respondent’s pattern of delayed, partial and sometimes misleading responses, combined with its reluctance to commission obvious investigations (such as the electrical survey and proper pump diagnostics), has made it extremely difficult for leaseholders to verify whether charges are reasonable and has led to additional repair and maintenance costs. This history is important context for the Tribunal when assessing both the reliability of the Respondent’s evidence and the reasonableness of the costs claimed.</w:t>
      </w:r>
    </w:p>
    <w:p w14:paraId="176F4A55"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In the sections that follow I address each disputed subject in turn, explain the calculations the Applicants have carried out, and identify the specific reductions and credits we ask the Tribunal to order in respect of the 2017–2024 service-charge years.</w:t>
      </w:r>
    </w:p>
    <w:p w14:paraId="2383568D" w14:textId="77777777" w:rsidR="002730D1" w:rsidRPr="002D214D" w:rsidRDefault="002730D1" w:rsidP="00AA140A">
      <w:pPr>
        <w:spacing w:after="0" w:line="240" w:lineRule="auto"/>
        <w:jc w:val="both"/>
        <w:rPr>
          <w:rFonts w:ascii="Arial" w:eastAsia="Times New Roman" w:hAnsi="Arial" w:cs="Arial"/>
          <w:kern w:val="0"/>
          <w:sz w:val="22"/>
          <w:szCs w:val="22"/>
          <w14:ligatures w14:val="none"/>
        </w:rPr>
      </w:pPr>
      <w:r w:rsidRPr="002D214D">
        <w:rPr>
          <w:rFonts w:ascii="Arial" w:eastAsia="Times New Roman" w:hAnsi="Arial" w:cs="Arial"/>
          <w:noProof/>
          <w:kern w:val="0"/>
          <w:sz w:val="22"/>
          <w:szCs w:val="22"/>
          <w14:ligatures w14:val="none"/>
        </w:rPr>
        <mc:AlternateContent>
          <mc:Choice Requires="wps">
            <w:drawing>
              <wp:inline distT="0" distB="0" distL="0" distR="0" wp14:anchorId="4163DA6C" wp14:editId="2EBF29EB">
                <wp:extent cx="5278120" cy="1270"/>
                <wp:effectExtent l="0" t="31750" r="0" b="36830"/>
                <wp:docPr id="41603805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FEA3B6" id="Rectangle 1" o:spid="_x0000_s1026" style="width:415.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" filled="f">
                <o:lock v:ext="edit" aspectratio="t"/>
                <w10:anchorlock/>
              </v:rect>
            </w:pict>
          </mc:Fallback>
        </mc:AlternateContent>
      </w:r>
    </w:p>
    <w:p w14:paraId="009C377E" w14:textId="77777777" w:rsidR="002730D1" w:rsidRPr="002D214D" w:rsidRDefault="002730D1" w:rsidP="00AA140A">
      <w:p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HEAT AND HOT WATER – CLEVER ENERGY TARIFFS </w:t>
      </w:r>
    </w:p>
    <w:p w14:paraId="04098F34"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8 Artillery Row is served by a communal heating and hot-water system located in the plant room. Heat is generated centrally and distributed via a communal network to each flat and to the ground-floor commercial unit. Residents do not have individual gas boilers; instead, they are billed for heat and hot water by Clever Energy Limited (“Clever Energy”) on behalf of the Respondent.</w:t>
      </w:r>
    </w:p>
    <w:p w14:paraId="7DC77ABB" w14:textId="7ED80865"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Respondent has not provided a copy of the Clever Energy contract for 8 Artillery Row. However, from a Clever Energy services agreement obtained for another Avon estate, “The </w:t>
      </w:r>
      <w:proofErr w:type="spellStart"/>
      <w:r w:rsidRPr="002D214D">
        <w:rPr>
          <w:rFonts w:ascii="Arial" w:hAnsi="Arial" w:cs="Arial"/>
          <w:kern w:val="0"/>
          <w:sz w:val="22"/>
          <w:szCs w:val="22"/>
          <w14:ligatures w14:val="none"/>
        </w:rPr>
        <w:t>Loxfords</w:t>
      </w:r>
      <w:proofErr w:type="spellEnd"/>
      <w:r w:rsidRPr="002D214D">
        <w:rPr>
          <w:rFonts w:ascii="Arial" w:hAnsi="Arial" w:cs="Arial"/>
          <w:kern w:val="0"/>
          <w:sz w:val="22"/>
          <w:szCs w:val="22"/>
          <w14:ligatures w14:val="none"/>
        </w:rPr>
        <w:t>” (</w:t>
      </w:r>
      <w:r w:rsidRPr="002D214D">
        <w:rPr>
          <w:rFonts w:ascii="Arial" w:hAnsi="Arial" w:cs="Arial"/>
          <w:b/>
          <w:bCs/>
          <w:kern w:val="0"/>
          <w:sz w:val="22"/>
          <w:szCs w:val="22"/>
          <w14:ligatures w14:val="none"/>
        </w:rPr>
        <w:t>Exhibit KH2 p.</w:t>
      </w:r>
      <w:r w:rsidR="00A5493E">
        <w:rPr>
          <w:rFonts w:ascii="Arial" w:hAnsi="Arial" w:cs="Arial"/>
          <w:b/>
          <w:bCs/>
          <w:kern w:val="0"/>
          <w:sz w:val="22"/>
          <w:szCs w:val="22"/>
          <w14:ligatures w14:val="none"/>
        </w:rPr>
        <w:t>558 - 589</w:t>
      </w:r>
      <w:r w:rsidRPr="002D214D">
        <w:rPr>
          <w:rFonts w:ascii="Arial" w:hAnsi="Arial" w:cs="Arial"/>
          <w:kern w:val="0"/>
          <w:sz w:val="22"/>
          <w:szCs w:val="22"/>
          <w14:ligatures w14:val="none"/>
        </w:rPr>
        <w:t xml:space="preserve">) I understand that Clever Energy acts purely as a billing and data-services agent, and that the freeholder, Avon, remains the “energy company” and principal. Under that agreement, Clever Energy collects payments from residents, holds those sums on trust for Avon, and issues monthly reconciliation reports comparing monies collected against the actual costs incurred by Avon in supplying heat and hot water. In addition, I spoke by telephone with Jonathan Nadin, Managing Director of Clever Energy, on 18 June 2025 at 13:17. My note of that call is at </w:t>
      </w:r>
      <w:r w:rsidRPr="002D214D">
        <w:rPr>
          <w:rFonts w:ascii="Arial" w:hAnsi="Arial" w:cs="Arial"/>
          <w:b/>
          <w:bCs/>
          <w:kern w:val="0"/>
          <w:sz w:val="22"/>
          <w:szCs w:val="22"/>
          <w14:ligatures w14:val="none"/>
        </w:rPr>
        <w:t>Exhibit KH2 p.</w:t>
      </w:r>
      <w:r w:rsidR="00A5493E">
        <w:rPr>
          <w:rFonts w:ascii="Arial" w:hAnsi="Arial" w:cs="Arial"/>
          <w:b/>
          <w:bCs/>
          <w:kern w:val="0"/>
          <w:sz w:val="22"/>
          <w:szCs w:val="22"/>
          <w14:ligatures w14:val="none"/>
        </w:rPr>
        <w:t>590-592</w:t>
      </w:r>
      <w:r w:rsidRPr="002D214D">
        <w:rPr>
          <w:rFonts w:ascii="Arial" w:hAnsi="Arial" w:cs="Arial"/>
          <w:kern w:val="0"/>
          <w:sz w:val="22"/>
          <w:szCs w:val="22"/>
          <w14:ligatures w14:val="none"/>
        </w:rPr>
        <w:t xml:space="preserve">. Mr Nadin confirmed that Clever Energy applies an </w:t>
      </w:r>
      <w:r w:rsidRPr="002D214D">
        <w:rPr>
          <w:rFonts w:ascii="Arial" w:hAnsi="Arial" w:cs="Arial"/>
          <w:kern w:val="0"/>
          <w:sz w:val="22"/>
          <w:szCs w:val="22"/>
          <w14:ligatures w14:val="none"/>
        </w:rPr>
        <w:lastRenderedPageBreak/>
        <w:t>“efficiency factor” to convert raw gas costs into billed heat costs, and that they work to contracted rates and budget figures provided by the customer when calculating usage and tariffs.</w:t>
      </w:r>
    </w:p>
    <w:p w14:paraId="68BC5027" w14:textId="2E86A79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w:t>
      </w:r>
      <w:proofErr w:type="spellStart"/>
      <w:r w:rsidRPr="002D214D">
        <w:rPr>
          <w:rFonts w:ascii="Arial" w:hAnsi="Arial" w:cs="Arial"/>
          <w:kern w:val="0"/>
          <w:sz w:val="22"/>
          <w:szCs w:val="22"/>
          <w14:ligatures w14:val="none"/>
        </w:rPr>
        <w:t>Loxfords</w:t>
      </w:r>
      <w:proofErr w:type="spellEnd"/>
      <w:r w:rsidRPr="002D214D">
        <w:rPr>
          <w:rFonts w:ascii="Arial" w:hAnsi="Arial" w:cs="Arial"/>
          <w:kern w:val="0"/>
          <w:sz w:val="22"/>
          <w:szCs w:val="22"/>
          <w14:ligatures w14:val="none"/>
        </w:rPr>
        <w:t xml:space="preserve"> agreement also states at 2.4 that, within fourteen business days of the end of each month, Clever Energy must issue a report to the customer reconciling payments collected from the “units” against the actual costs incurred by the customer in supplying heat and water. At paragraph 2.7 of Appendix </w:t>
      </w:r>
      <w:proofErr w:type="gramStart"/>
      <w:r w:rsidR="00A5493E">
        <w:rPr>
          <w:rFonts w:ascii="Arial" w:hAnsi="Arial" w:cs="Arial"/>
          <w:kern w:val="0"/>
          <w:sz w:val="22"/>
          <w:szCs w:val="22"/>
          <w14:ligatures w14:val="none"/>
        </w:rPr>
        <w:t>2</w:t>
      </w:r>
      <w:r w:rsidRPr="002D214D">
        <w:rPr>
          <w:rFonts w:ascii="Arial" w:hAnsi="Arial" w:cs="Arial"/>
          <w:kern w:val="0"/>
          <w:sz w:val="22"/>
          <w:szCs w:val="22"/>
          <w14:ligatures w14:val="none"/>
        </w:rPr>
        <w:t>,  it</w:t>
      </w:r>
      <w:proofErr w:type="gramEnd"/>
      <w:r w:rsidRPr="002D214D">
        <w:rPr>
          <w:rFonts w:ascii="Arial" w:hAnsi="Arial" w:cs="Arial"/>
          <w:kern w:val="0"/>
          <w:sz w:val="22"/>
          <w:szCs w:val="22"/>
          <w14:ligatures w14:val="none"/>
        </w:rPr>
        <w:t xml:space="preserve"> states that by the 20th of each month, Clever Energy must provide a “Customer Report” summarising aggregate consumption, billing, payments collected, arrears, meter exceptions and resident complaints (</w:t>
      </w:r>
      <w:r w:rsidRPr="002D214D">
        <w:rPr>
          <w:rFonts w:ascii="Arial" w:hAnsi="Arial" w:cs="Arial"/>
          <w:b/>
          <w:bCs/>
          <w:kern w:val="0"/>
          <w:sz w:val="22"/>
          <w:szCs w:val="22"/>
          <w14:ligatures w14:val="none"/>
        </w:rPr>
        <w:t>Exhibit KH2 p</w:t>
      </w:r>
      <w:r w:rsidR="00524BDF">
        <w:rPr>
          <w:rFonts w:ascii="Arial" w:hAnsi="Arial" w:cs="Arial"/>
          <w:b/>
          <w:bCs/>
          <w:kern w:val="0"/>
          <w:sz w:val="22"/>
          <w:szCs w:val="22"/>
          <w14:ligatures w14:val="none"/>
        </w:rPr>
        <w:t>age</w:t>
      </w:r>
      <w:r w:rsidRPr="002D214D">
        <w:rPr>
          <w:rFonts w:ascii="Arial" w:hAnsi="Arial" w:cs="Arial"/>
          <w:b/>
          <w:bCs/>
          <w:kern w:val="0"/>
          <w:sz w:val="22"/>
          <w:szCs w:val="22"/>
          <w14:ligatures w14:val="none"/>
        </w:rPr>
        <w:t xml:space="preserve"> </w:t>
      </w:r>
      <w:r w:rsidR="00524BDF">
        <w:rPr>
          <w:rFonts w:ascii="Arial" w:hAnsi="Arial" w:cs="Arial"/>
          <w:b/>
          <w:bCs/>
          <w:kern w:val="0"/>
          <w:sz w:val="22"/>
          <w:szCs w:val="22"/>
          <w14:ligatures w14:val="none"/>
        </w:rPr>
        <w:t>580</w:t>
      </w:r>
      <w:r w:rsidRPr="002D214D">
        <w:rPr>
          <w:rFonts w:ascii="Arial" w:hAnsi="Arial" w:cs="Arial"/>
          <w:kern w:val="0"/>
          <w:sz w:val="22"/>
          <w:szCs w:val="22"/>
          <w14:ligatures w14:val="none"/>
        </w:rPr>
        <w:t>). This shows that Avon should, in practice, hold clear monthly records of total income from residents and total underlying heat costs.</w:t>
      </w:r>
    </w:p>
    <w:p w14:paraId="1B5BE620" w14:textId="0BB82723"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Despite repeated requests, the Respondent has not disclosed any such monthly reconciliation reports or Customer Reports for 8 Artillery Row. For more than two years our questions were simply ignored (</w:t>
      </w:r>
      <w:r w:rsidRPr="002D214D">
        <w:rPr>
          <w:rFonts w:ascii="Arial" w:hAnsi="Arial" w:cs="Arial"/>
          <w:b/>
          <w:bCs/>
          <w:kern w:val="0"/>
          <w:sz w:val="22"/>
          <w:szCs w:val="22"/>
          <w14:ligatures w14:val="none"/>
        </w:rPr>
        <w:t>Exhibit KH2 p</w:t>
      </w:r>
      <w:r w:rsidR="00524BDF">
        <w:rPr>
          <w:rFonts w:ascii="Arial" w:hAnsi="Arial" w:cs="Arial"/>
          <w:b/>
          <w:bCs/>
          <w:kern w:val="0"/>
          <w:sz w:val="22"/>
          <w:szCs w:val="22"/>
          <w14:ligatures w14:val="none"/>
        </w:rPr>
        <w:t xml:space="preserve">ages 328, </w:t>
      </w:r>
      <w:r w:rsidRPr="002D214D">
        <w:rPr>
          <w:rFonts w:ascii="Arial" w:hAnsi="Arial" w:cs="Arial"/>
          <w:b/>
          <w:bCs/>
          <w:kern w:val="0"/>
          <w:sz w:val="22"/>
          <w:szCs w:val="22"/>
          <w14:ligatures w14:val="none"/>
        </w:rPr>
        <w:t>3</w:t>
      </w:r>
      <w:r w:rsidR="00524BDF">
        <w:rPr>
          <w:rFonts w:ascii="Arial" w:hAnsi="Arial" w:cs="Arial"/>
          <w:b/>
          <w:bCs/>
          <w:kern w:val="0"/>
          <w:sz w:val="22"/>
          <w:szCs w:val="22"/>
          <w14:ligatures w14:val="none"/>
        </w:rPr>
        <w:t>39, 648</w:t>
      </w:r>
      <w:r w:rsidRPr="002D214D">
        <w:rPr>
          <w:rFonts w:ascii="Arial" w:hAnsi="Arial" w:cs="Arial"/>
          <w:kern w:val="0"/>
          <w:sz w:val="22"/>
          <w:szCs w:val="22"/>
          <w14:ligatures w14:val="none"/>
        </w:rPr>
        <w:t>). More recently we were told that Avon would liaise with Clever Energy to obtain the information, but nothing has been produced</w:t>
      </w:r>
      <w:r w:rsidR="00F6548A">
        <w:rPr>
          <w:rFonts w:ascii="Arial" w:hAnsi="Arial" w:cs="Arial"/>
          <w:kern w:val="0"/>
          <w:sz w:val="22"/>
          <w:szCs w:val="22"/>
          <w14:ligatures w14:val="none"/>
        </w:rPr>
        <w:t xml:space="preserve"> </w:t>
      </w:r>
      <w:r w:rsidR="00F6548A" w:rsidRPr="00F6548A">
        <w:rPr>
          <w:rFonts w:ascii="Arial" w:hAnsi="Arial" w:cs="Arial"/>
          <w:b/>
          <w:bCs/>
          <w:kern w:val="0"/>
          <w:sz w:val="22"/>
          <w:szCs w:val="22"/>
          <w14:ligatures w14:val="none"/>
        </w:rPr>
        <w:t>(exhibit KH2 pages 1043-1054)</w:t>
      </w:r>
      <w:r w:rsidRPr="002D214D">
        <w:rPr>
          <w:rFonts w:ascii="Arial" w:hAnsi="Arial" w:cs="Arial"/>
          <w:kern w:val="0"/>
          <w:sz w:val="22"/>
          <w:szCs w:val="22"/>
          <w14:ligatures w14:val="none"/>
        </w:rPr>
        <w:t xml:space="preserve">. This is information which should already be in Avon’s possession, because Clever Energy is contractually bound to provide reconciliation accounts each </w:t>
      </w:r>
      <w:proofErr w:type="gramStart"/>
      <w:r w:rsidRPr="002D214D">
        <w:rPr>
          <w:rFonts w:ascii="Arial" w:hAnsi="Arial" w:cs="Arial"/>
          <w:kern w:val="0"/>
          <w:sz w:val="22"/>
          <w:szCs w:val="22"/>
          <w14:ligatures w14:val="none"/>
        </w:rPr>
        <w:t>month .</w:t>
      </w:r>
      <w:proofErr w:type="gramEnd"/>
      <w:r w:rsidRPr="002D214D">
        <w:rPr>
          <w:rFonts w:ascii="Arial" w:hAnsi="Arial" w:cs="Arial"/>
          <w:kern w:val="0"/>
          <w:sz w:val="22"/>
          <w:szCs w:val="22"/>
          <w14:ligatures w14:val="none"/>
        </w:rPr>
        <w:t xml:space="preserve"> </w:t>
      </w:r>
    </w:p>
    <w:p w14:paraId="2F981A11"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This stance sits uneasily with the Clever Energy contract itself. Clause 2.4 requires Clever Energy to issue monthly reports reconciling payments collected from the units against the actual costs incurred by the customer (Avon) in supplying heat and water. The required Customer Reports must include aggregate resident consumption, billing and payment collection, and lists of arrears and exceptions. Those documents would allow Avon to see, </w:t>
      </w:r>
      <w:proofErr w:type="gramStart"/>
      <w:r w:rsidRPr="002D214D">
        <w:rPr>
          <w:rFonts w:ascii="Arial" w:hAnsi="Arial" w:cs="Arial"/>
          <w:kern w:val="0"/>
          <w:sz w:val="22"/>
          <w:szCs w:val="22"/>
          <w14:ligatures w14:val="none"/>
        </w:rPr>
        <w:t>at a glance</w:t>
      </w:r>
      <w:proofErr w:type="gramEnd"/>
      <w:r w:rsidRPr="002D214D">
        <w:rPr>
          <w:rFonts w:ascii="Arial" w:hAnsi="Arial" w:cs="Arial"/>
          <w:kern w:val="0"/>
          <w:sz w:val="22"/>
          <w:szCs w:val="22"/>
          <w14:ligatures w14:val="none"/>
        </w:rPr>
        <w:t>, total income from residents versus total underlying heat costs. Their absence from disclosure is therefore highly significant.</w:t>
      </w:r>
    </w:p>
    <w:p w14:paraId="792CB9BE"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The same agreement makes clear that Clever Energy “takes no responsibility for the tariff being compliant with legislative and regulatory requirements (including landlord and tenant legislation)” and that Avon “must satisfy itself” on those matters. Clever Energy is therefore contractually Avon’s agent, paid a fixed per-flat fee and other charges, and expressly disclaims responsibility for compliance with landlord and tenant law. It is Avon which owns and controls tariff decisions and which must justify them to this Tribunal under sections 19 and 27A of the Landlord and Tenant Act 1985.</w:t>
      </w:r>
    </w:p>
    <w:p w14:paraId="43DE975F" w14:textId="6C230661"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Avon has also refused to provide the corresponding “income receivables” schedules, citing GDPR and referring to sections 21 and 22 of the Landlord and Tenant Act 1985, even though those provisions do not prohibit such disclosure. Instead, Avon directs us to the single summary total shown in the annual accounts. Leaseholders – and the Tribunal – are effectively asked to trust that figure without any transparency. This makes it extremely difficult to compare total income from residents with Avon’s actual costs of gas and plant operation.</w:t>
      </w:r>
      <w:r w:rsidRPr="002D214D">
        <w:rPr>
          <w:rFonts w:ascii="Arial" w:hAnsi="Arial" w:cs="Arial"/>
          <w:b/>
          <w:bCs/>
          <w:kern w:val="0"/>
          <w:sz w:val="22"/>
          <w:szCs w:val="22"/>
          <w14:ligatures w14:val="none"/>
        </w:rPr>
        <w:t xml:space="preserve"> (Exhibit KH2 </w:t>
      </w:r>
      <w:r w:rsidR="00F6548A">
        <w:rPr>
          <w:rFonts w:ascii="Arial" w:hAnsi="Arial" w:cs="Arial"/>
          <w:b/>
          <w:bCs/>
          <w:kern w:val="0"/>
          <w:sz w:val="22"/>
          <w:szCs w:val="22"/>
          <w14:ligatures w14:val="none"/>
        </w:rPr>
        <w:t>page 614</w:t>
      </w:r>
      <w:r w:rsidRPr="002D214D">
        <w:rPr>
          <w:rFonts w:ascii="Arial" w:hAnsi="Arial" w:cs="Arial"/>
          <w:b/>
          <w:bCs/>
          <w:kern w:val="0"/>
          <w:sz w:val="22"/>
          <w:szCs w:val="22"/>
          <w14:ligatures w14:val="none"/>
        </w:rPr>
        <w:t>)</w:t>
      </w:r>
    </w:p>
    <w:p w14:paraId="4D620030" w14:textId="33BCFFE3"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Clever Energy’s letters of 12 December 2017 to residents set out the unit tariffs to be applied for heating and hot water in 2018. The letter states that the tariff will be 11.053 p/kWh with a standing charge of 5 pence per day per flat. In fact, Clever Energy invoices for 2018 show a rate of 7.90 p/kWh and a standing charge of 38 pence per day. I say that these letters are not reliable and that charges appear to be calculated without proper linkage to energy costs.</w:t>
      </w:r>
      <w:r w:rsidRPr="002D214D">
        <w:rPr>
          <w:rFonts w:ascii="Arial" w:hAnsi="Arial" w:cs="Arial"/>
          <w:b/>
          <w:bCs/>
          <w:kern w:val="0"/>
          <w:sz w:val="22"/>
          <w:szCs w:val="22"/>
          <w14:ligatures w14:val="none"/>
        </w:rPr>
        <w:t xml:space="preserve"> (Exhibit KH2 p.</w:t>
      </w:r>
      <w:r w:rsidR="00F6548A">
        <w:rPr>
          <w:rFonts w:ascii="Arial" w:hAnsi="Arial" w:cs="Arial"/>
          <w:b/>
          <w:bCs/>
          <w:kern w:val="0"/>
          <w:sz w:val="22"/>
          <w:szCs w:val="22"/>
          <w14:ligatures w14:val="none"/>
        </w:rPr>
        <w:t>618-620</w:t>
      </w:r>
      <w:r w:rsidRPr="002D214D">
        <w:rPr>
          <w:rFonts w:ascii="Arial" w:hAnsi="Arial" w:cs="Arial"/>
          <w:b/>
          <w:bCs/>
          <w:kern w:val="0"/>
          <w:sz w:val="22"/>
          <w:szCs w:val="22"/>
          <w14:ligatures w14:val="none"/>
        </w:rPr>
        <w:t>)</w:t>
      </w:r>
    </w:p>
    <w:p w14:paraId="43AE01C3" w14:textId="45DEB0F5"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Clever Energy’s own documentation </w:t>
      </w:r>
      <w:r w:rsidRPr="002D214D">
        <w:rPr>
          <w:rFonts w:ascii="Arial" w:hAnsi="Arial" w:cs="Arial"/>
          <w:b/>
          <w:bCs/>
          <w:kern w:val="0"/>
          <w:sz w:val="22"/>
          <w:szCs w:val="22"/>
          <w14:ligatures w14:val="none"/>
        </w:rPr>
        <w:t>(Exhibit KH2 p</w:t>
      </w:r>
      <w:r w:rsidR="00F6548A">
        <w:rPr>
          <w:rFonts w:ascii="Arial" w:hAnsi="Arial" w:cs="Arial"/>
          <w:b/>
          <w:bCs/>
          <w:kern w:val="0"/>
          <w:sz w:val="22"/>
          <w:szCs w:val="22"/>
          <w14:ligatures w14:val="none"/>
        </w:rPr>
        <w:t>age 335</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 xml:space="preserve"> uses a “typical” annual usage of 3,200 kWh as an example, with a heat tariff of around 14.5 p/kWh. On that basis, residents are being charged for heat at roughly 3.6–3.7 times the underlying gas unit rate actually paid by the Respondent for the corresponding period, as set out below.</w:t>
      </w:r>
    </w:p>
    <w:p w14:paraId="058664E5" w14:textId="181CA7B2"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 have prepared a spreadsheet </w:t>
      </w:r>
      <w:r w:rsidRPr="002D214D">
        <w:rPr>
          <w:rFonts w:ascii="Arial" w:hAnsi="Arial" w:cs="Arial"/>
          <w:b/>
          <w:bCs/>
          <w:kern w:val="0"/>
          <w:sz w:val="22"/>
          <w:szCs w:val="22"/>
          <w14:ligatures w14:val="none"/>
        </w:rPr>
        <w:t>(Exhibit KH2 p</w:t>
      </w:r>
      <w:r w:rsidR="002C1BD1">
        <w:rPr>
          <w:rFonts w:ascii="Arial" w:hAnsi="Arial" w:cs="Arial"/>
          <w:b/>
          <w:bCs/>
          <w:kern w:val="0"/>
          <w:sz w:val="22"/>
          <w:szCs w:val="22"/>
          <w14:ligatures w14:val="none"/>
        </w:rPr>
        <w:t>age 621</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 xml:space="preserve">, based on disclosed documents and government data, comparing (a) market energy prices, (b) the rates contracted by Avon, and (c) the tariffs charged to leaseholders. By way of example, a British Gas invoice for the whole building’s gas supply for 1 February 2023–31 March </w:t>
      </w:r>
      <w:r w:rsidRPr="002D214D">
        <w:rPr>
          <w:rFonts w:ascii="Arial" w:hAnsi="Arial" w:cs="Arial"/>
          <w:kern w:val="0"/>
          <w:sz w:val="22"/>
          <w:szCs w:val="22"/>
          <w14:ligatures w14:val="none"/>
        </w:rPr>
        <w:lastRenderedPageBreak/>
        <w:t xml:space="preserve">2023 shows that Avon (via </w:t>
      </w:r>
      <w:proofErr w:type="spellStart"/>
      <w:r w:rsidRPr="002D214D">
        <w:rPr>
          <w:rFonts w:ascii="Arial" w:hAnsi="Arial" w:cs="Arial"/>
          <w:kern w:val="0"/>
          <w:sz w:val="22"/>
          <w:szCs w:val="22"/>
          <w14:ligatures w14:val="none"/>
        </w:rPr>
        <w:t>Triplerose</w:t>
      </w:r>
      <w:proofErr w:type="spellEnd"/>
      <w:r w:rsidRPr="002D214D">
        <w:rPr>
          <w:rFonts w:ascii="Arial" w:hAnsi="Arial" w:cs="Arial"/>
          <w:kern w:val="0"/>
          <w:sz w:val="22"/>
          <w:szCs w:val="22"/>
          <w14:ligatures w14:val="none"/>
        </w:rPr>
        <w:t xml:space="preserve"> Limited) was charged a unit rate of 3.885 p/kWh plus a standing charge of 752 pence per day </w:t>
      </w:r>
      <w:r w:rsidRPr="002D214D">
        <w:rPr>
          <w:rFonts w:ascii="Arial" w:hAnsi="Arial" w:cs="Arial"/>
          <w:b/>
          <w:bCs/>
          <w:kern w:val="0"/>
          <w:sz w:val="22"/>
          <w:szCs w:val="22"/>
          <w14:ligatures w14:val="none"/>
        </w:rPr>
        <w:t>(Exhibit KH2 p</w:t>
      </w:r>
      <w:r w:rsidR="002C1BD1">
        <w:rPr>
          <w:rFonts w:ascii="Arial" w:hAnsi="Arial" w:cs="Arial"/>
          <w:b/>
          <w:bCs/>
          <w:kern w:val="0"/>
          <w:sz w:val="22"/>
          <w:szCs w:val="22"/>
          <w14:ligatures w14:val="none"/>
        </w:rPr>
        <w:t>ages 622-623</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 In the same year, leaseholders were paying 15.42 p/kWh and a combined daily standing charge of £21.12. On those figures, Avon is recovering around 3.6 times its gas unit rate and more than three times its building standing charge through Clever Energy tariffs.</w:t>
      </w:r>
    </w:p>
    <w:p w14:paraId="0FD94A82"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proofErr w:type="gramStart"/>
      <w:r w:rsidRPr="002D214D">
        <w:rPr>
          <w:rFonts w:ascii="Arial" w:hAnsi="Arial" w:cs="Arial"/>
          <w:kern w:val="0"/>
          <w:sz w:val="22"/>
          <w:szCs w:val="22"/>
          <w14:ligatures w14:val="none"/>
        </w:rPr>
        <w:t>In order to</w:t>
      </w:r>
      <w:proofErr w:type="gramEnd"/>
      <w:r w:rsidRPr="002D214D">
        <w:rPr>
          <w:rFonts w:ascii="Arial" w:hAnsi="Arial" w:cs="Arial"/>
          <w:kern w:val="0"/>
          <w:sz w:val="22"/>
          <w:szCs w:val="22"/>
          <w14:ligatures w14:val="none"/>
        </w:rPr>
        <w:t xml:space="preserve"> understand the true scale of the heating and hot-water income, I repeatedly asked the Respondent for a simple annual reconciliation showing (a) the total sums billed and collected by Clever Energy from all 22 flats and (b) the sums credited to Avon or to the service-charge accounts. No such reconciliation has been provided. Instead, following Avon’s request to Clever Energy, I was sent more than 1,200 individual tenant invoices for the period 2017–2025, with no summary schedule or explanation.</w:t>
      </w:r>
    </w:p>
    <w:p w14:paraId="1E0C223D" w14:textId="1106CC19"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 have done my best to collate those invoices into a spreadsheet, but they are plainly incomplete and the exercise has taken an unreasonable amount of time. Clever Energy has only disclosed invoices for a subset of flats and, in some years, there are obvious gaps in the invoice sequences. Where data is missing, I have therefore had to work on reasonable averages and extrapolations across the building, as shown in </w:t>
      </w:r>
      <w:r w:rsidRPr="002D214D">
        <w:rPr>
          <w:rFonts w:ascii="Arial" w:hAnsi="Arial" w:cs="Arial"/>
          <w:b/>
          <w:bCs/>
          <w:kern w:val="0"/>
          <w:sz w:val="22"/>
          <w:szCs w:val="22"/>
          <w14:ligatures w14:val="none"/>
        </w:rPr>
        <w:t>Exhibit KH2 p</w:t>
      </w:r>
      <w:r w:rsidR="002C1BD1">
        <w:rPr>
          <w:rFonts w:ascii="Arial" w:hAnsi="Arial" w:cs="Arial"/>
          <w:b/>
          <w:bCs/>
          <w:kern w:val="0"/>
          <w:sz w:val="22"/>
          <w:szCs w:val="22"/>
          <w14:ligatures w14:val="none"/>
        </w:rPr>
        <w:t>ages 624-644</w:t>
      </w:r>
      <w:r w:rsidRPr="002D214D">
        <w:rPr>
          <w:rFonts w:ascii="Arial" w:hAnsi="Arial" w:cs="Arial"/>
          <w:kern w:val="0"/>
          <w:sz w:val="22"/>
          <w:szCs w:val="22"/>
          <w14:ligatures w14:val="none"/>
        </w:rPr>
        <w:t xml:space="preserve">. The conclusions I draw about over-recovery are conservative; the true figures are likely to be higher once all invoices and credits are </w:t>
      </w:r>
      <w:proofErr w:type="gramStart"/>
      <w:r w:rsidRPr="002D214D">
        <w:rPr>
          <w:rFonts w:ascii="Arial" w:hAnsi="Arial" w:cs="Arial"/>
          <w:kern w:val="0"/>
          <w:sz w:val="22"/>
          <w:szCs w:val="22"/>
          <w14:ligatures w14:val="none"/>
        </w:rPr>
        <w:t>taken into account</w:t>
      </w:r>
      <w:proofErr w:type="gramEnd"/>
      <w:r w:rsidRPr="002D214D">
        <w:rPr>
          <w:rFonts w:ascii="Arial" w:hAnsi="Arial" w:cs="Arial"/>
          <w:kern w:val="0"/>
          <w:sz w:val="22"/>
          <w:szCs w:val="22"/>
          <w14:ligatures w14:val="none"/>
        </w:rPr>
        <w:t>.</w:t>
      </w:r>
    </w:p>
    <w:p w14:paraId="528A3CCD"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Using that data, as per this exhibit, it sets out our calculation of what leaseholders have paid in heating and hot-water costs, what the freeholder has paid to its gas suppliers in providing those services, and the resulting amounts we believe have been over-recovered by Avon through the Clever Energy tariffs.</w:t>
      </w:r>
    </w:p>
    <w:p w14:paraId="1C4B589F" w14:textId="152F7FF0"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 also attach the developer’s Energy Performance Certificate for Apartment 101 </w:t>
      </w:r>
      <w:r w:rsidRPr="002D214D">
        <w:rPr>
          <w:rFonts w:ascii="Arial" w:hAnsi="Arial" w:cs="Arial"/>
          <w:b/>
          <w:bCs/>
          <w:kern w:val="0"/>
          <w:sz w:val="22"/>
          <w:szCs w:val="22"/>
          <w14:ligatures w14:val="none"/>
        </w:rPr>
        <w:t>(Exhibit KH2 p</w:t>
      </w:r>
      <w:r w:rsidR="002C1BD1">
        <w:rPr>
          <w:rFonts w:ascii="Arial" w:hAnsi="Arial" w:cs="Arial"/>
          <w:b/>
          <w:bCs/>
          <w:kern w:val="0"/>
          <w:sz w:val="22"/>
          <w:szCs w:val="22"/>
          <w14:ligatures w14:val="none"/>
        </w:rPr>
        <w:t>ages 645-647</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 xml:space="preserve">. It estimates the cost of heating and hot water for three years at a total of £1,458, which equates to approximately £40.50 per month for a two-bedroom flat in this building, with the plant operating as designed and without any components switched off. </w:t>
      </w:r>
      <w:proofErr w:type="gramStart"/>
      <w:r w:rsidRPr="002D214D">
        <w:rPr>
          <w:rFonts w:ascii="Arial" w:hAnsi="Arial" w:cs="Arial"/>
          <w:kern w:val="0"/>
          <w:sz w:val="22"/>
          <w:szCs w:val="22"/>
          <w14:ligatures w14:val="none"/>
        </w:rPr>
        <w:t>In reality, leaseholders</w:t>
      </w:r>
      <w:proofErr w:type="gramEnd"/>
      <w:r w:rsidRPr="002D214D">
        <w:rPr>
          <w:rFonts w:ascii="Arial" w:hAnsi="Arial" w:cs="Arial"/>
          <w:kern w:val="0"/>
          <w:sz w:val="22"/>
          <w:szCs w:val="22"/>
          <w14:ligatures w14:val="none"/>
        </w:rPr>
        <w:t xml:space="preserve"> are paying up to three times that amount.</w:t>
      </w:r>
    </w:p>
    <w:p w14:paraId="11937E91" w14:textId="1E5F31EB"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Clever Energy has provided only partial billing data: invoices for the flats which are parties to these proceedings. Even from this incomplete disclosure, my rough calculations show what the 15 Applicant leaseholders are collectively paying per year for heating and hot water, compared with their pro-rata share of the building’s yearly gas bill. Because we have invoices for only 15 flats, we have had to calculate a pro-quota figure for actual gas costs. The true total billed to all flats must be higher, as no Clever Energy invoices have been disclosed at all for the remaining seven flats, despite repeated requests in the Scott Schedule and further emails to the Respondent’s representative </w:t>
      </w:r>
      <w:r w:rsidRPr="002D214D">
        <w:rPr>
          <w:rFonts w:ascii="Arial" w:hAnsi="Arial" w:cs="Arial"/>
          <w:b/>
          <w:bCs/>
          <w:kern w:val="0"/>
          <w:sz w:val="22"/>
          <w:szCs w:val="22"/>
          <w14:ligatures w14:val="none"/>
        </w:rPr>
        <w:t>(Exhibit KH2 p</w:t>
      </w:r>
      <w:r w:rsidR="002C1BD1">
        <w:rPr>
          <w:rFonts w:ascii="Arial" w:hAnsi="Arial" w:cs="Arial"/>
          <w:b/>
          <w:bCs/>
          <w:kern w:val="0"/>
          <w:sz w:val="22"/>
          <w:szCs w:val="22"/>
          <w14:ligatures w14:val="none"/>
        </w:rPr>
        <w:t>ages 648</w:t>
      </w:r>
      <w:r w:rsidRPr="002D214D">
        <w:rPr>
          <w:rFonts w:ascii="Arial" w:hAnsi="Arial" w:cs="Arial"/>
          <w:b/>
          <w:bCs/>
          <w:kern w:val="0"/>
          <w:sz w:val="22"/>
          <w:szCs w:val="22"/>
          <w14:ligatures w14:val="none"/>
        </w:rPr>
        <w:t>-</w:t>
      </w:r>
      <w:r w:rsidR="002C1BD1">
        <w:rPr>
          <w:rFonts w:ascii="Arial" w:hAnsi="Arial" w:cs="Arial"/>
          <w:b/>
          <w:bCs/>
          <w:kern w:val="0"/>
          <w:sz w:val="22"/>
          <w:szCs w:val="22"/>
          <w14:ligatures w14:val="none"/>
        </w:rPr>
        <w:t>655</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w:t>
      </w:r>
    </w:p>
    <w:p w14:paraId="626B39FF"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For the record, the service-charge accounts include separate line items for </w:t>
      </w:r>
      <w:proofErr w:type="gramStart"/>
      <w:r w:rsidRPr="002D214D">
        <w:rPr>
          <w:rFonts w:ascii="Arial" w:hAnsi="Arial" w:cs="Arial"/>
          <w:kern w:val="0"/>
          <w:sz w:val="22"/>
          <w:szCs w:val="22"/>
          <w14:ligatures w14:val="none"/>
        </w:rPr>
        <w:t>plant-room</w:t>
      </w:r>
      <w:proofErr w:type="gramEnd"/>
      <w:r w:rsidRPr="002D214D">
        <w:rPr>
          <w:rFonts w:ascii="Arial" w:hAnsi="Arial" w:cs="Arial"/>
          <w:kern w:val="0"/>
          <w:sz w:val="22"/>
          <w:szCs w:val="22"/>
          <w14:ligatures w14:val="none"/>
        </w:rPr>
        <w:t xml:space="preserve"> and heating-system breakdowns, repairs and component replacements. There is no evidence that any of these costs are passed through the Clever Energy bills. All such costs appear to be charged through the service-charge accounts, so Clever Energy’s bills should reflect gas costs plus the billing fee only. Any attempt to recover plant failures both via service charges and via tariffs would amount to double charging.</w:t>
      </w:r>
    </w:p>
    <w:p w14:paraId="469CC3C1" w14:textId="1F8B18B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 must also raise the very high gas unit rate agreed by the Respondent in the Crown Gas &amp; Power contract </w:t>
      </w:r>
      <w:proofErr w:type="gramStart"/>
      <w:r w:rsidRPr="002D214D">
        <w:rPr>
          <w:rFonts w:ascii="Arial" w:hAnsi="Arial" w:cs="Arial"/>
          <w:kern w:val="0"/>
          <w:sz w:val="22"/>
          <w:szCs w:val="22"/>
          <w14:ligatures w14:val="none"/>
        </w:rPr>
        <w:t>entered into</w:t>
      </w:r>
      <w:proofErr w:type="gramEnd"/>
      <w:r w:rsidRPr="002D214D">
        <w:rPr>
          <w:rFonts w:ascii="Arial" w:hAnsi="Arial" w:cs="Arial"/>
          <w:kern w:val="0"/>
          <w:sz w:val="22"/>
          <w:szCs w:val="22"/>
          <w14:ligatures w14:val="none"/>
        </w:rPr>
        <w:t xml:space="preserve"> around September 2024. Under that contract, the building is charged 6.753 pence per kWh at a time when published wholesale “spot” prices for gas were approximately 4.49 pence per kWh </w:t>
      </w:r>
      <w:r w:rsidRPr="002D214D">
        <w:rPr>
          <w:rFonts w:ascii="Arial" w:hAnsi="Arial" w:cs="Arial"/>
          <w:b/>
          <w:bCs/>
          <w:kern w:val="0"/>
          <w:sz w:val="22"/>
          <w:szCs w:val="22"/>
          <w14:ligatures w14:val="none"/>
        </w:rPr>
        <w:t>(Exhibit KH2 p</w:t>
      </w:r>
      <w:r w:rsidR="002C1BD1">
        <w:rPr>
          <w:rFonts w:ascii="Arial" w:hAnsi="Arial" w:cs="Arial"/>
          <w:b/>
          <w:bCs/>
          <w:kern w:val="0"/>
          <w:sz w:val="22"/>
          <w:szCs w:val="22"/>
          <w14:ligatures w14:val="none"/>
        </w:rPr>
        <w:t>ages 656</w:t>
      </w:r>
      <w:r w:rsidRPr="002D214D">
        <w:rPr>
          <w:rFonts w:ascii="Arial" w:hAnsi="Arial" w:cs="Arial"/>
          <w:b/>
          <w:bCs/>
          <w:kern w:val="0"/>
          <w:sz w:val="22"/>
          <w:szCs w:val="22"/>
          <w14:ligatures w14:val="none"/>
        </w:rPr>
        <w:t xml:space="preserve"> - </w:t>
      </w:r>
      <w:r w:rsidR="002C1BD1">
        <w:rPr>
          <w:rFonts w:ascii="Arial" w:hAnsi="Arial" w:cs="Arial"/>
          <w:b/>
          <w:bCs/>
          <w:kern w:val="0"/>
          <w:sz w:val="22"/>
          <w:szCs w:val="22"/>
          <w14:ligatures w14:val="none"/>
        </w:rPr>
        <w:t>680</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 xml:space="preserve">. The Respondent has not provided any tendering documents, record of a competitive procurement, or alternative quotes, despite the Crown account being classified as a “large business” customer with annual consumption exceeding 23 million kWh. In my submission, a landlord purchasing gas at this scale ought to be able to secure competitive rates; if it fails to do so, any excessive cost arising from poorly tendered or uncompetitive contracts should not simply be passed to leaseholders as </w:t>
      </w:r>
      <w:r w:rsidRPr="002D214D">
        <w:rPr>
          <w:rFonts w:ascii="Arial" w:hAnsi="Arial" w:cs="Arial"/>
          <w:kern w:val="0"/>
          <w:sz w:val="22"/>
          <w:szCs w:val="22"/>
          <w14:ligatures w14:val="none"/>
        </w:rPr>
        <w:lastRenderedPageBreak/>
        <w:t>“reasonably incurred” service-charge expenditure under section 19 of the Landlord and Tenant Act 1985.</w:t>
      </w:r>
    </w:p>
    <w:p w14:paraId="070E8DF8"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 draw to the Tribunal attention the same Crown Gas contract at Section 11, which explains how commissions are included in the rate </w:t>
      </w:r>
      <w:proofErr w:type="gramStart"/>
      <w:r w:rsidRPr="002D214D">
        <w:rPr>
          <w:rFonts w:ascii="Arial" w:hAnsi="Arial" w:cs="Arial"/>
          <w:kern w:val="0"/>
          <w:sz w:val="22"/>
          <w:szCs w:val="22"/>
          <w14:ligatures w14:val="none"/>
        </w:rPr>
        <w:t>as a result of</w:t>
      </w:r>
      <w:proofErr w:type="gramEnd"/>
      <w:r w:rsidRPr="002D214D">
        <w:rPr>
          <w:rFonts w:ascii="Arial" w:hAnsi="Arial" w:cs="Arial"/>
          <w:kern w:val="0"/>
          <w:sz w:val="22"/>
          <w:szCs w:val="22"/>
          <w14:ligatures w14:val="none"/>
        </w:rPr>
        <w:t xml:space="preserve"> an uplift in the rate and standing charge</w:t>
      </w:r>
    </w:p>
    <w:p w14:paraId="5469282D" w14:textId="0CA806F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In a letter dated 7 October 2025 disclosed by the Respondent </w:t>
      </w:r>
      <w:r w:rsidRPr="002D214D">
        <w:rPr>
          <w:rFonts w:ascii="Arial" w:hAnsi="Arial" w:cs="Arial"/>
          <w:b/>
          <w:bCs/>
          <w:kern w:val="0"/>
          <w:sz w:val="22"/>
          <w:szCs w:val="22"/>
          <w14:ligatures w14:val="none"/>
        </w:rPr>
        <w:t>(Exhibit KH2 p</w:t>
      </w:r>
      <w:r w:rsidR="003A7EDE">
        <w:rPr>
          <w:rFonts w:ascii="Arial" w:hAnsi="Arial" w:cs="Arial"/>
          <w:b/>
          <w:bCs/>
          <w:kern w:val="0"/>
          <w:sz w:val="22"/>
          <w:szCs w:val="22"/>
          <w14:ligatures w14:val="none"/>
        </w:rPr>
        <w:t>ages 681-683</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 Mr Paul Simpson of Clever Energy wrote to Avon “in support of the action raised by the tenants of 8 Artillery Row”. He asserts that gas prices have increased from about 1 p/kWh to 5–6 p/kWh, “peaking at around 12 p/kWh”, and refers to high wholesale volatility. However, the British Gas invoice for February–March 2023 shows that Avon was paying 3.885 p/kWh during that period, and the government quarterly gas price data at Exhibit KH2 p.12 do not show any period when typical prices reached 12 p/kWh.</w:t>
      </w:r>
    </w:p>
    <w:p w14:paraId="61373251"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Mr Simpson’s letter also states, at paragraph 9, that “Clever Energy Cooling – standing charges are shown on the monthly tenant invoices… The standing charge is applied by the supplier and must be passed on to tenants whether they use the cooling or not. There is no credit, it pays the supplier bill otherwise the freeholder would not collect sufficient funds and need to add the shortfall to the service charge.”</w:t>
      </w:r>
    </w:p>
    <w:p w14:paraId="1D9243D1" w14:textId="6AF410D9"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By contrast, in the Respondent’s Statement of Case </w:t>
      </w:r>
      <w:r w:rsidRPr="002D214D">
        <w:rPr>
          <w:rFonts w:ascii="Arial" w:hAnsi="Arial" w:cs="Arial"/>
          <w:b/>
          <w:bCs/>
          <w:kern w:val="0"/>
          <w:sz w:val="22"/>
          <w:szCs w:val="22"/>
          <w14:ligatures w14:val="none"/>
        </w:rPr>
        <w:t>(Exhibit KH2 p</w:t>
      </w:r>
      <w:r w:rsidR="003A7EDE">
        <w:rPr>
          <w:rFonts w:ascii="Arial" w:hAnsi="Arial" w:cs="Arial"/>
          <w:b/>
          <w:bCs/>
          <w:kern w:val="0"/>
          <w:sz w:val="22"/>
          <w:szCs w:val="22"/>
          <w14:ligatures w14:val="none"/>
        </w:rPr>
        <w:t>ages 684-690</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 at paragraph 17, their solicitors state that “the standard charge for cooling is billed by the billing agents and then sums collected are credited to the service charge.” These two positions cannot both be true. Either the cooling standing charges are retained to meet a separate supplier bill (for which no evidence has been supplied) or they are credited back through the service charge (again with no evidence). This inconsistency undermines the reliability of the Respondent’s explanation and suggests that residents may again be exposed to double recovery between cooling standing charges and communal electricity costs.</w:t>
      </w:r>
    </w:p>
    <w:p w14:paraId="0F405C1B"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Cooling standing charges have also been levied in periods when cooling was not available in practice. The building has experienced prolonged periods with no chilled-water flow and no heating and hot water, and building-management-system (BMS) records show chiller faults and high temperatures during hot weather. Nevertheless, Clever Energy invoices continued to include cooling standing charges.</w:t>
      </w:r>
    </w:p>
    <w:p w14:paraId="331A2D9C" w14:textId="50E4960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In his email dated 2 March 2023 </w:t>
      </w:r>
      <w:r w:rsidRPr="002D214D">
        <w:rPr>
          <w:rFonts w:ascii="Arial" w:hAnsi="Arial" w:cs="Arial"/>
          <w:b/>
          <w:bCs/>
          <w:kern w:val="0"/>
          <w:sz w:val="22"/>
          <w:szCs w:val="22"/>
          <w14:ligatures w14:val="none"/>
        </w:rPr>
        <w:t>(Exhibit KH2 p</w:t>
      </w:r>
      <w:r w:rsidR="003A7EDE">
        <w:rPr>
          <w:rFonts w:ascii="Arial" w:hAnsi="Arial" w:cs="Arial"/>
          <w:b/>
          <w:bCs/>
          <w:kern w:val="0"/>
          <w:sz w:val="22"/>
          <w:szCs w:val="22"/>
          <w14:ligatures w14:val="none"/>
        </w:rPr>
        <w:t>ages 340-345</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 Richard Simmons of Avon responds to detailed questions from the Residents’ Association. He asserts that the cost of gas to Avon is 10 p/</w:t>
      </w:r>
      <w:proofErr w:type="gramStart"/>
      <w:r w:rsidRPr="002D214D">
        <w:rPr>
          <w:rFonts w:ascii="Arial" w:hAnsi="Arial" w:cs="Arial"/>
          <w:kern w:val="0"/>
          <w:sz w:val="22"/>
          <w:szCs w:val="22"/>
          <w14:ligatures w14:val="none"/>
        </w:rPr>
        <w:t>kWh  and</w:t>
      </w:r>
      <w:proofErr w:type="gramEnd"/>
      <w:r w:rsidRPr="002D214D">
        <w:rPr>
          <w:rFonts w:ascii="Arial" w:hAnsi="Arial" w:cs="Arial"/>
          <w:kern w:val="0"/>
          <w:sz w:val="22"/>
          <w:szCs w:val="22"/>
          <w14:ligatures w14:val="none"/>
        </w:rPr>
        <w:t xml:space="preserve"> seeks to justify the tariffs by reference to market conditions and the war in Ukraine. Mr Simmonds has misinformed us, </w:t>
      </w:r>
      <w:r w:rsidR="007F7FDD">
        <w:rPr>
          <w:rFonts w:ascii="Arial" w:hAnsi="Arial" w:cs="Arial"/>
          <w:kern w:val="0"/>
          <w:sz w:val="22"/>
          <w:szCs w:val="22"/>
          <w14:ligatures w14:val="none"/>
        </w:rPr>
        <w:t xml:space="preserve">the 10 p/kwh is not </w:t>
      </w:r>
      <w:r w:rsidRPr="002D214D">
        <w:rPr>
          <w:rFonts w:ascii="Arial" w:hAnsi="Arial" w:cs="Arial"/>
          <w:kern w:val="0"/>
          <w:sz w:val="22"/>
          <w:szCs w:val="22"/>
          <w14:ligatures w14:val="none"/>
        </w:rPr>
        <w:t>true</w:t>
      </w:r>
      <w:r w:rsidR="007F7FDD">
        <w:rPr>
          <w:rFonts w:ascii="Arial" w:hAnsi="Arial" w:cs="Arial"/>
          <w:kern w:val="0"/>
          <w:sz w:val="22"/>
          <w:szCs w:val="22"/>
          <w14:ligatures w14:val="none"/>
        </w:rPr>
        <w:t xml:space="preserve">.  The British Gas </w:t>
      </w:r>
      <w:r w:rsidR="00F82F26">
        <w:rPr>
          <w:rFonts w:ascii="Arial" w:hAnsi="Arial" w:cs="Arial"/>
          <w:kern w:val="0"/>
          <w:sz w:val="22"/>
          <w:szCs w:val="22"/>
          <w14:ligatures w14:val="none"/>
        </w:rPr>
        <w:t>invoice to the Res</w:t>
      </w:r>
      <w:r w:rsidR="00D77792">
        <w:rPr>
          <w:rFonts w:ascii="Arial" w:hAnsi="Arial" w:cs="Arial"/>
          <w:kern w:val="0"/>
          <w:sz w:val="22"/>
          <w:szCs w:val="22"/>
          <w14:ligatures w14:val="none"/>
        </w:rPr>
        <w:t xml:space="preserve">pondent </w:t>
      </w:r>
      <w:r w:rsidR="00F82F26">
        <w:rPr>
          <w:rFonts w:ascii="Arial" w:hAnsi="Arial" w:cs="Arial"/>
          <w:kern w:val="0"/>
          <w:sz w:val="22"/>
          <w:szCs w:val="22"/>
          <w14:ligatures w14:val="none"/>
        </w:rPr>
        <w:t xml:space="preserve">for that same month is </w:t>
      </w:r>
      <w:r w:rsidRPr="002D214D">
        <w:rPr>
          <w:rFonts w:ascii="Arial" w:hAnsi="Arial" w:cs="Arial"/>
          <w:kern w:val="0"/>
          <w:sz w:val="22"/>
          <w:szCs w:val="22"/>
          <w14:ligatures w14:val="none"/>
        </w:rPr>
        <w:t xml:space="preserve">3.885 p/kWh </w:t>
      </w:r>
      <w:r w:rsidR="00231FF7">
        <w:rPr>
          <w:rFonts w:ascii="Arial" w:hAnsi="Arial" w:cs="Arial"/>
          <w:kern w:val="0"/>
          <w:sz w:val="22"/>
          <w:szCs w:val="22"/>
          <w14:ligatures w14:val="none"/>
        </w:rPr>
        <w:t>and the same rate is shown on the contract too</w:t>
      </w:r>
      <w:r w:rsidRPr="002D214D">
        <w:rPr>
          <w:rFonts w:ascii="Arial" w:hAnsi="Arial" w:cs="Arial"/>
          <w:kern w:val="0"/>
          <w:sz w:val="22"/>
          <w:szCs w:val="22"/>
          <w14:ligatures w14:val="none"/>
        </w:rPr>
        <w:t xml:space="preserve"> </w:t>
      </w:r>
      <w:r w:rsidR="003A7EDE">
        <w:rPr>
          <w:rFonts w:ascii="Arial" w:hAnsi="Arial" w:cs="Arial"/>
          <w:kern w:val="0"/>
          <w:sz w:val="22"/>
          <w:szCs w:val="22"/>
          <w14:ligatures w14:val="none"/>
        </w:rPr>
        <w:t>(</w:t>
      </w:r>
      <w:r w:rsidRPr="002D214D">
        <w:rPr>
          <w:rFonts w:ascii="Arial" w:hAnsi="Arial" w:cs="Arial"/>
          <w:b/>
          <w:bCs/>
          <w:kern w:val="0"/>
          <w:sz w:val="22"/>
          <w:szCs w:val="22"/>
          <w14:ligatures w14:val="none"/>
        </w:rPr>
        <w:t xml:space="preserve">Exhibit KH2 </w:t>
      </w:r>
      <w:r w:rsidR="003A7EDE">
        <w:rPr>
          <w:rFonts w:ascii="Arial" w:hAnsi="Arial" w:cs="Arial"/>
          <w:b/>
          <w:bCs/>
          <w:kern w:val="0"/>
          <w:sz w:val="22"/>
          <w:szCs w:val="22"/>
          <w14:ligatures w14:val="none"/>
        </w:rPr>
        <w:t>pages 167-168)</w:t>
      </w:r>
      <w:r w:rsidRPr="002D214D">
        <w:rPr>
          <w:rFonts w:ascii="Arial" w:hAnsi="Arial" w:cs="Arial"/>
          <w:kern w:val="0"/>
          <w:sz w:val="22"/>
          <w:szCs w:val="22"/>
          <w14:ligatures w14:val="none"/>
        </w:rPr>
        <w:t>.</w:t>
      </w:r>
    </w:p>
    <w:p w14:paraId="0E547D30"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In the same email, Mr Simmons confirms that the cost of billing services provided by Clever Energy is 23 pence per day per flat (equating to £83.95 per year), which is charged directly to leaseholders as part of the heat billing. This is a pure administration/billing fee, separate from gas cost, and we accept it as a genuine cost of providing the service. Our calculations have taken this fee into account.</w:t>
      </w:r>
    </w:p>
    <w:p w14:paraId="5A5340CD"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Residents’ Association has explicitly raised the concern that Avon is retaining the substantial margin between its actual gas costs and the higher tariffs charged to residents. In his emails, Mr Simmons does not deny that Avon keeps the difference. He confirms only that no other party shares in the sums charged by Clever </w:t>
      </w:r>
      <w:proofErr w:type="gramStart"/>
      <w:r w:rsidRPr="002D214D">
        <w:rPr>
          <w:rFonts w:ascii="Arial" w:hAnsi="Arial" w:cs="Arial"/>
          <w:kern w:val="0"/>
          <w:sz w:val="22"/>
          <w:szCs w:val="22"/>
          <w14:ligatures w14:val="none"/>
        </w:rPr>
        <w:t>Energy, and</w:t>
      </w:r>
      <w:proofErr w:type="gramEnd"/>
      <w:r w:rsidRPr="002D214D">
        <w:rPr>
          <w:rFonts w:ascii="Arial" w:hAnsi="Arial" w:cs="Arial"/>
          <w:kern w:val="0"/>
          <w:sz w:val="22"/>
          <w:szCs w:val="22"/>
          <w14:ligatures w14:val="none"/>
        </w:rPr>
        <w:t xml:space="preserve"> instead focuses on wholesale prices and broker commissions without offering any reconciliation to show that the tariffs represent cost recovery rather than profit.</w:t>
      </w:r>
    </w:p>
    <w:p w14:paraId="5280E72B" w14:textId="306F6C1B" w:rsidR="00ED3CED" w:rsidRPr="00225240" w:rsidRDefault="002730D1" w:rsidP="00225240">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Mr Simmons also refers in that email (</w:t>
      </w:r>
      <w:r w:rsidRPr="002D214D">
        <w:rPr>
          <w:rFonts w:ascii="Arial" w:hAnsi="Arial" w:cs="Arial"/>
          <w:b/>
          <w:bCs/>
          <w:kern w:val="0"/>
          <w:sz w:val="22"/>
          <w:szCs w:val="22"/>
          <w14:ligatures w14:val="none"/>
        </w:rPr>
        <w:t>Exhibits KH2 p</w:t>
      </w:r>
      <w:r w:rsidR="003A7EDE">
        <w:rPr>
          <w:rFonts w:ascii="Arial" w:hAnsi="Arial" w:cs="Arial"/>
          <w:b/>
          <w:bCs/>
          <w:kern w:val="0"/>
          <w:sz w:val="22"/>
          <w:szCs w:val="22"/>
          <w14:ligatures w14:val="none"/>
        </w:rPr>
        <w:t>age 344</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 xml:space="preserve"> to a “spot price” for gas of 23 p/kWh and praises the landlord’s “foresight” in securing “competitive rates”. Government data for the relevant quarter indicate that typical prices were around 6.96 p/kWh. This reinforces the impression that the Respondent has overstated market </w:t>
      </w:r>
      <w:r w:rsidRPr="002D214D">
        <w:rPr>
          <w:rFonts w:ascii="Arial" w:hAnsi="Arial" w:cs="Arial"/>
          <w:kern w:val="0"/>
          <w:sz w:val="22"/>
          <w:szCs w:val="22"/>
          <w14:ligatures w14:val="none"/>
        </w:rPr>
        <w:lastRenderedPageBreak/>
        <w:t>prices and understated the disparity between what Avon pays and what it recovers from leaseholders.</w:t>
      </w:r>
    </w:p>
    <w:p w14:paraId="30878253" w14:textId="35D17ADE" w:rsidR="000F028B" w:rsidRPr="001B044F" w:rsidRDefault="00ED3CED" w:rsidP="00ED3CED">
      <w:pPr>
        <w:numPr>
          <w:ilvl w:val="0"/>
          <w:numId w:val="7"/>
        </w:numPr>
        <w:spacing w:before="100" w:beforeAutospacing="1" w:after="100" w:afterAutospacing="1" w:line="240" w:lineRule="auto"/>
        <w:jc w:val="both"/>
        <w:rPr>
          <w:rStyle w:val="Heading2Char"/>
          <w:rFonts w:ascii="Arial" w:eastAsiaTheme="minorEastAsia" w:hAnsi="Arial" w:cs="Arial"/>
          <w:color w:val="auto"/>
          <w:kern w:val="0"/>
          <w:sz w:val="22"/>
          <w:szCs w:val="22"/>
          <w14:ligatures w14:val="none"/>
        </w:rPr>
      </w:pPr>
      <w:r>
        <w:rPr>
          <w:rFonts w:ascii="Arial" w:hAnsi="Arial" w:cs="Arial"/>
          <w:kern w:val="0"/>
          <w:sz w:val="22"/>
          <w:szCs w:val="22"/>
          <w14:ligatures w14:val="none"/>
        </w:rPr>
        <w:t>I</w:t>
      </w:r>
      <w:r w:rsidR="00DB6BD0" w:rsidRPr="00ED3CED">
        <w:rPr>
          <w:rStyle w:val="Heading2Char"/>
          <w:rFonts w:ascii="Arial" w:eastAsia="Times New Roman" w:hAnsi="Arial" w:cs="Arial"/>
          <w:color w:val="111111"/>
          <w:sz w:val="22"/>
          <w:szCs w:val="22"/>
        </w:rPr>
        <w:t xml:space="preserve">n an email chain dated 10–22 January 2018 about my own Clever Energy bill, I raised concerns about possible overcharging and asked for a clear explanation of how the 9.5p/kWh tariff had been calculated </w:t>
      </w:r>
      <w:r w:rsidR="00DB6BD0" w:rsidRPr="004775C3">
        <w:rPr>
          <w:rStyle w:val="Heading2Char"/>
          <w:rFonts w:ascii="Arial" w:eastAsia="Times New Roman" w:hAnsi="Arial" w:cs="Arial"/>
          <w:b/>
          <w:bCs/>
          <w:color w:val="111111"/>
          <w:sz w:val="22"/>
          <w:szCs w:val="22"/>
        </w:rPr>
        <w:t xml:space="preserve">(exhibit KH2 pages </w:t>
      </w:r>
      <w:r w:rsidR="003A7EDE">
        <w:rPr>
          <w:rStyle w:val="Heading2Char"/>
          <w:rFonts w:ascii="Arial" w:eastAsia="Times New Roman" w:hAnsi="Arial" w:cs="Arial"/>
          <w:b/>
          <w:bCs/>
          <w:color w:val="111111"/>
          <w:sz w:val="22"/>
          <w:szCs w:val="22"/>
        </w:rPr>
        <w:t>1022-1027</w:t>
      </w:r>
      <w:r w:rsidR="00DB6BD0" w:rsidRPr="00ED3CED">
        <w:rPr>
          <w:rStyle w:val="Heading2Char"/>
          <w:rFonts w:ascii="Arial" w:eastAsia="Times New Roman" w:hAnsi="Arial" w:cs="Arial"/>
          <w:color w:val="111111"/>
          <w:sz w:val="22"/>
          <w:szCs w:val="22"/>
        </w:rPr>
        <w:t>). In his reply of 11 January 2018, Mr Adam Azoulay stated that “Clever Energy then take the amount we get charged for the gas, and re-charge this out to residents based on their consumption at the rate which will then give you your actual bill.” By contrast, in his email of 22 January 2018, Mr Martin Kloos, Operations Manager at Clever Energy, explained that the gas rate for Artillery Row was 3.77p/kWh and that Clever Energy had calculated an “efficiency” of just under 40%; dividing 3.77p by an efficiency of 39.7% produced the resident tariff of 9.5p/kWh.</w:t>
      </w:r>
      <w:r w:rsidR="00DB6BD0" w:rsidRPr="00ED3CED">
        <w:rPr>
          <w:rStyle w:val="Heading3Char"/>
          <w:rFonts w:ascii="Arial" w:eastAsia="Times New Roman" w:hAnsi="Arial" w:cs="Arial"/>
          <w:color w:val="111111"/>
          <w:sz w:val="22"/>
          <w:szCs w:val="22"/>
        </w:rPr>
        <w:t xml:space="preserve">  </w:t>
      </w:r>
      <w:r w:rsidR="00DB6BD0" w:rsidRPr="00ED3CED">
        <w:rPr>
          <w:rStyle w:val="Heading2Char"/>
          <w:rFonts w:ascii="Arial" w:eastAsia="Times New Roman" w:hAnsi="Arial" w:cs="Arial"/>
          <w:color w:val="111111"/>
          <w:sz w:val="22"/>
          <w:szCs w:val="22"/>
        </w:rPr>
        <w:t>These two explanations are inconsistent: Mr Azoulay presents the tariff as a straightforward pass-through of the gas cost, whereas Mr Kloos confirms that a very low efficiency factor is applied which uplifts the gas unit rate by around two-and-a-half times. I say this inconsistency illustrates both the lack of transparency and the extent of the hidden margin embedded in the Clever Energy tariffs.</w:t>
      </w:r>
    </w:p>
    <w:p w14:paraId="11FB8048" w14:textId="662966FC" w:rsidR="001B044F" w:rsidRPr="00FC5520" w:rsidRDefault="00133537" w:rsidP="00FC5520">
      <w:pPr>
        <w:pStyle w:val="ListParagraph"/>
        <w:numPr>
          <w:ilvl w:val="0"/>
          <w:numId w:val="7"/>
        </w:numPr>
        <w:spacing w:line="240" w:lineRule="auto"/>
        <w:jc w:val="both"/>
        <w:rPr>
          <w:rFonts w:ascii="Arial" w:eastAsia="Times New Roman" w:hAnsi="Arial" w:cs="Arial"/>
          <w:color w:val="111111"/>
          <w:kern w:val="0"/>
          <w:sz w:val="22"/>
          <w:szCs w:val="22"/>
          <w14:ligatures w14:val="none"/>
        </w:rPr>
      </w:pPr>
      <w:r w:rsidRPr="00133537">
        <w:rPr>
          <w:rStyle w:val="Heading2Char"/>
          <w:rFonts w:ascii="Arial" w:eastAsia="Times New Roman" w:hAnsi="Arial" w:cs="Arial"/>
          <w:color w:val="111111"/>
          <w:sz w:val="22"/>
          <w:szCs w:val="22"/>
        </w:rPr>
        <w:t xml:space="preserve">That inconsistency is reinforced by Avon’s own welcome letter to occupiers dated 23 June 2017 </w:t>
      </w:r>
      <w:r w:rsidRPr="004775C3">
        <w:rPr>
          <w:rStyle w:val="Heading2Char"/>
          <w:rFonts w:ascii="Arial" w:eastAsia="Times New Roman" w:hAnsi="Arial" w:cs="Arial"/>
          <w:b/>
          <w:bCs/>
          <w:color w:val="111111"/>
          <w:sz w:val="22"/>
          <w:szCs w:val="22"/>
        </w:rPr>
        <w:t xml:space="preserve">(exhibit KH2 pages </w:t>
      </w:r>
      <w:r w:rsidR="003A7EDE">
        <w:rPr>
          <w:rStyle w:val="Heading2Char"/>
          <w:rFonts w:ascii="Arial" w:eastAsia="Times New Roman" w:hAnsi="Arial" w:cs="Arial"/>
          <w:b/>
          <w:bCs/>
          <w:color w:val="111111"/>
          <w:sz w:val="22"/>
          <w:szCs w:val="22"/>
        </w:rPr>
        <w:t>1028-1029</w:t>
      </w:r>
      <w:r w:rsidRPr="00133537">
        <w:rPr>
          <w:rStyle w:val="Heading2Char"/>
          <w:rFonts w:ascii="Arial" w:eastAsia="Times New Roman" w:hAnsi="Arial" w:cs="Arial"/>
          <w:color w:val="111111"/>
          <w:sz w:val="22"/>
          <w:szCs w:val="22"/>
        </w:rPr>
        <w:t xml:space="preserve">). In that letter, Avon states that it “purchase[s] the gas for the centralised boiler” and that it “need[s] to recover the cost of that gas” from flats, describing the Clever Energy arrangement as a means of billing each flat “transparently and fairly” for the hot water used. </w:t>
      </w:r>
      <w:r w:rsidRPr="00133537">
        <w:rPr>
          <w:rStyle w:val="Heading3Char"/>
          <w:rFonts w:ascii="Arial" w:eastAsia="Times New Roman" w:hAnsi="Arial" w:cs="Arial"/>
          <w:color w:val="111111"/>
          <w:sz w:val="22"/>
          <w:szCs w:val="22"/>
        </w:rPr>
        <w:t> </w:t>
      </w:r>
      <w:r w:rsidRPr="00133537">
        <w:rPr>
          <w:rStyle w:val="Heading2Char"/>
          <w:rFonts w:ascii="Arial" w:eastAsia="Times New Roman" w:hAnsi="Arial" w:cs="Arial"/>
          <w:color w:val="111111"/>
          <w:sz w:val="22"/>
          <w:szCs w:val="22"/>
        </w:rPr>
        <w:t>There is no suggestion in that letter that residents would be charged by reference to a notional or fluctuating “efficiency rate”, or that any margin would be added above the landlord’s actual gas cost. In my submission, this supports the view that only the true cost of gas (plus a reasonable billing/admin fee) should be recoverable, and that the later reliance on an opaque “efficiency” percentage, in correspondence from Mr Simmons in 2023 and 2025, is inconsistent with the position originally presented to residents.</w:t>
      </w:r>
    </w:p>
    <w:p w14:paraId="408CE403" w14:textId="2B12F251" w:rsidR="00FC5520" w:rsidRPr="00C377A8" w:rsidRDefault="002730D1" w:rsidP="00FC5520">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In their Statement of Case and in Mr Simpson’s letter of 7 October 2025, the Respondent presents Clever Energy as if it were an independent expert validating the overall level of energy costs at 8 Artillery Row. I say this evidence must be treated with considerable caution. Clever Energy is simply a billing company. It has no regulatory function, no independent mandate to opine on what is reasonable under landlord and tenant legislation, and only limited visibility of Avon’s wider service-charge structure, energy sourcing, </w:t>
      </w:r>
      <w:proofErr w:type="gramStart"/>
      <w:r w:rsidRPr="002D214D">
        <w:rPr>
          <w:rFonts w:ascii="Arial" w:hAnsi="Arial" w:cs="Arial"/>
          <w:kern w:val="0"/>
          <w:sz w:val="22"/>
          <w:szCs w:val="22"/>
          <w14:ligatures w14:val="none"/>
        </w:rPr>
        <w:t>plant-room</w:t>
      </w:r>
      <w:proofErr w:type="gramEnd"/>
      <w:r w:rsidRPr="002D214D">
        <w:rPr>
          <w:rFonts w:ascii="Arial" w:hAnsi="Arial" w:cs="Arial"/>
          <w:kern w:val="0"/>
          <w:sz w:val="22"/>
          <w:szCs w:val="22"/>
          <w14:ligatures w14:val="none"/>
        </w:rPr>
        <w:t xml:space="preserve"> repairs and other items that are separately recovered from residents.</w:t>
      </w:r>
    </w:p>
    <w:p w14:paraId="1D5FBDB0"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The communal plant at 8 Artillery Row includes a Combined Heat and Power (“CHP”) unit, designed to generate electricity for the building while producing useful heat as a by-product. The planning documents and energy strategy for the development assumed that the CHP would operate, with an overall efficiency of around 98%, and that the heat generated would reduce residents’ heating and hot-water costs. I will address the planning aspects separately, but it is relevant to this section.</w:t>
      </w:r>
    </w:p>
    <w:p w14:paraId="7CFCD729"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In practice, the CHP unit has been kept switched off and, so far as I am aware, has not operated since Y&amp;Y took over the freehold management. The last known maintenance record is an Acorn invoice dated 20 January 2017 for £4,367, which appears shortly after Avon acquired the property. This shows that Avon knew of the CHP’s existence and authorised maintenance </w:t>
      </w:r>
      <w:proofErr w:type="gramStart"/>
      <w:r w:rsidRPr="002D214D">
        <w:rPr>
          <w:rFonts w:ascii="Arial" w:hAnsi="Arial" w:cs="Arial"/>
          <w:kern w:val="0"/>
          <w:sz w:val="22"/>
          <w:szCs w:val="22"/>
          <w14:ligatures w14:val="none"/>
        </w:rPr>
        <w:t>visits, but</w:t>
      </w:r>
      <w:proofErr w:type="gramEnd"/>
      <w:r w:rsidRPr="002D214D">
        <w:rPr>
          <w:rFonts w:ascii="Arial" w:hAnsi="Arial" w:cs="Arial"/>
          <w:kern w:val="0"/>
          <w:sz w:val="22"/>
          <w:szCs w:val="22"/>
          <w14:ligatures w14:val="none"/>
        </w:rPr>
        <w:t xml:space="preserve"> then chose to switch it off and cease maintaining it. Avon and Clever Energy now rely on very low “network efficiency” figures (quoted as low as 25–40%) to justify higher tariffs. That is the opposite of what was envisaged at design stage. If the CHP is not used, the system cannot operate at the design efficiency, and this may also increase wear and maintenance costs on the remaining boilers and pumps.</w:t>
      </w:r>
    </w:p>
    <w:p w14:paraId="0AD73204"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 say it is not reasonable for Avon to rely on artificially low “efficiency” figures of its own making (by not operating the CHP as designed) to justify charging residents three to </w:t>
      </w:r>
      <w:r w:rsidRPr="002D214D">
        <w:rPr>
          <w:rFonts w:ascii="Arial" w:hAnsi="Arial" w:cs="Arial"/>
          <w:kern w:val="0"/>
          <w:sz w:val="22"/>
          <w:szCs w:val="22"/>
          <w14:ligatures w14:val="none"/>
        </w:rPr>
        <w:lastRenderedPageBreak/>
        <w:t xml:space="preserve">four times the underlying gas cost. The “cost” of energy for Avon is the price it </w:t>
      </w:r>
      <w:proofErr w:type="gramStart"/>
      <w:r w:rsidRPr="002D214D">
        <w:rPr>
          <w:rFonts w:ascii="Arial" w:hAnsi="Arial" w:cs="Arial"/>
          <w:kern w:val="0"/>
          <w:sz w:val="22"/>
          <w:szCs w:val="22"/>
          <w14:ligatures w14:val="none"/>
        </w:rPr>
        <w:t>actually pays</w:t>
      </w:r>
      <w:proofErr w:type="gramEnd"/>
      <w:r w:rsidRPr="002D214D">
        <w:rPr>
          <w:rFonts w:ascii="Arial" w:hAnsi="Arial" w:cs="Arial"/>
          <w:kern w:val="0"/>
          <w:sz w:val="22"/>
          <w:szCs w:val="22"/>
          <w14:ligatures w14:val="none"/>
        </w:rPr>
        <w:t xml:space="preserve"> its gas supplier, not an inflated figure derived from an internal “efficiency” metric.</w:t>
      </w:r>
    </w:p>
    <w:p w14:paraId="7CA66924"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Furthermore, efficiency rate is an engineering concept, not a cost. It is a snapshot calculation that changes constantly depending on usage, outside temperature and other variables. It is a metric used to portray how effectively a system operates, not the cost of providing energy. It should never be used as the primary basis for calculating what residents must pay for heating. The cost of heating is a known quantum: the gas bill that the freeholder pays, plus reasonable plant-operation and billing costs.</w:t>
      </w:r>
    </w:p>
    <w:p w14:paraId="171C71EE"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It is also my evidence that the plant room – including pumps, boilers, expansion vessels, CHP and associated heating and cooling equipment – forms part of the “Building” and “Common Parts” as defined in the leases. These systems supply heating, hot water and mechanical services to the </w:t>
      </w:r>
      <w:proofErr w:type="gramStart"/>
      <w:r w:rsidRPr="002D214D">
        <w:rPr>
          <w:rFonts w:ascii="Arial" w:hAnsi="Arial" w:cs="Arial"/>
          <w:kern w:val="0"/>
          <w:sz w:val="22"/>
          <w:szCs w:val="22"/>
          <w14:ligatures w14:val="none"/>
        </w:rPr>
        <w:t>building as a whole, including</w:t>
      </w:r>
      <w:proofErr w:type="gramEnd"/>
      <w:r w:rsidRPr="002D214D">
        <w:rPr>
          <w:rFonts w:ascii="Arial" w:hAnsi="Arial" w:cs="Arial"/>
          <w:kern w:val="0"/>
          <w:sz w:val="22"/>
          <w:szCs w:val="22"/>
          <w14:ligatures w14:val="none"/>
        </w:rPr>
        <w:t xml:space="preserve"> the ground-floor retail unit. I address this in more detail under a separate heading.</w:t>
      </w:r>
    </w:p>
    <w:p w14:paraId="394B87DC" w14:textId="430DD89E"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Supplier online databases show that the retail unit at 8 Artillery Row does not have its own separate gas meter, although it does have its own electricity supply</w:t>
      </w:r>
      <w:r w:rsidRPr="002D214D">
        <w:rPr>
          <w:rFonts w:ascii="Arial" w:hAnsi="Arial" w:cs="Arial"/>
          <w:b/>
          <w:bCs/>
          <w:kern w:val="0"/>
          <w:sz w:val="22"/>
          <w:szCs w:val="22"/>
          <w14:ligatures w14:val="none"/>
        </w:rPr>
        <w:t xml:space="preserve"> (Exhibit </w:t>
      </w:r>
      <w:r w:rsidR="0077269D" w:rsidRPr="002D214D">
        <w:rPr>
          <w:rFonts w:ascii="Arial" w:hAnsi="Arial" w:cs="Arial"/>
          <w:b/>
          <w:bCs/>
          <w:kern w:val="0"/>
          <w:sz w:val="22"/>
          <w:szCs w:val="22"/>
          <w14:ligatures w14:val="none"/>
        </w:rPr>
        <w:t xml:space="preserve">KH2 pages </w:t>
      </w:r>
      <w:r w:rsidR="00D26468">
        <w:rPr>
          <w:rFonts w:ascii="Arial" w:hAnsi="Arial" w:cs="Arial"/>
          <w:b/>
          <w:bCs/>
          <w:kern w:val="0"/>
          <w:sz w:val="22"/>
          <w:szCs w:val="22"/>
          <w14:ligatures w14:val="none"/>
        </w:rPr>
        <w:t>901-902</w:t>
      </w:r>
      <w:r w:rsidR="0077269D" w:rsidRPr="002D214D">
        <w:rPr>
          <w:rFonts w:ascii="Arial" w:hAnsi="Arial" w:cs="Arial"/>
          <w:b/>
          <w:bCs/>
          <w:kern w:val="0"/>
          <w:sz w:val="22"/>
          <w:szCs w:val="22"/>
          <w14:ligatures w14:val="none"/>
        </w:rPr>
        <w:t>)</w:t>
      </w:r>
      <w:r w:rsidRPr="002D214D">
        <w:rPr>
          <w:rFonts w:ascii="Arial" w:hAnsi="Arial" w:cs="Arial"/>
          <w:kern w:val="0"/>
          <w:sz w:val="22"/>
          <w:szCs w:val="22"/>
          <w14:ligatures w14:val="none"/>
        </w:rPr>
        <w:t xml:space="preserve">. In my experience, it would make no practical sense for the retail unit to operate an entirely separate gas-fired plant when a communal plant already exists. I therefore believe the retail unit is supplied with heating and/or hot water from the same plant room as the flats. The Respondent has never confirmed the position. Our overcharge calculations have not </w:t>
      </w:r>
      <w:proofErr w:type="gramStart"/>
      <w:r w:rsidRPr="002D214D">
        <w:rPr>
          <w:rFonts w:ascii="Arial" w:hAnsi="Arial" w:cs="Arial"/>
          <w:kern w:val="0"/>
          <w:sz w:val="22"/>
          <w:szCs w:val="22"/>
          <w14:ligatures w14:val="none"/>
        </w:rPr>
        <w:t>taken into account</w:t>
      </w:r>
      <w:proofErr w:type="gramEnd"/>
      <w:r w:rsidRPr="002D214D">
        <w:rPr>
          <w:rFonts w:ascii="Arial" w:hAnsi="Arial" w:cs="Arial"/>
          <w:kern w:val="0"/>
          <w:sz w:val="22"/>
          <w:szCs w:val="22"/>
          <w14:ligatures w14:val="none"/>
        </w:rPr>
        <w:t xml:space="preserve"> any sums that the retail space ought to contribute towards the cost of heat and hot water.</w:t>
      </w:r>
    </w:p>
    <w:p w14:paraId="21A7D8F1"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Under clause 3.2 of the leases, the landlord covenants to repair and maintain the Building and Common Parts, which necessarily includes the plant room and all communal mechanical and electrical equipment.</w:t>
      </w:r>
    </w:p>
    <w:p w14:paraId="3F3A5D1C"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Clause 4 of the leases requires that service-charge expenditure be apportioned so that each class of premises pays its proper share. Clause 4.2.9 provides that any sums recovered from other parts of the </w:t>
      </w:r>
      <w:proofErr w:type="gramStart"/>
      <w:r w:rsidRPr="002D214D">
        <w:rPr>
          <w:rFonts w:ascii="Arial" w:hAnsi="Arial" w:cs="Arial"/>
          <w:kern w:val="0"/>
          <w:sz w:val="22"/>
          <w:szCs w:val="22"/>
          <w14:ligatures w14:val="none"/>
        </w:rPr>
        <w:t>Building</w:t>
      </w:r>
      <w:proofErr w:type="gramEnd"/>
      <w:r w:rsidRPr="002D214D">
        <w:rPr>
          <w:rFonts w:ascii="Arial" w:hAnsi="Arial" w:cs="Arial"/>
          <w:kern w:val="0"/>
          <w:sz w:val="22"/>
          <w:szCs w:val="22"/>
          <w14:ligatures w14:val="none"/>
        </w:rPr>
        <w:t xml:space="preserve"> – including the retail unit – must be credited to the expenditure before the residential proportion is calculated.</w:t>
      </w:r>
    </w:p>
    <w:p w14:paraId="1371E912" w14:textId="5A3F03FB" w:rsidR="002730D1" w:rsidRPr="002D214D" w:rsidRDefault="002730D1" w:rsidP="00231417">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Accordingly, plant-room repairs, maintenance and replacement costs are not costs which the landlord is entitled to charge exclusively to residential leaseholders. They are building-wide expenses that must be shared with the retail unit, as a direct beneficiary of the central systems. The fact that plant-room costs are apportioned to the retail space in some accounts supports this.</w:t>
      </w:r>
    </w:p>
    <w:p w14:paraId="14071715"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Under section 19 of the Landlord and Tenant Act 1985, service charges are only recoverable “to the extent that they are reasonably incurred” and only if works and services are of a reasonable standard. Any profit margin or duplicated cost – for example, recovering plant-room expenditure both through Clever Energy tariffs and again through the service charge – is not a recoverable “relevant cost”.</w:t>
      </w:r>
    </w:p>
    <w:p w14:paraId="6F0D354D"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Section 27A of the 1985 Act gives this Tribunal jurisdiction to determine whether a service charge is payable and, if so, in what amount and by whom. I invite the Tribunal to exercise that jurisdiction in relation to the communal gas, heating, hot-water and cooling charges at 8 Artillery Row.</w:t>
      </w:r>
    </w:p>
    <w:p w14:paraId="68C2BF69"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I also understand that, under the Heat Network (Metering and Billing) Regulations 2014, the freeholder is treated as the “heat supplier” where it operates a communal heat network and bills the final customers (leaseholders). Where meters are fitted, bills must be based on actual consumption, and the supplier’s costs of providing bills and billing information may only be passed on at cost, with no profit element.</w:t>
      </w:r>
    </w:p>
    <w:p w14:paraId="12360354"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In my view, the current arrangements at 8 Artillery Row do not comply with those principles. The tariffs bear no transparent relationship to the actual gas costs; there is a substantial unexplained margin; billing and admin fees are layered on top of existing management fees; and key reconciliation documents have been withheld.</w:t>
      </w:r>
    </w:p>
    <w:p w14:paraId="3D2A5B5F"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proofErr w:type="gramStart"/>
      <w:r w:rsidRPr="002D214D">
        <w:rPr>
          <w:rFonts w:ascii="Arial" w:hAnsi="Arial" w:cs="Arial"/>
          <w:kern w:val="0"/>
          <w:sz w:val="22"/>
          <w:szCs w:val="22"/>
          <w14:ligatures w14:val="none"/>
        </w:rPr>
        <w:t>In light of</w:t>
      </w:r>
      <w:proofErr w:type="gramEnd"/>
      <w:r w:rsidRPr="002D214D">
        <w:rPr>
          <w:rFonts w:ascii="Arial" w:hAnsi="Arial" w:cs="Arial"/>
          <w:kern w:val="0"/>
          <w:sz w:val="22"/>
          <w:szCs w:val="22"/>
          <w14:ligatures w14:val="none"/>
        </w:rPr>
        <w:t xml:space="preserve"> the above, I invite the Tribunal to:</w:t>
      </w:r>
    </w:p>
    <w:p w14:paraId="1D002BA6" w14:textId="77777777" w:rsidR="002730D1" w:rsidRPr="002D214D" w:rsidRDefault="002730D1" w:rsidP="00AA140A">
      <w:pPr>
        <w:spacing w:before="100" w:beforeAutospacing="1" w:after="100" w:afterAutospacing="1" w:line="240" w:lineRule="auto"/>
        <w:ind w:left="720"/>
        <w:jc w:val="both"/>
        <w:rPr>
          <w:rFonts w:ascii="Arial" w:hAnsi="Arial" w:cs="Arial"/>
          <w:kern w:val="0"/>
          <w:sz w:val="22"/>
          <w:szCs w:val="22"/>
          <w14:ligatures w14:val="none"/>
        </w:rPr>
      </w:pPr>
      <w:r w:rsidRPr="002D214D">
        <w:rPr>
          <w:rFonts w:ascii="Arial" w:hAnsi="Arial" w:cs="Arial"/>
          <w:kern w:val="0"/>
          <w:sz w:val="22"/>
          <w:szCs w:val="22"/>
          <w14:ligatures w14:val="none"/>
        </w:rPr>
        <w:lastRenderedPageBreak/>
        <w:t xml:space="preserve">(a) determine whether the tariffs and standing charges imposed on residents represent a reasonable recovery of Avon’s actual costs of fuel, plant operation and necessary administration, or whether Avon has been making an unlawful profit. To assist, I attach a spreadsheet calculation at Exhibit </w:t>
      </w:r>
      <w:proofErr w:type="gramStart"/>
      <w:r w:rsidRPr="002D214D">
        <w:rPr>
          <w:rFonts w:ascii="Arial" w:hAnsi="Arial" w:cs="Arial"/>
          <w:kern w:val="0"/>
          <w:sz w:val="22"/>
          <w:szCs w:val="22"/>
          <w14:ligatures w14:val="none"/>
        </w:rPr>
        <w:t>[ ]</w:t>
      </w:r>
      <w:proofErr w:type="gramEnd"/>
      <w:r w:rsidRPr="002D214D">
        <w:rPr>
          <w:rFonts w:ascii="Arial" w:hAnsi="Arial" w:cs="Arial"/>
          <w:kern w:val="0"/>
          <w:sz w:val="22"/>
          <w:szCs w:val="22"/>
          <w14:ligatures w14:val="none"/>
        </w:rPr>
        <w:t xml:space="preserve"> showing our </w:t>
      </w:r>
      <w:proofErr w:type="gramStart"/>
      <w:r w:rsidRPr="002D214D">
        <w:rPr>
          <w:rFonts w:ascii="Arial" w:hAnsi="Arial" w:cs="Arial"/>
          <w:kern w:val="0"/>
          <w:sz w:val="22"/>
          <w:szCs w:val="22"/>
          <w14:ligatures w14:val="none"/>
        </w:rPr>
        <w:t>workings;</w:t>
      </w:r>
      <w:proofErr w:type="gramEnd"/>
    </w:p>
    <w:p w14:paraId="2A973481" w14:textId="77777777" w:rsidR="002730D1" w:rsidRPr="002D214D" w:rsidRDefault="002730D1" w:rsidP="00AA140A">
      <w:pPr>
        <w:spacing w:before="100" w:beforeAutospacing="1" w:after="100" w:afterAutospacing="1" w:line="240" w:lineRule="auto"/>
        <w:ind w:left="720"/>
        <w:jc w:val="both"/>
        <w:rPr>
          <w:rFonts w:ascii="Arial" w:hAnsi="Arial" w:cs="Arial"/>
          <w:kern w:val="0"/>
          <w:sz w:val="22"/>
          <w:szCs w:val="22"/>
          <w14:ligatures w14:val="none"/>
        </w:rPr>
      </w:pPr>
      <w:r w:rsidRPr="002D214D">
        <w:rPr>
          <w:rFonts w:ascii="Arial" w:hAnsi="Arial" w:cs="Arial"/>
          <w:kern w:val="0"/>
          <w:sz w:val="22"/>
          <w:szCs w:val="22"/>
          <w14:ligatures w14:val="none"/>
        </w:rPr>
        <w:t>(b) disallow, under section 19 of the Landlord and Tenant Act 1985, any element of the heating, hot-water and cooling charges that exceeds Avon’s proved actual costs of supply and reasonable plant operation, including any duplicated maintenance or administration costs; and</w:t>
      </w:r>
    </w:p>
    <w:p w14:paraId="05C6115C" w14:textId="77777777" w:rsidR="002730D1" w:rsidRPr="002D214D" w:rsidRDefault="002730D1" w:rsidP="00AA140A">
      <w:pPr>
        <w:spacing w:before="100" w:beforeAutospacing="1" w:after="100" w:afterAutospacing="1" w:line="240" w:lineRule="auto"/>
        <w:ind w:left="720"/>
        <w:jc w:val="both"/>
        <w:rPr>
          <w:rFonts w:ascii="Arial" w:hAnsi="Arial" w:cs="Arial"/>
          <w:kern w:val="0"/>
          <w:sz w:val="22"/>
          <w:szCs w:val="22"/>
          <w14:ligatures w14:val="none"/>
        </w:rPr>
      </w:pPr>
      <w:r w:rsidRPr="002D214D">
        <w:rPr>
          <w:rFonts w:ascii="Arial" w:hAnsi="Arial" w:cs="Arial"/>
          <w:kern w:val="0"/>
          <w:sz w:val="22"/>
          <w:szCs w:val="22"/>
          <w14:ligatures w14:val="none"/>
        </w:rPr>
        <w:t>(c) direct that any over-recovery or profit element identified in relation to communal heating, hot water and cooling be credited back to leaseholders through the service-charge accounts or otherwise refunded.</w:t>
      </w:r>
    </w:p>
    <w:p w14:paraId="1A949765"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Taken together, the Respondent’s conduct in (a) refusing to provide straightforward building-level income and credit schedules, (b) resisting disclosure of the monthly Clever Energy reconciliation statements to which it is contractually entitled, (c) limiting gas-cost disclosure to only two years, and (d) seeking to rely on its own billing agent as though it were an independent expert, has made it unnecessarily difficult for leaseholders to analyse whether the communal heating and cooling charges are reasonable. I invite the Tribunal to draw an adverse inference from these omissions and to scrutinise particularly carefully any claimed alignment between what Avon </w:t>
      </w:r>
      <w:proofErr w:type="gramStart"/>
      <w:r w:rsidRPr="002D214D">
        <w:rPr>
          <w:rFonts w:ascii="Arial" w:hAnsi="Arial" w:cs="Arial"/>
          <w:kern w:val="0"/>
          <w:sz w:val="22"/>
          <w:szCs w:val="22"/>
          <w14:ligatures w14:val="none"/>
        </w:rPr>
        <w:t>actually pays</w:t>
      </w:r>
      <w:proofErr w:type="gramEnd"/>
      <w:r w:rsidRPr="002D214D">
        <w:rPr>
          <w:rFonts w:ascii="Arial" w:hAnsi="Arial" w:cs="Arial"/>
          <w:kern w:val="0"/>
          <w:sz w:val="22"/>
          <w:szCs w:val="22"/>
          <w14:ligatures w14:val="none"/>
        </w:rPr>
        <w:t xml:space="preserve"> for gas and plant operation and what it recovers from leaseholders through Clever Energy tariffs and the service charge</w:t>
      </w:r>
    </w:p>
    <w:p w14:paraId="15BE1C97" w14:textId="1378C4BC" w:rsidR="00B27CE8" w:rsidRPr="002D214D" w:rsidRDefault="00A0404D" w:rsidP="00A0404D">
      <w:pPr>
        <w:spacing w:before="100" w:beforeAutospacing="1" w:after="100" w:afterAutospacing="1" w:line="240" w:lineRule="auto"/>
        <w:ind w:firstLine="360"/>
        <w:jc w:val="both"/>
        <w:rPr>
          <w:rFonts w:ascii="Arial" w:hAnsi="Arial" w:cs="Arial"/>
          <w:kern w:val="0"/>
          <w:sz w:val="22"/>
          <w:szCs w:val="22"/>
          <w14:ligatures w14:val="none"/>
        </w:rPr>
      </w:pPr>
      <w:r w:rsidRPr="002D214D">
        <w:rPr>
          <w:rFonts w:ascii="Arial" w:eastAsia="Times New Roman" w:hAnsi="Arial" w:cs="Arial"/>
          <w:noProof/>
          <w:kern w:val="0"/>
          <w:sz w:val="22"/>
          <w:szCs w:val="22"/>
          <w14:ligatures w14:val="none"/>
        </w:rPr>
        <mc:AlternateContent>
          <mc:Choice Requires="wps">
            <w:drawing>
              <wp:inline distT="0" distB="0" distL="0" distR="0" wp14:anchorId="1B2013C6" wp14:editId="38A3649A">
                <wp:extent cx="5278120" cy="1270"/>
                <wp:effectExtent l="0" t="31750" r="0" b="36830"/>
                <wp:docPr id="117965364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83FC24" id="Rectangle 1" o:spid="_x0000_s1026" style="width:415.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" filled="f">
                <o:lock v:ext="edit" aspectratio="t"/>
                <w10:anchorlock/>
              </v:rect>
            </w:pict>
          </mc:Fallback>
        </mc:AlternateContent>
      </w:r>
    </w:p>
    <w:p w14:paraId="5180AE2B" w14:textId="70FF85D4" w:rsidR="002730D1" w:rsidRPr="002D214D" w:rsidRDefault="002730D1" w:rsidP="00AA140A">
      <w:pPr>
        <w:spacing w:before="100" w:beforeAutospacing="1" w:after="100" w:afterAutospacing="1" w:line="240" w:lineRule="auto"/>
        <w:jc w:val="both"/>
        <w:rPr>
          <w:rFonts w:ascii="Arial" w:hAnsi="Arial" w:cs="Arial"/>
          <w:b/>
          <w:bCs/>
          <w:kern w:val="0"/>
          <w:sz w:val="22"/>
          <w:szCs w:val="22"/>
          <w14:ligatures w14:val="none"/>
        </w:rPr>
      </w:pPr>
      <w:r w:rsidRPr="002D214D">
        <w:rPr>
          <w:rFonts w:ascii="Arial" w:hAnsi="Arial" w:cs="Arial"/>
          <w:b/>
          <w:bCs/>
          <w:kern w:val="0"/>
          <w:sz w:val="22"/>
          <w:szCs w:val="22"/>
          <w14:ligatures w14:val="none"/>
        </w:rPr>
        <w:t>ELECTRICITY CHARGES - COMMUNAL</w:t>
      </w:r>
    </w:p>
    <w:p w14:paraId="50A69577"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lang w:val="en-US" w:eastAsia="en-US"/>
          <w14:ligatures w14:val="none"/>
        </w:rPr>
      </w:pPr>
      <w:r w:rsidRPr="002D214D">
        <w:rPr>
          <w:rFonts w:ascii="Arial" w:hAnsi="Arial" w:cs="Arial"/>
          <w:kern w:val="0"/>
          <w:sz w:val="22"/>
          <w:szCs w:val="22"/>
          <w:lang w:val="en-US" w:eastAsia="en-US"/>
          <w14:ligatures w14:val="none"/>
        </w:rPr>
        <w:t xml:space="preserve">This section concerns the communal electricity arrangements at 8 Artillery Row: the metering configuration, the role of the Meter Operator (“MOP”), the supplier contracts </w:t>
      </w:r>
      <w:proofErr w:type="gramStart"/>
      <w:r w:rsidRPr="002D214D">
        <w:rPr>
          <w:rFonts w:ascii="Arial" w:hAnsi="Arial" w:cs="Arial"/>
          <w:kern w:val="0"/>
          <w:sz w:val="22"/>
          <w:szCs w:val="22"/>
          <w:lang w:val="en-US" w:eastAsia="en-US"/>
          <w14:ligatures w14:val="none"/>
        </w:rPr>
        <w:t>entered into</w:t>
      </w:r>
      <w:proofErr w:type="gramEnd"/>
      <w:r w:rsidRPr="002D214D">
        <w:rPr>
          <w:rFonts w:ascii="Arial" w:hAnsi="Arial" w:cs="Arial"/>
          <w:kern w:val="0"/>
          <w:sz w:val="22"/>
          <w:szCs w:val="22"/>
          <w:lang w:val="en-US" w:eastAsia="en-US"/>
          <w14:ligatures w14:val="none"/>
        </w:rPr>
        <w:t xml:space="preserve"> by the Respondent, and the very high electricity charges that have been passed on to leaseholders via the service charge.</w:t>
      </w:r>
    </w:p>
    <w:p w14:paraId="21C0DB03" w14:textId="77777777" w:rsidR="002730D1" w:rsidRPr="002D214D" w:rsidRDefault="002730D1" w:rsidP="00AA140A">
      <w:pPr>
        <w:spacing w:before="100" w:beforeAutospacing="1" w:after="100" w:afterAutospacing="1" w:line="240" w:lineRule="auto"/>
        <w:ind w:left="720"/>
        <w:jc w:val="both"/>
        <w:rPr>
          <w:rFonts w:ascii="Arial" w:hAnsi="Arial" w:cs="Arial"/>
          <w:kern w:val="0"/>
          <w:sz w:val="22"/>
          <w:szCs w:val="22"/>
          <w14:ligatures w14:val="none"/>
        </w:rPr>
      </w:pPr>
    </w:p>
    <w:p w14:paraId="2B6B990C" w14:textId="46C8573C"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To assist the Tribunal, I rely </w:t>
      </w:r>
      <w:proofErr w:type="gramStart"/>
      <w:r w:rsidRPr="002D214D">
        <w:rPr>
          <w:rFonts w:ascii="Arial" w:hAnsi="Arial" w:cs="Arial"/>
          <w:kern w:val="0"/>
          <w:sz w:val="22"/>
          <w:szCs w:val="22"/>
          <w14:ligatures w14:val="none"/>
        </w:rPr>
        <w:t>in particular on</w:t>
      </w:r>
      <w:proofErr w:type="gramEnd"/>
      <w:r w:rsidRPr="002D214D">
        <w:rPr>
          <w:rFonts w:ascii="Arial" w:hAnsi="Arial" w:cs="Arial"/>
          <w:kern w:val="0"/>
          <w:sz w:val="22"/>
          <w:szCs w:val="22"/>
          <w14:ligatures w14:val="none"/>
        </w:rPr>
        <w:t xml:space="preserve"> a graph showing the increase in electricity costs over time</w:t>
      </w:r>
      <w:r w:rsidR="00D26468">
        <w:rPr>
          <w:rFonts w:ascii="Arial" w:hAnsi="Arial" w:cs="Arial"/>
          <w:kern w:val="0"/>
          <w:sz w:val="22"/>
          <w:szCs w:val="22"/>
          <w14:ligatures w14:val="none"/>
        </w:rPr>
        <w:t xml:space="preserve"> </w:t>
      </w:r>
      <w:r w:rsidRPr="002D214D">
        <w:rPr>
          <w:rFonts w:ascii="Arial" w:hAnsi="Arial" w:cs="Arial"/>
          <w:kern w:val="0"/>
          <w:sz w:val="22"/>
          <w:szCs w:val="22"/>
          <w14:ligatures w14:val="none"/>
        </w:rPr>
        <w:t xml:space="preserve">and </w:t>
      </w:r>
      <w:r w:rsidR="00D26468">
        <w:rPr>
          <w:rFonts w:ascii="Arial" w:hAnsi="Arial" w:cs="Arial"/>
          <w:kern w:val="0"/>
          <w:sz w:val="22"/>
          <w:szCs w:val="22"/>
          <w14:ligatures w14:val="none"/>
        </w:rPr>
        <w:t xml:space="preserve">a </w:t>
      </w:r>
      <w:r w:rsidRPr="002D214D">
        <w:rPr>
          <w:rFonts w:ascii="Arial" w:hAnsi="Arial" w:cs="Arial"/>
          <w:kern w:val="0"/>
          <w:sz w:val="22"/>
          <w:szCs w:val="22"/>
          <w14:ligatures w14:val="none"/>
        </w:rPr>
        <w:t xml:space="preserve">schedule comparing government data on historic non-domestic electricity prices with the rates </w:t>
      </w:r>
      <w:proofErr w:type="gramStart"/>
      <w:r w:rsidRPr="002D214D">
        <w:rPr>
          <w:rFonts w:ascii="Arial" w:hAnsi="Arial" w:cs="Arial"/>
          <w:kern w:val="0"/>
          <w:sz w:val="22"/>
          <w:szCs w:val="22"/>
          <w14:ligatures w14:val="none"/>
        </w:rPr>
        <w:t>actually secured</w:t>
      </w:r>
      <w:proofErr w:type="gramEnd"/>
      <w:r w:rsidRPr="002D214D">
        <w:rPr>
          <w:rFonts w:ascii="Arial" w:hAnsi="Arial" w:cs="Arial"/>
          <w:kern w:val="0"/>
          <w:sz w:val="22"/>
          <w:szCs w:val="22"/>
          <w14:ligatures w14:val="none"/>
        </w:rPr>
        <w:t xml:space="preserve"> by the Respondent for 8 Artillery Row </w:t>
      </w:r>
      <w:r w:rsidRPr="002D214D">
        <w:rPr>
          <w:rFonts w:ascii="Arial" w:hAnsi="Arial" w:cs="Arial"/>
          <w:b/>
          <w:bCs/>
          <w:kern w:val="0"/>
          <w:sz w:val="22"/>
          <w:szCs w:val="22"/>
          <w14:ligatures w14:val="none"/>
        </w:rPr>
        <w:t xml:space="preserve">(exhibit KH2 page </w:t>
      </w:r>
      <w:r w:rsidR="00D26468">
        <w:rPr>
          <w:rFonts w:ascii="Arial" w:hAnsi="Arial" w:cs="Arial"/>
          <w:b/>
          <w:bCs/>
          <w:kern w:val="0"/>
          <w:sz w:val="22"/>
          <w:szCs w:val="22"/>
          <w14:ligatures w14:val="none"/>
        </w:rPr>
        <w:t>691</w:t>
      </w:r>
      <w:r w:rsidRPr="002D214D">
        <w:rPr>
          <w:rFonts w:ascii="Arial" w:hAnsi="Arial" w:cs="Arial"/>
          <w:b/>
          <w:bCs/>
          <w:kern w:val="0"/>
          <w:sz w:val="22"/>
          <w:szCs w:val="22"/>
          <w14:ligatures w14:val="none"/>
        </w:rPr>
        <w:t>-</w:t>
      </w:r>
      <w:r w:rsidR="00D26468">
        <w:rPr>
          <w:rFonts w:ascii="Arial" w:hAnsi="Arial" w:cs="Arial"/>
          <w:b/>
          <w:bCs/>
          <w:kern w:val="0"/>
          <w:sz w:val="22"/>
          <w:szCs w:val="22"/>
          <w14:ligatures w14:val="none"/>
        </w:rPr>
        <w:t>695</w:t>
      </w:r>
      <w:r w:rsidRPr="002D214D">
        <w:rPr>
          <w:rFonts w:ascii="Arial" w:hAnsi="Arial" w:cs="Arial"/>
          <w:b/>
          <w:bCs/>
          <w:kern w:val="0"/>
          <w:sz w:val="22"/>
          <w:szCs w:val="22"/>
          <w14:ligatures w14:val="none"/>
        </w:rPr>
        <w:t>)</w:t>
      </w:r>
    </w:p>
    <w:p w14:paraId="59DB19A1" w14:textId="77777777" w:rsidR="002730D1" w:rsidRPr="002D214D" w:rsidRDefault="002730D1" w:rsidP="00AA140A">
      <w:p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Metering configuration and the “landlord” meter</w:t>
      </w:r>
    </w:p>
    <w:p w14:paraId="45731F23" w14:textId="77777777" w:rsidR="002730D1" w:rsidRPr="002D214D" w:rsidRDefault="002730D1" w:rsidP="00AA140A">
      <w:pPr>
        <w:numPr>
          <w:ilvl w:val="0"/>
          <w:numId w:val="7"/>
        </w:numPr>
        <w:spacing w:before="100" w:beforeAutospacing="1" w:after="100" w:afterAutospacing="1" w:line="240" w:lineRule="auto"/>
        <w:jc w:val="both"/>
        <w:rPr>
          <w:rFonts w:ascii="Arial" w:hAnsi="Arial" w:cs="Arial"/>
          <w:kern w:val="0"/>
          <w:sz w:val="22"/>
          <w:szCs w:val="22"/>
          <w14:ligatures w14:val="none"/>
        </w:rPr>
      </w:pPr>
      <w:r w:rsidRPr="002D214D">
        <w:rPr>
          <w:rFonts w:ascii="Arial" w:hAnsi="Arial" w:cs="Arial"/>
          <w:kern w:val="0"/>
          <w:sz w:val="22"/>
          <w:szCs w:val="22"/>
          <w14:ligatures w14:val="none"/>
        </w:rPr>
        <w:t>The building has a main incoming three-phase supply and a series of sub-mains and distribution boards serving the apartments, plant room, dry coolers, chillers, pumps, lifts, landlord lighting, concierge and other communal systems. On a three-phase system, consumption is measured via three current transformer (“CT”) clamps.</w:t>
      </w:r>
    </w:p>
    <w:p w14:paraId="6C7E5FE6"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 A CT clamp is a device used to measure electrical current on large power cables without cutting or interrupting them. It is a ring-shaped transformer clipped around a live conductor; the magnetic field produced by the current in the cable induces a much smaller proportional current in the secondary winding of the CT. That secondary current is then fed into the meter, which converts it (together with measured voltage and time) into kWh consumption. In simple terms: the main cable carries the “real” </w:t>
      </w:r>
      <w:r w:rsidRPr="002D214D">
        <w:rPr>
          <w:rFonts w:ascii="Arial" w:hAnsi="Arial" w:cs="Arial"/>
          <w:kern w:val="0"/>
          <w:sz w:val="22"/>
          <w:szCs w:val="22"/>
          <w14:ligatures w14:val="none"/>
        </w:rPr>
        <w:lastRenderedPageBreak/>
        <w:t>load, and the CT clamp acts as a scaled-down copy of that current for the meter to read.</w:t>
      </w:r>
    </w:p>
    <w:p w14:paraId="4731E0C2" w14:textId="333F1C5A"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 As shown at exhibit </w:t>
      </w:r>
      <w:r w:rsidRPr="002D214D">
        <w:rPr>
          <w:rFonts w:ascii="Arial" w:hAnsi="Arial" w:cs="Arial"/>
          <w:b/>
          <w:bCs/>
          <w:kern w:val="0"/>
          <w:sz w:val="22"/>
          <w:szCs w:val="22"/>
          <w14:ligatures w14:val="none"/>
        </w:rPr>
        <w:t xml:space="preserve">(exhibit KH2 page </w:t>
      </w:r>
      <w:r w:rsidR="00D26468">
        <w:rPr>
          <w:rFonts w:ascii="Arial" w:hAnsi="Arial" w:cs="Arial"/>
          <w:b/>
          <w:bCs/>
          <w:kern w:val="0"/>
          <w:sz w:val="22"/>
          <w:szCs w:val="22"/>
          <w14:ligatures w14:val="none"/>
        </w:rPr>
        <w:t>696</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 in one corner of the car park there is the main incoming cable from the transformer chamber (operated by UK Power Networks), where the supplier’s main meter for MPAN 120010050687 is located</w:t>
      </w:r>
      <w:r w:rsidR="00D26468">
        <w:rPr>
          <w:rFonts w:ascii="Arial" w:hAnsi="Arial" w:cs="Arial"/>
          <w:kern w:val="0"/>
          <w:sz w:val="22"/>
          <w:szCs w:val="22"/>
          <w14:ligatures w14:val="none"/>
        </w:rPr>
        <w:t xml:space="preserve"> also shown on a photo </w:t>
      </w:r>
      <w:r w:rsidR="00D26468">
        <w:rPr>
          <w:rFonts w:ascii="Arial" w:hAnsi="Arial" w:cs="Arial"/>
          <w:b/>
          <w:bCs/>
          <w:kern w:val="0"/>
          <w:sz w:val="22"/>
          <w:szCs w:val="22"/>
          <w14:ligatures w14:val="none"/>
        </w:rPr>
        <w:t>exhibit KH2 pages 699, 701 and 702)</w:t>
      </w:r>
      <w:r w:rsidRPr="002D214D">
        <w:rPr>
          <w:rFonts w:ascii="Arial" w:hAnsi="Arial" w:cs="Arial"/>
          <w:kern w:val="0"/>
          <w:sz w:val="22"/>
          <w:szCs w:val="22"/>
          <w14:ligatures w14:val="none"/>
        </w:rPr>
        <w:t>. From there, substantial cables feed a bank of distribution boards on the opposite side of the car park</w:t>
      </w:r>
      <w:r w:rsidR="00D26468">
        <w:rPr>
          <w:rFonts w:ascii="Arial" w:hAnsi="Arial" w:cs="Arial"/>
          <w:kern w:val="0"/>
          <w:sz w:val="22"/>
          <w:szCs w:val="22"/>
          <w14:ligatures w14:val="none"/>
        </w:rPr>
        <w:t xml:space="preserve"> also shown in photos as per </w:t>
      </w:r>
      <w:r w:rsidR="00D26468">
        <w:rPr>
          <w:rFonts w:ascii="Arial" w:hAnsi="Arial" w:cs="Arial"/>
          <w:b/>
          <w:bCs/>
          <w:kern w:val="0"/>
          <w:sz w:val="22"/>
          <w:szCs w:val="22"/>
          <w14:ligatures w14:val="none"/>
        </w:rPr>
        <w:t>exhibit KH2 pages 697,698,700</w:t>
      </w:r>
      <w:r w:rsidRPr="002D214D">
        <w:rPr>
          <w:rFonts w:ascii="Arial" w:hAnsi="Arial" w:cs="Arial"/>
          <w:kern w:val="0"/>
          <w:sz w:val="22"/>
          <w:szCs w:val="22"/>
          <w14:ligatures w14:val="none"/>
        </w:rPr>
        <w:t>. Those boards include the apartment feeders, each with its own individual MPAN meter for the flats.</w:t>
      </w:r>
    </w:p>
    <w:p w14:paraId="5F884306" w14:textId="12408F93"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 From the apartment boards, a further set of three cables feeds the landlord’s distribution board further along the same wall</w:t>
      </w:r>
      <w:r w:rsidR="00D26468">
        <w:rPr>
          <w:rFonts w:ascii="Arial" w:hAnsi="Arial" w:cs="Arial"/>
          <w:kern w:val="0"/>
          <w:sz w:val="22"/>
          <w:szCs w:val="22"/>
          <w14:ligatures w14:val="none"/>
        </w:rPr>
        <w:t xml:space="preserve"> as per photo </w:t>
      </w:r>
      <w:r w:rsidR="00D26468">
        <w:rPr>
          <w:rFonts w:ascii="Arial" w:hAnsi="Arial" w:cs="Arial"/>
          <w:b/>
          <w:bCs/>
          <w:kern w:val="0"/>
          <w:sz w:val="22"/>
          <w:szCs w:val="22"/>
          <w14:ligatures w14:val="none"/>
        </w:rPr>
        <w:t>exhibit KH2 page 708.</w:t>
      </w:r>
      <w:r w:rsidRPr="002D214D">
        <w:rPr>
          <w:rFonts w:ascii="Arial" w:hAnsi="Arial" w:cs="Arial"/>
          <w:kern w:val="0"/>
          <w:sz w:val="22"/>
          <w:szCs w:val="22"/>
          <w14:ligatures w14:val="none"/>
        </w:rPr>
        <w:t xml:space="preserve"> In this larger cupboard there are several smaller enclosures, one clearly labelled “Landlord Meter”</w:t>
      </w:r>
      <w:r w:rsidR="002F4D1E">
        <w:rPr>
          <w:rFonts w:ascii="Arial" w:hAnsi="Arial" w:cs="Arial"/>
          <w:kern w:val="0"/>
          <w:sz w:val="22"/>
          <w:szCs w:val="22"/>
          <w14:ligatures w14:val="none"/>
        </w:rPr>
        <w:t xml:space="preserve"> as per photo in </w:t>
      </w:r>
      <w:r w:rsidR="002F4D1E">
        <w:rPr>
          <w:rFonts w:ascii="Arial" w:hAnsi="Arial" w:cs="Arial"/>
          <w:b/>
          <w:bCs/>
          <w:kern w:val="0"/>
          <w:sz w:val="22"/>
          <w:szCs w:val="22"/>
          <w14:ligatures w14:val="none"/>
        </w:rPr>
        <w:t>exhibit KH2 page 719</w:t>
      </w:r>
      <w:r w:rsidRPr="002D214D">
        <w:rPr>
          <w:rFonts w:ascii="Arial" w:hAnsi="Arial" w:cs="Arial"/>
          <w:kern w:val="0"/>
          <w:sz w:val="22"/>
          <w:szCs w:val="22"/>
          <w14:ligatures w14:val="none"/>
        </w:rPr>
        <w:t xml:space="preserve">. Inside that cabinet there are three CT clamps fitted around the three landlord feeder cables, with wiring run directly into the landlord’s meter mounted immediately above. These CTs </w:t>
      </w:r>
      <w:r w:rsidR="00596077">
        <w:rPr>
          <w:rFonts w:ascii="Arial" w:hAnsi="Arial" w:cs="Arial"/>
          <w:b/>
          <w:bCs/>
          <w:kern w:val="0"/>
          <w:sz w:val="22"/>
          <w:szCs w:val="22"/>
          <w14:ligatures w14:val="none"/>
        </w:rPr>
        <w:t>(</w:t>
      </w:r>
      <w:r w:rsidR="00F73F6E">
        <w:rPr>
          <w:rFonts w:ascii="Arial" w:hAnsi="Arial" w:cs="Arial"/>
          <w:b/>
          <w:bCs/>
          <w:kern w:val="0"/>
          <w:sz w:val="22"/>
          <w:szCs w:val="22"/>
          <w14:ligatures w14:val="none"/>
        </w:rPr>
        <w:t>ex</w:t>
      </w:r>
      <w:r w:rsidR="002F4D1E">
        <w:rPr>
          <w:rFonts w:ascii="Arial" w:hAnsi="Arial" w:cs="Arial"/>
          <w:b/>
          <w:bCs/>
          <w:kern w:val="0"/>
          <w:sz w:val="22"/>
          <w:szCs w:val="22"/>
          <w14:ligatures w14:val="none"/>
        </w:rPr>
        <w:t>hibit KH2 pages 706, 707, 708, 710, 711, 715, 717, 718 and 720</w:t>
      </w:r>
      <w:r w:rsidR="00F73F6E">
        <w:rPr>
          <w:rFonts w:ascii="Arial" w:hAnsi="Arial" w:cs="Arial"/>
          <w:b/>
          <w:bCs/>
          <w:kern w:val="0"/>
          <w:sz w:val="22"/>
          <w:szCs w:val="22"/>
          <w14:ligatures w14:val="none"/>
        </w:rPr>
        <w:t xml:space="preserve">) </w:t>
      </w:r>
      <w:r w:rsidRPr="002D214D">
        <w:rPr>
          <w:rFonts w:ascii="Arial" w:hAnsi="Arial" w:cs="Arial"/>
          <w:kern w:val="0"/>
          <w:sz w:val="22"/>
          <w:szCs w:val="22"/>
          <w14:ligatures w14:val="none"/>
        </w:rPr>
        <w:t xml:space="preserve">measure the consumption of the landlord’s distribution board – namely the communal and plant loads (car-park lighting, plant room, chillers, dry coolers, pumps, lifts, etc.). Photographs of this cupboard, </w:t>
      </w:r>
      <w:r w:rsidR="00300E23">
        <w:rPr>
          <w:rFonts w:ascii="Arial" w:hAnsi="Arial" w:cs="Arial"/>
          <w:kern w:val="0"/>
          <w:sz w:val="22"/>
          <w:szCs w:val="22"/>
          <w14:ligatures w14:val="none"/>
        </w:rPr>
        <w:t xml:space="preserve">distribution board, </w:t>
      </w:r>
      <w:r w:rsidR="00F73F6E">
        <w:rPr>
          <w:rFonts w:ascii="Arial" w:hAnsi="Arial" w:cs="Arial"/>
          <w:kern w:val="0"/>
          <w:sz w:val="22"/>
          <w:szCs w:val="22"/>
          <w14:ligatures w14:val="none"/>
        </w:rPr>
        <w:t xml:space="preserve">the cables </w:t>
      </w:r>
      <w:r w:rsidR="00300E23">
        <w:rPr>
          <w:rFonts w:ascii="Arial" w:hAnsi="Arial" w:cs="Arial"/>
          <w:kern w:val="0"/>
          <w:sz w:val="22"/>
          <w:szCs w:val="22"/>
          <w14:ligatures w14:val="none"/>
        </w:rPr>
        <w:t xml:space="preserve">supplying various landlord equipment, </w:t>
      </w:r>
      <w:r w:rsidRPr="002D214D">
        <w:rPr>
          <w:rFonts w:ascii="Arial" w:hAnsi="Arial" w:cs="Arial"/>
          <w:kern w:val="0"/>
          <w:sz w:val="22"/>
          <w:szCs w:val="22"/>
          <w14:ligatures w14:val="none"/>
        </w:rPr>
        <w:t xml:space="preserve">the CT clamps and the associated meter display appear at exhibit </w:t>
      </w:r>
      <w:r w:rsidRPr="002D214D">
        <w:rPr>
          <w:rFonts w:ascii="Arial" w:hAnsi="Arial" w:cs="Arial"/>
          <w:b/>
          <w:bCs/>
          <w:kern w:val="0"/>
          <w:sz w:val="22"/>
          <w:szCs w:val="22"/>
          <w14:ligatures w14:val="none"/>
        </w:rPr>
        <w:t>(exhibit KH2 page</w:t>
      </w:r>
      <w:r w:rsidR="002F4D1E">
        <w:rPr>
          <w:rFonts w:ascii="Arial" w:hAnsi="Arial" w:cs="Arial"/>
          <w:b/>
          <w:bCs/>
          <w:kern w:val="0"/>
          <w:sz w:val="22"/>
          <w:szCs w:val="22"/>
          <w14:ligatures w14:val="none"/>
        </w:rPr>
        <w:t>s 703-728</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w:t>
      </w:r>
    </w:p>
    <w:p w14:paraId="09802123"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 In other words, there is a dedicated landlord-only metering arrangement located adjacent to the landlord distribution board, using CTs mounted on the landlord feeders and wired directly into the landlord’s meter. If the combined heat and power (“CHP”) unit were operating, any electricity it generated and fed into the landlord distribution board would also be recorded here. This configuration makes technical sense: the landlord meter is co-located with, and directly measures, the landlord’s own distribution board.</w:t>
      </w:r>
    </w:p>
    <w:p w14:paraId="1383FB08" w14:textId="2F97D294"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By contrast, the supplier’s main meter on MPAN 120010050687 </w:t>
      </w:r>
      <w:r w:rsidR="002F4D1E">
        <w:rPr>
          <w:rFonts w:ascii="Arial" w:hAnsi="Arial" w:cs="Arial"/>
          <w:b/>
          <w:bCs/>
          <w:kern w:val="0"/>
          <w:sz w:val="22"/>
          <w:szCs w:val="22"/>
          <w14:ligatures w14:val="none"/>
        </w:rPr>
        <w:t>ADD PHOTOS??</w:t>
      </w:r>
      <w:r w:rsidRPr="002D214D">
        <w:rPr>
          <w:rFonts w:ascii="Arial" w:hAnsi="Arial" w:cs="Arial"/>
          <w:kern w:val="0"/>
          <w:sz w:val="22"/>
          <w:szCs w:val="22"/>
          <w14:ligatures w14:val="none"/>
        </w:rPr>
        <w:t>is located at the opposite end of the car park, physically upstream of the apartment and landlord distribution boards. On any common-sense engineering view, there is no reason why a meter in that location should be treated as measuring exclusively “landlord” consumption when it is positioned before the split between apartment boards and communal boards. No competent electrical engineer would normally design a system where the landlord-only meter is on the far side of the car park, with communal cables criss-crossing back to it, when a dedicated landlord meter and CTs are already installed on the landlord distribution board itself.</w:t>
      </w:r>
    </w:p>
    <w:p w14:paraId="4942280A"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presence of a dedicated landlord meter and CT clamps on the landlord feeders confirms that there is full technical capacity to distinguish communal/plant consumption from the wider building load. It is therefore neither necessary nor reasonable to treat the main intake meter on MPAN 120010050687 as if </w:t>
      </w:r>
      <w:proofErr w:type="gramStart"/>
      <w:r w:rsidRPr="002D214D">
        <w:rPr>
          <w:rFonts w:ascii="Arial" w:hAnsi="Arial" w:cs="Arial"/>
          <w:kern w:val="0"/>
          <w:sz w:val="22"/>
          <w:szCs w:val="22"/>
          <w14:ligatures w14:val="none"/>
        </w:rPr>
        <w:t>all of</w:t>
      </w:r>
      <w:proofErr w:type="gramEnd"/>
      <w:r w:rsidRPr="002D214D">
        <w:rPr>
          <w:rFonts w:ascii="Arial" w:hAnsi="Arial" w:cs="Arial"/>
          <w:kern w:val="0"/>
          <w:sz w:val="22"/>
          <w:szCs w:val="22"/>
          <w14:ligatures w14:val="none"/>
        </w:rPr>
        <w:t xml:space="preserve"> its kWh were purely “communal” for service-charge purposes.</w:t>
      </w:r>
    </w:p>
    <w:p w14:paraId="0A06E213" w14:textId="77777777" w:rsidR="002730D1" w:rsidRPr="002D214D" w:rsidRDefault="002730D1" w:rsidP="00AD1DE9">
      <w:pPr>
        <w:spacing w:after="0" w:line="240" w:lineRule="auto"/>
        <w:ind w:left="720"/>
        <w:contextualSpacing/>
        <w:jc w:val="both"/>
        <w:rPr>
          <w:rFonts w:ascii="Arial" w:hAnsi="Arial" w:cs="Arial"/>
          <w:kern w:val="0"/>
          <w:sz w:val="22"/>
          <w:szCs w:val="22"/>
          <w14:ligatures w14:val="none"/>
        </w:rPr>
      </w:pPr>
    </w:p>
    <w:p w14:paraId="451BAF98" w14:textId="77777777" w:rsidR="002730D1" w:rsidRPr="002D214D" w:rsidRDefault="002730D1" w:rsidP="00AD1DE9">
      <w:pPr>
        <w:spacing w:after="0" w:line="240" w:lineRule="auto"/>
        <w:ind w:left="720"/>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Supplier contracts and scale of costs</w:t>
      </w:r>
    </w:p>
    <w:p w14:paraId="3AB0B99C" w14:textId="77777777" w:rsidR="00AD1DE9" w:rsidRPr="002D214D" w:rsidRDefault="00AD1DE9" w:rsidP="00AD1DE9">
      <w:pPr>
        <w:spacing w:after="0" w:line="240" w:lineRule="auto"/>
        <w:contextualSpacing/>
        <w:jc w:val="both"/>
        <w:rPr>
          <w:rFonts w:ascii="Arial" w:hAnsi="Arial" w:cs="Arial"/>
          <w:kern w:val="0"/>
          <w:sz w:val="22"/>
          <w:szCs w:val="22"/>
          <w14:ligatures w14:val="none"/>
        </w:rPr>
      </w:pPr>
    </w:p>
    <w:p w14:paraId="522C3901"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From 2017 onwards the main building-intake supply has been held, in sequence, with: Scottish Power (1 November 2017 – 31 May 2018); Brook Green Trading (1 June 2018 – 30 September 2019); EDF (1 October 2019 – 31 December 2022); </w:t>
      </w:r>
      <w:proofErr w:type="spellStart"/>
      <w:r w:rsidRPr="002D214D">
        <w:rPr>
          <w:rFonts w:ascii="Arial" w:hAnsi="Arial" w:cs="Arial"/>
          <w:kern w:val="0"/>
          <w:sz w:val="22"/>
          <w:szCs w:val="22"/>
          <w14:ligatures w14:val="none"/>
        </w:rPr>
        <w:t>Pozitive</w:t>
      </w:r>
      <w:proofErr w:type="spellEnd"/>
      <w:r w:rsidRPr="002D214D">
        <w:rPr>
          <w:rFonts w:ascii="Arial" w:hAnsi="Arial" w:cs="Arial"/>
          <w:kern w:val="0"/>
          <w:sz w:val="22"/>
          <w:szCs w:val="22"/>
          <w14:ligatures w14:val="none"/>
        </w:rPr>
        <w:t xml:space="preserve"> Energy (1 January 2023 – 4 November 2024); and Digital Power (from 5 November 2024 onwards).</w:t>
      </w:r>
    </w:p>
    <w:p w14:paraId="0593AC97"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The building-level reconciliations for 2023 and 2024 show total electricity costs for the main meter of approximately £178,000 in 2023 (inclusive of the Energy Bill Relief Scheme (“EBRS”) support and before netting off the government subsidy) and £128,000 in 2024. Of the 2023 figure, roughly £97,000 was recharged to leaseholders and approximately £71,000 was met by government subsidy.</w:t>
      </w:r>
    </w:p>
    <w:p w14:paraId="0D50CC70"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lastRenderedPageBreak/>
        <w:t>By comparison, the benchmark communal-electricity cost in 2015/2016 was around £11,000 per year, at a time when the same core communal plant (lifts, pumps, chillers, lighting, concierge) was in operation. No significant new communal load has been added since. It is therefore extraordinary that supposed “communal” electricity charges should now be approaching twenty times the 2015/2016 level.</w:t>
      </w:r>
    </w:p>
    <w:p w14:paraId="6FBFA546" w14:textId="31BC7F02" w:rsidR="002730D1" w:rsidRPr="008121B3" w:rsidRDefault="002730D1" w:rsidP="00AA140A">
      <w:pPr>
        <w:numPr>
          <w:ilvl w:val="0"/>
          <w:numId w:val="7"/>
        </w:numPr>
        <w:spacing w:after="0" w:line="240" w:lineRule="auto"/>
        <w:contextualSpacing/>
        <w:jc w:val="both"/>
        <w:rPr>
          <w:rFonts w:ascii="Arial" w:hAnsi="Arial" w:cs="Arial"/>
          <w:b/>
          <w:bCs/>
          <w:kern w:val="0"/>
          <w:sz w:val="22"/>
          <w:szCs w:val="22"/>
          <w14:ligatures w14:val="none"/>
        </w:rPr>
      </w:pPr>
      <w:r w:rsidRPr="002D214D">
        <w:rPr>
          <w:rFonts w:ascii="Arial" w:hAnsi="Arial" w:cs="Arial"/>
          <w:kern w:val="0"/>
          <w:sz w:val="22"/>
          <w:szCs w:val="22"/>
          <w14:ligatures w14:val="none"/>
        </w:rPr>
        <w:t xml:space="preserve">The Respondent is an experienced purchaser of electricity. An EDF portfolio contract disclosed for 2020 shows Avon or its associated companies contracting for at least 24 sites in a single tranche, with a combined annual electricity spend of around £73,000 for those 24 sites. In that context, the fact that a single meter at 8 Artillery Row alone was quoted and contracted at approximately £51,000 per year is highly anomalous. The same portfolio documentation and later contracts also show that Avon controls at least 200 MPANs nationally, and so should be fully aware of what constitutes typical consumption and a competitive tariff for a building of this size </w:t>
      </w:r>
      <w:r w:rsidRPr="008121B3">
        <w:rPr>
          <w:rFonts w:ascii="Arial" w:hAnsi="Arial" w:cs="Arial"/>
          <w:b/>
          <w:bCs/>
          <w:kern w:val="0"/>
          <w:sz w:val="22"/>
          <w:szCs w:val="22"/>
          <w14:ligatures w14:val="none"/>
        </w:rPr>
        <w:t xml:space="preserve">(exhibit KH2 page </w:t>
      </w:r>
      <w:r w:rsidR="002F4D1E">
        <w:rPr>
          <w:rFonts w:ascii="Arial" w:hAnsi="Arial" w:cs="Arial"/>
          <w:b/>
          <w:bCs/>
          <w:kern w:val="0"/>
          <w:sz w:val="22"/>
          <w:szCs w:val="22"/>
          <w14:ligatures w14:val="none"/>
        </w:rPr>
        <w:t>768</w:t>
      </w:r>
      <w:r w:rsidRPr="008121B3">
        <w:rPr>
          <w:rFonts w:ascii="Arial" w:hAnsi="Arial" w:cs="Arial"/>
          <w:b/>
          <w:bCs/>
          <w:kern w:val="0"/>
          <w:sz w:val="22"/>
          <w:szCs w:val="22"/>
          <w14:ligatures w14:val="none"/>
        </w:rPr>
        <w:t>).</w:t>
      </w:r>
    </w:p>
    <w:p w14:paraId="26345E4D" w14:textId="334FA9B9"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We also have comparative figures for other Avon/Y&amp;Y-managed blocks in London. 10 Artillery Row, with 11 flats, has communal electricity of around £5,000 per year; “Space Apartments”, with 29 flats, pays roughly £11,000; and “The </w:t>
      </w:r>
      <w:proofErr w:type="spellStart"/>
      <w:r w:rsidRPr="002D214D">
        <w:rPr>
          <w:rFonts w:ascii="Arial" w:hAnsi="Arial" w:cs="Arial"/>
          <w:kern w:val="0"/>
          <w:sz w:val="22"/>
          <w:szCs w:val="22"/>
          <w14:ligatures w14:val="none"/>
        </w:rPr>
        <w:t>Loxfords</w:t>
      </w:r>
      <w:proofErr w:type="spellEnd"/>
      <w:r w:rsidRPr="002D214D">
        <w:rPr>
          <w:rFonts w:ascii="Arial" w:hAnsi="Arial" w:cs="Arial"/>
          <w:kern w:val="0"/>
          <w:sz w:val="22"/>
          <w:szCs w:val="22"/>
          <w14:ligatures w14:val="none"/>
        </w:rPr>
        <w:t>”, with 144 flats, pays about £4</w:t>
      </w:r>
      <w:r w:rsidR="002F4D1E">
        <w:rPr>
          <w:rFonts w:ascii="Arial" w:hAnsi="Arial" w:cs="Arial"/>
          <w:kern w:val="0"/>
          <w:sz w:val="22"/>
          <w:szCs w:val="22"/>
          <w14:ligatures w14:val="none"/>
        </w:rPr>
        <w:t>7</w:t>
      </w:r>
      <w:r w:rsidRPr="002D214D">
        <w:rPr>
          <w:rFonts w:ascii="Arial" w:hAnsi="Arial" w:cs="Arial"/>
          <w:kern w:val="0"/>
          <w:sz w:val="22"/>
          <w:szCs w:val="22"/>
          <w14:ligatures w14:val="none"/>
        </w:rPr>
        <w:t xml:space="preserve">,000 annually (including extensive garden lighting). Yet 8 Artillery Row, with 22 flats, has supposed communal electricity being billed at levels </w:t>
      </w:r>
      <w:r w:rsidR="003916DD">
        <w:rPr>
          <w:rFonts w:ascii="Arial" w:hAnsi="Arial" w:cs="Arial"/>
          <w:kern w:val="0"/>
          <w:sz w:val="22"/>
          <w:szCs w:val="22"/>
          <w14:ligatures w14:val="none"/>
        </w:rPr>
        <w:t>over</w:t>
      </w:r>
      <w:r w:rsidRPr="002D214D">
        <w:rPr>
          <w:rFonts w:ascii="Arial" w:hAnsi="Arial" w:cs="Arial"/>
          <w:kern w:val="0"/>
          <w:sz w:val="22"/>
          <w:szCs w:val="22"/>
          <w14:ligatures w14:val="none"/>
        </w:rPr>
        <w:t xml:space="preserve"> £100,000 per year. On any internal comparison within the Respondent’s own portfolio, 8 Artillery Row is an extreme outlier </w:t>
      </w:r>
      <w:r w:rsidRPr="002F4D1E">
        <w:rPr>
          <w:rFonts w:ascii="Arial" w:hAnsi="Arial" w:cs="Arial"/>
          <w:b/>
          <w:bCs/>
          <w:kern w:val="0"/>
          <w:sz w:val="22"/>
          <w:szCs w:val="22"/>
          <w14:ligatures w14:val="none"/>
        </w:rPr>
        <w:t>(exhibit KH2 page</w:t>
      </w:r>
      <w:r w:rsidR="002F4D1E">
        <w:rPr>
          <w:rFonts w:ascii="Arial" w:hAnsi="Arial" w:cs="Arial"/>
          <w:b/>
          <w:bCs/>
          <w:kern w:val="0"/>
          <w:sz w:val="22"/>
          <w:szCs w:val="22"/>
          <w14:ligatures w14:val="none"/>
        </w:rPr>
        <w:t>s 369-</w:t>
      </w:r>
      <w:r w:rsidR="003916DD">
        <w:rPr>
          <w:rFonts w:ascii="Arial" w:hAnsi="Arial" w:cs="Arial"/>
          <w:b/>
          <w:bCs/>
          <w:kern w:val="0"/>
          <w:sz w:val="22"/>
          <w:szCs w:val="22"/>
          <w14:ligatures w14:val="none"/>
        </w:rPr>
        <w:t>371</w:t>
      </w:r>
      <w:r w:rsidRPr="002F4D1E">
        <w:rPr>
          <w:rFonts w:ascii="Arial" w:hAnsi="Arial" w:cs="Arial"/>
          <w:b/>
          <w:bCs/>
          <w:kern w:val="0"/>
          <w:sz w:val="22"/>
          <w:szCs w:val="22"/>
          <w14:ligatures w14:val="none"/>
        </w:rPr>
        <w:t>)</w:t>
      </w:r>
      <w:r w:rsidRPr="002D214D">
        <w:rPr>
          <w:rFonts w:ascii="Arial" w:hAnsi="Arial" w:cs="Arial"/>
          <w:kern w:val="0"/>
          <w:sz w:val="22"/>
          <w:szCs w:val="22"/>
          <w14:ligatures w14:val="none"/>
        </w:rPr>
        <w:t>.</w:t>
      </w:r>
    </w:p>
    <w:p w14:paraId="42126ACB" w14:textId="77777777" w:rsidR="002730D1" w:rsidRPr="002D214D" w:rsidRDefault="002730D1" w:rsidP="00550812">
      <w:pPr>
        <w:spacing w:after="0" w:line="240" w:lineRule="auto"/>
        <w:ind w:left="720"/>
        <w:contextualSpacing/>
        <w:jc w:val="both"/>
        <w:rPr>
          <w:rFonts w:ascii="Arial" w:hAnsi="Arial" w:cs="Arial"/>
          <w:kern w:val="0"/>
          <w:sz w:val="22"/>
          <w:szCs w:val="22"/>
          <w14:ligatures w14:val="none"/>
        </w:rPr>
      </w:pPr>
    </w:p>
    <w:p w14:paraId="5797B7C6" w14:textId="77777777" w:rsidR="002730D1" w:rsidRDefault="002730D1" w:rsidP="00550812">
      <w:pPr>
        <w:spacing w:after="0" w:line="240" w:lineRule="auto"/>
        <w:ind w:left="720"/>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MOP services, missing data and dual charges</w:t>
      </w:r>
    </w:p>
    <w:p w14:paraId="4E514C8C" w14:textId="77777777" w:rsidR="00550812" w:rsidRPr="002D214D" w:rsidRDefault="00550812" w:rsidP="00550812">
      <w:pPr>
        <w:spacing w:after="0" w:line="240" w:lineRule="auto"/>
        <w:contextualSpacing/>
        <w:jc w:val="both"/>
        <w:rPr>
          <w:rFonts w:ascii="Arial" w:hAnsi="Arial" w:cs="Arial"/>
          <w:kern w:val="0"/>
          <w:sz w:val="22"/>
          <w:szCs w:val="22"/>
          <w14:ligatures w14:val="none"/>
        </w:rPr>
      </w:pPr>
    </w:p>
    <w:p w14:paraId="72721273" w14:textId="70E4FE19"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The Respondent says that the “MOP” charge simply comprises “charges raised by the Meter Operators” and relies on the fact that there has been a period of half-hourly (“HH”) metering. However, almost no MOP data has been disclosed for 2017–2022, and only partial MOP and HH data has been produced for 2023–2024</w:t>
      </w:r>
      <w:r w:rsidR="00247623">
        <w:rPr>
          <w:rFonts w:ascii="Arial" w:hAnsi="Arial" w:cs="Arial"/>
          <w:kern w:val="0"/>
          <w:sz w:val="22"/>
          <w:szCs w:val="22"/>
          <w14:ligatures w14:val="none"/>
        </w:rPr>
        <w:t xml:space="preserve"> </w:t>
      </w:r>
      <w:r w:rsidR="00247623">
        <w:rPr>
          <w:rFonts w:ascii="Arial" w:hAnsi="Arial" w:cs="Arial"/>
          <w:b/>
          <w:bCs/>
          <w:kern w:val="0"/>
          <w:sz w:val="22"/>
          <w:szCs w:val="22"/>
          <w14:ligatures w14:val="none"/>
        </w:rPr>
        <w:t>(exhibit KH2 pages 1031-1035)</w:t>
      </w:r>
      <w:r w:rsidRPr="002D214D">
        <w:rPr>
          <w:rFonts w:ascii="Arial" w:hAnsi="Arial" w:cs="Arial"/>
          <w:kern w:val="0"/>
          <w:sz w:val="22"/>
          <w:szCs w:val="22"/>
          <w14:ligatures w14:val="none"/>
        </w:rPr>
        <w:t>. The HH datasets that have been supplied are incomplete, with many days of readings missing, which makes it impossible to reconcile supplier invoices with the actual meter profile. HH metering is now standard for larger non-domestic supplies, yet we have not even been given a complete 12-month dataset.</w:t>
      </w:r>
      <w:r w:rsidR="003916DD">
        <w:rPr>
          <w:rFonts w:ascii="Arial" w:hAnsi="Arial" w:cs="Arial"/>
          <w:kern w:val="0"/>
          <w:sz w:val="22"/>
          <w:szCs w:val="22"/>
          <w14:ligatures w14:val="none"/>
        </w:rPr>
        <w:t xml:space="preserve"> In fact, the Respondent repeatedly confirms in the Scott Schedule for years 2017 to 2022 that meter readings have been enclosed on the statement of case (dated 6 Nov 2025).  When in fact that is not true, with those meter readings showing </w:t>
      </w:r>
      <w:proofErr w:type="spellStart"/>
      <w:proofErr w:type="gramStart"/>
      <w:r w:rsidR="003916DD">
        <w:rPr>
          <w:rFonts w:ascii="Arial" w:hAnsi="Arial" w:cs="Arial"/>
          <w:kern w:val="0"/>
          <w:sz w:val="22"/>
          <w:szCs w:val="22"/>
          <w14:ligatures w14:val="none"/>
        </w:rPr>
        <w:t>a</w:t>
      </w:r>
      <w:proofErr w:type="spellEnd"/>
      <w:proofErr w:type="gramEnd"/>
      <w:r w:rsidR="003916DD">
        <w:rPr>
          <w:rFonts w:ascii="Arial" w:hAnsi="Arial" w:cs="Arial"/>
          <w:kern w:val="0"/>
          <w:sz w:val="22"/>
          <w:szCs w:val="22"/>
          <w14:ligatures w14:val="none"/>
        </w:rPr>
        <w:t xml:space="preserve"> </w:t>
      </w:r>
      <w:r w:rsidR="00247623">
        <w:rPr>
          <w:rFonts w:ascii="Arial" w:hAnsi="Arial" w:cs="Arial"/>
          <w:kern w:val="0"/>
          <w:sz w:val="22"/>
          <w:szCs w:val="22"/>
          <w14:ligatures w14:val="none"/>
        </w:rPr>
        <w:t xml:space="preserve">incomplete </w:t>
      </w:r>
      <w:r w:rsidR="003916DD">
        <w:rPr>
          <w:rFonts w:ascii="Arial" w:hAnsi="Arial" w:cs="Arial"/>
          <w:kern w:val="0"/>
          <w:sz w:val="22"/>
          <w:szCs w:val="22"/>
          <w14:ligatures w14:val="none"/>
        </w:rPr>
        <w:t>period from 2023 to 2024.</w:t>
      </w:r>
    </w:p>
    <w:p w14:paraId="1D3AB8B8"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The 2023 reconciliation shows charges for both “COP5 HH MOP – SMS Energy Services” and “Siemens Comms Link”, indicating that two separate entities are being paid in relation to the same HH supply. The Respondent has not explained why two firms are required, what each of them does, or what overlap exists between their contracts. Both sets of charges are passed directly to leaseholders via the service charge.</w:t>
      </w:r>
    </w:p>
    <w:p w14:paraId="70CD36BE"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We have repeatedly requested the full MOP contracts, meter technical details, commissioning certificates and complete HH data so that supplier invoices can be reconciled against metered kWh and maximum demand. To date we have not received a complete pack. Without that information it is impossible for the Applicants or the Tribunal to verify the correctness of the large </w:t>
      </w:r>
      <w:proofErr w:type="spellStart"/>
      <w:r w:rsidRPr="002D214D">
        <w:rPr>
          <w:rFonts w:ascii="Arial" w:hAnsi="Arial" w:cs="Arial"/>
          <w:kern w:val="0"/>
          <w:sz w:val="22"/>
          <w:szCs w:val="22"/>
          <w14:ligatures w14:val="none"/>
        </w:rPr>
        <w:t>Pozitive</w:t>
      </w:r>
      <w:proofErr w:type="spellEnd"/>
      <w:r w:rsidRPr="002D214D">
        <w:rPr>
          <w:rFonts w:ascii="Arial" w:hAnsi="Arial" w:cs="Arial"/>
          <w:kern w:val="0"/>
          <w:sz w:val="22"/>
          <w:szCs w:val="22"/>
          <w14:ligatures w14:val="none"/>
        </w:rPr>
        <w:t xml:space="preserve"> and Digital Power invoices.</w:t>
      </w:r>
    </w:p>
    <w:p w14:paraId="0BBA174E"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p>
    <w:p w14:paraId="7D1CBD9C"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Accounting evidence and discrepancies</w:t>
      </w:r>
    </w:p>
    <w:p w14:paraId="52A3054E" w14:textId="1CDF4703"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Respondent has provided a spreadsheet </w:t>
      </w:r>
      <w:r w:rsidRPr="003916DD">
        <w:rPr>
          <w:rFonts w:ascii="Arial" w:hAnsi="Arial" w:cs="Arial"/>
          <w:b/>
          <w:bCs/>
          <w:kern w:val="0"/>
          <w:sz w:val="22"/>
          <w:szCs w:val="22"/>
          <w14:ligatures w14:val="none"/>
        </w:rPr>
        <w:t>(exhibit KH2 page</w:t>
      </w:r>
      <w:r w:rsidR="00247623">
        <w:rPr>
          <w:rFonts w:ascii="Arial" w:hAnsi="Arial" w:cs="Arial"/>
          <w:b/>
          <w:bCs/>
          <w:kern w:val="0"/>
          <w:sz w:val="22"/>
          <w:szCs w:val="22"/>
          <w14:ligatures w14:val="none"/>
        </w:rPr>
        <w:t>s</w:t>
      </w:r>
      <w:r w:rsidRPr="003916DD">
        <w:rPr>
          <w:rFonts w:ascii="Arial" w:hAnsi="Arial" w:cs="Arial"/>
          <w:b/>
          <w:bCs/>
          <w:kern w:val="0"/>
          <w:sz w:val="22"/>
          <w:szCs w:val="22"/>
          <w14:ligatures w14:val="none"/>
        </w:rPr>
        <w:t xml:space="preserve"> </w:t>
      </w:r>
      <w:r w:rsidR="00247623">
        <w:rPr>
          <w:rFonts w:ascii="Arial" w:hAnsi="Arial" w:cs="Arial"/>
          <w:b/>
          <w:bCs/>
          <w:kern w:val="0"/>
          <w:sz w:val="22"/>
          <w:szCs w:val="22"/>
          <w14:ligatures w14:val="none"/>
        </w:rPr>
        <w:t>784-785</w:t>
      </w:r>
      <w:r w:rsidRPr="003916DD">
        <w:rPr>
          <w:rFonts w:ascii="Arial" w:hAnsi="Arial" w:cs="Arial"/>
          <w:b/>
          <w:bCs/>
          <w:kern w:val="0"/>
          <w:sz w:val="22"/>
          <w:szCs w:val="22"/>
          <w14:ligatures w14:val="none"/>
        </w:rPr>
        <w:t>)</w:t>
      </w:r>
      <w:r w:rsidRPr="002D214D">
        <w:rPr>
          <w:rFonts w:ascii="Arial" w:hAnsi="Arial" w:cs="Arial"/>
          <w:kern w:val="0"/>
          <w:sz w:val="22"/>
          <w:szCs w:val="22"/>
          <w14:ligatures w14:val="none"/>
        </w:rPr>
        <w:t xml:space="preserve"> purporting to list all electricity invoices for 2023 and 2024. No equivalent invoice-level breakdown has been supplied for earlier years</w:t>
      </w:r>
      <w:r w:rsidR="003916DD">
        <w:rPr>
          <w:rFonts w:ascii="Arial" w:hAnsi="Arial" w:cs="Arial"/>
          <w:kern w:val="0"/>
          <w:sz w:val="22"/>
          <w:szCs w:val="22"/>
          <w14:ligatures w14:val="none"/>
        </w:rPr>
        <w:t xml:space="preserve"> and as a result</w:t>
      </w:r>
      <w:r w:rsidRPr="002D214D">
        <w:rPr>
          <w:rFonts w:ascii="Arial" w:hAnsi="Arial" w:cs="Arial"/>
          <w:kern w:val="0"/>
          <w:sz w:val="22"/>
          <w:szCs w:val="22"/>
          <w14:ligatures w14:val="none"/>
        </w:rPr>
        <w:t xml:space="preserve"> we are forced to rely on the global totals in the annual accounts.</w:t>
      </w:r>
    </w:p>
    <w:p w14:paraId="530F4FEF" w14:textId="70E092CB"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 have prepared a parallel spreadsheet which is almost identical to the Respondent’s but with three additional </w:t>
      </w:r>
      <w:proofErr w:type="gramStart"/>
      <w:r w:rsidRPr="002D214D">
        <w:rPr>
          <w:rFonts w:ascii="Arial" w:hAnsi="Arial" w:cs="Arial"/>
          <w:kern w:val="0"/>
          <w:sz w:val="22"/>
          <w:szCs w:val="22"/>
          <w14:ligatures w14:val="none"/>
        </w:rPr>
        <w:t>clearly-marked</w:t>
      </w:r>
      <w:proofErr w:type="gramEnd"/>
      <w:r w:rsidRPr="002D214D">
        <w:rPr>
          <w:rFonts w:ascii="Arial" w:hAnsi="Arial" w:cs="Arial"/>
          <w:kern w:val="0"/>
          <w:sz w:val="22"/>
          <w:szCs w:val="22"/>
          <w14:ligatures w14:val="none"/>
        </w:rPr>
        <w:t xml:space="preserve"> columns and colour-coded months, to assist the Tribunal in following my analysis </w:t>
      </w:r>
      <w:r w:rsidRPr="00247623">
        <w:rPr>
          <w:rFonts w:ascii="Arial" w:hAnsi="Arial" w:cs="Arial"/>
          <w:b/>
          <w:bCs/>
          <w:kern w:val="0"/>
          <w:sz w:val="22"/>
          <w:szCs w:val="22"/>
          <w14:ligatures w14:val="none"/>
        </w:rPr>
        <w:t>(exhibit KH2 page</w:t>
      </w:r>
      <w:r w:rsidR="00247623">
        <w:rPr>
          <w:rFonts w:ascii="Arial" w:hAnsi="Arial" w:cs="Arial"/>
          <w:b/>
          <w:bCs/>
          <w:kern w:val="0"/>
          <w:sz w:val="22"/>
          <w:szCs w:val="22"/>
          <w14:ligatures w14:val="none"/>
        </w:rPr>
        <w:t>s 786-787</w:t>
      </w:r>
      <w:r w:rsidRPr="002D214D">
        <w:rPr>
          <w:rFonts w:ascii="Arial" w:hAnsi="Arial" w:cs="Arial"/>
          <w:kern w:val="0"/>
          <w:sz w:val="22"/>
          <w:szCs w:val="22"/>
          <w14:ligatures w14:val="none"/>
        </w:rPr>
        <w:t>).</w:t>
      </w:r>
    </w:p>
    <w:p w14:paraId="0D7A726C"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lastRenderedPageBreak/>
        <w:t>Even for 2024, where invoice-level data is available, the figures do not match. The Respondent’s spreadsheet shows a total of £114,946.38 in electricity invoices for that year, yet the 2024 annual accounts charge leaseholders £128,000 for communal electricity. The Respondent has not explained the £13,000+ discrepancy. This mismatch further undermines confidence in the reliability of the electricity figures being presented.</w:t>
      </w:r>
    </w:p>
    <w:p w14:paraId="2D84509C" w14:textId="774734D3"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Focusing on 2023, </w:t>
      </w:r>
      <w:proofErr w:type="spellStart"/>
      <w:r w:rsidRPr="002D214D">
        <w:rPr>
          <w:rFonts w:ascii="Arial" w:hAnsi="Arial" w:cs="Arial"/>
          <w:kern w:val="0"/>
          <w:sz w:val="22"/>
          <w:szCs w:val="22"/>
          <w14:ligatures w14:val="none"/>
        </w:rPr>
        <w:t>Pozitive</w:t>
      </w:r>
      <w:proofErr w:type="spellEnd"/>
      <w:r w:rsidRPr="002D214D">
        <w:rPr>
          <w:rFonts w:ascii="Arial" w:hAnsi="Arial" w:cs="Arial"/>
          <w:kern w:val="0"/>
          <w:sz w:val="22"/>
          <w:szCs w:val="22"/>
          <w14:ligatures w14:val="none"/>
        </w:rPr>
        <w:t xml:space="preserve"> Energy was the supplier for the entire year. </w:t>
      </w:r>
      <w:proofErr w:type="gramStart"/>
      <w:r w:rsidRPr="002D214D">
        <w:rPr>
          <w:rFonts w:ascii="Arial" w:hAnsi="Arial" w:cs="Arial"/>
          <w:kern w:val="0"/>
          <w:sz w:val="22"/>
          <w:szCs w:val="22"/>
          <w14:ligatures w14:val="none"/>
        </w:rPr>
        <w:t>With the exception of</w:t>
      </w:r>
      <w:proofErr w:type="gramEnd"/>
      <w:r w:rsidRPr="002D214D">
        <w:rPr>
          <w:rFonts w:ascii="Arial" w:hAnsi="Arial" w:cs="Arial"/>
          <w:kern w:val="0"/>
          <w:sz w:val="22"/>
          <w:szCs w:val="22"/>
          <w14:ligatures w14:val="none"/>
        </w:rPr>
        <w:t xml:space="preserve"> February and March, every month’s invoices contain errors, as shown in </w:t>
      </w:r>
      <w:r w:rsidRPr="007A5E1B">
        <w:rPr>
          <w:rFonts w:ascii="Arial" w:hAnsi="Arial" w:cs="Arial"/>
          <w:b/>
          <w:bCs/>
          <w:kern w:val="0"/>
          <w:sz w:val="22"/>
          <w:szCs w:val="22"/>
          <w14:ligatures w14:val="none"/>
        </w:rPr>
        <w:t>exhibit KH</w:t>
      </w:r>
      <w:r w:rsidR="007A5E1B" w:rsidRPr="007A5E1B">
        <w:rPr>
          <w:rFonts w:ascii="Arial" w:hAnsi="Arial" w:cs="Arial"/>
          <w:b/>
          <w:bCs/>
          <w:kern w:val="0"/>
          <w:sz w:val="22"/>
          <w:szCs w:val="22"/>
          <w14:ligatures w14:val="none"/>
        </w:rPr>
        <w:t>2</w:t>
      </w:r>
      <w:r w:rsidR="007A5E1B">
        <w:rPr>
          <w:rFonts w:ascii="Arial" w:hAnsi="Arial" w:cs="Arial"/>
          <w:b/>
          <w:bCs/>
          <w:kern w:val="0"/>
          <w:sz w:val="22"/>
          <w:szCs w:val="22"/>
          <w14:ligatures w14:val="none"/>
        </w:rPr>
        <w:t xml:space="preserve"> pages 788-</w:t>
      </w:r>
      <w:proofErr w:type="gramStart"/>
      <w:r w:rsidR="007A5E1B">
        <w:rPr>
          <w:rFonts w:ascii="Arial" w:hAnsi="Arial" w:cs="Arial"/>
          <w:b/>
          <w:bCs/>
          <w:kern w:val="0"/>
          <w:sz w:val="22"/>
          <w:szCs w:val="22"/>
          <w14:ligatures w14:val="none"/>
        </w:rPr>
        <w:t>833</w:t>
      </w:r>
      <w:r w:rsidR="007A5E1B" w:rsidRPr="007A5E1B">
        <w:rPr>
          <w:rFonts w:ascii="Arial" w:hAnsi="Arial" w:cs="Arial"/>
          <w:b/>
          <w:bCs/>
          <w:kern w:val="0"/>
          <w:sz w:val="22"/>
          <w:szCs w:val="22"/>
          <w14:ligatures w14:val="none"/>
        </w:rPr>
        <w:t xml:space="preserve"> </w:t>
      </w:r>
      <w:r w:rsidRPr="002D214D">
        <w:rPr>
          <w:rFonts w:ascii="Arial" w:hAnsi="Arial" w:cs="Arial"/>
          <w:kern w:val="0"/>
          <w:sz w:val="22"/>
          <w:szCs w:val="22"/>
          <w14:ligatures w14:val="none"/>
        </w:rPr>
        <w:t>.</w:t>
      </w:r>
      <w:proofErr w:type="gramEnd"/>
      <w:r w:rsidRPr="002D214D">
        <w:rPr>
          <w:rFonts w:ascii="Arial" w:hAnsi="Arial" w:cs="Arial"/>
          <w:kern w:val="0"/>
          <w:sz w:val="22"/>
          <w:szCs w:val="22"/>
          <w14:ligatures w14:val="none"/>
        </w:rPr>
        <w:t xml:space="preserve"> January and July invoices are stamped as having “failed” validation but were nonetheless paid. Every monthly invoice other than February and March includes corrections, re-bills or inconsistent readings, yet they were validated and paid.</w:t>
      </w:r>
    </w:p>
    <w:p w14:paraId="48152D10"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By way of example:</w:t>
      </w:r>
    </w:p>
    <w:p w14:paraId="6F6EA816"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(a) January 2023: the initial invoice shows 21,999 kWh, but the final re-issued invoice for the same period shows 26,576 kWh.</w:t>
      </w:r>
    </w:p>
    <w:p w14:paraId="033335B4" w14:textId="77777777" w:rsidR="002730D1" w:rsidRPr="002D214D" w:rsidRDefault="002730D1" w:rsidP="00AA140A">
      <w:pPr>
        <w:spacing w:after="0" w:line="240" w:lineRule="auto"/>
        <w:ind w:left="720"/>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(b) May 2023: the readings are consistent across the sequence of invoices, but the final “re-issued” invoice is for a significantly lower sum, without any clear explanation beyond tariff adjustments.</w:t>
      </w:r>
    </w:p>
    <w:p w14:paraId="5E9FE878" w14:textId="77777777" w:rsidR="002730D1" w:rsidRPr="002D214D" w:rsidRDefault="002730D1" w:rsidP="00AA140A">
      <w:pPr>
        <w:spacing w:after="0" w:line="240" w:lineRule="auto"/>
        <w:ind w:left="720"/>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(c) June 2023: the readings on successive invoices differ by only about 6 kWh, yet the final re-issued invoice is approximately £5,000 lower than the first, solely due to changes in how EBRS and other elements are applied.</w:t>
      </w:r>
    </w:p>
    <w:p w14:paraId="37A638A3"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Similar patterns recur throughout the year. The invoices and underlying data are not reliable, and because the HH datasets are themselves incomplete, they cannot be confidently cross-checked against the actual metered profile.</w:t>
      </w:r>
    </w:p>
    <w:p w14:paraId="7ED7850D" w14:textId="7777777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For 2023, the Respondent’s own invoice spreadsheet shows total consumption of 253,548 kWh. The EBRS discount was applied at 29.47p per kWh, giving a government subsidy of £74,720. This implies gross electricity bills of approximately £188,720 for the year. For a 22-flat building, that figure is alarming and has caused the Applicants considerable distress.</w:t>
      </w:r>
    </w:p>
    <w:p w14:paraId="574EC7B0" w14:textId="77777777" w:rsidR="00487E71" w:rsidRPr="002D214D" w:rsidRDefault="002730D1" w:rsidP="00487E71">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w:t>
      </w:r>
      <w:proofErr w:type="spellStart"/>
      <w:r w:rsidRPr="002D214D">
        <w:rPr>
          <w:rFonts w:ascii="Arial" w:hAnsi="Arial" w:cs="Arial"/>
          <w:kern w:val="0"/>
          <w:sz w:val="22"/>
          <w:szCs w:val="22"/>
          <w14:ligatures w14:val="none"/>
        </w:rPr>
        <w:t>Pozitive</w:t>
      </w:r>
      <w:proofErr w:type="spellEnd"/>
      <w:r w:rsidRPr="002D214D">
        <w:rPr>
          <w:rFonts w:ascii="Arial" w:hAnsi="Arial" w:cs="Arial"/>
          <w:kern w:val="0"/>
          <w:sz w:val="22"/>
          <w:szCs w:val="22"/>
          <w14:ligatures w14:val="none"/>
        </w:rPr>
        <w:t xml:space="preserve"> Energy contract was entered into at a unit rate of 62p per kWh. Government data for the relevant quarter when the contract was signed shows average non-domestic electricity prices of around 20.94p per kWh (exhibit KH2 page 36). The Respondent therefore committed leaseholders to a tariff approximately three times the prevailing average rate, without consultation, explanation or evidence of competitive tendering. We also point out that this extreme three-times-market rate applied for 2023, when the EBRS scheme was in place; in other years the contracted rate was also above market, though not by the same factor.</w:t>
      </w:r>
    </w:p>
    <w:p w14:paraId="158E3CE2" w14:textId="7BC88978" w:rsidR="002730D1" w:rsidRPr="002D214D" w:rsidRDefault="002730D1" w:rsidP="00487E71">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I have prepared a spreadsheet (exhibit KH2 page 37) comparing, year by year, the Respondent’s contracted unit and standing-charge rates with benchmark government data. That schedule also highlights the sharp increase in standing charges from 2023 onwards. We are unable to determine how commissions are paid to brokers because no broker contracts or commission-sharing agreements have been disclosed.</w:t>
      </w:r>
    </w:p>
    <w:p w14:paraId="0CC27063" w14:textId="77777777" w:rsidR="002730D1" w:rsidRPr="002D214D" w:rsidRDefault="002730D1" w:rsidP="000C066C">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A further concern is the misuse of public funds. If, as explained below, the main meter is in fact measuring the whole building rather than just communal load, then the EBRS support of £74,720 for 2023 is based on inflated and mis-allocated consumption. That subsidy was funded by taxpayers at a time of severe post-Covid fiscal pressure.</w:t>
      </w:r>
    </w:p>
    <w:p w14:paraId="1A5E47FB" w14:textId="77777777" w:rsidR="002730D1" w:rsidRPr="002D214D" w:rsidRDefault="002730D1" w:rsidP="00A2340D">
      <w:pPr>
        <w:spacing w:after="0" w:line="240" w:lineRule="auto"/>
        <w:ind w:left="720"/>
        <w:contextualSpacing/>
        <w:jc w:val="both"/>
        <w:rPr>
          <w:rFonts w:ascii="Arial" w:hAnsi="Arial" w:cs="Arial"/>
          <w:kern w:val="0"/>
          <w:sz w:val="22"/>
          <w:szCs w:val="22"/>
          <w14:ligatures w14:val="none"/>
        </w:rPr>
      </w:pPr>
    </w:p>
    <w:p w14:paraId="2DFC1CA3" w14:textId="77777777" w:rsidR="002730D1" w:rsidRPr="002D214D" w:rsidRDefault="002730D1" w:rsidP="00902518">
      <w:pPr>
        <w:spacing w:after="0" w:line="240" w:lineRule="auto"/>
        <w:ind w:left="720"/>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Evidence that the main MPAN is measuring more than communal load</w:t>
      </w:r>
    </w:p>
    <w:p w14:paraId="25BFFD15" w14:textId="77777777" w:rsidR="00A2340D" w:rsidRPr="002D214D" w:rsidRDefault="00A2340D" w:rsidP="00902518">
      <w:pPr>
        <w:spacing w:after="0" w:line="240" w:lineRule="auto"/>
        <w:contextualSpacing/>
        <w:jc w:val="both"/>
        <w:rPr>
          <w:rFonts w:ascii="Arial" w:hAnsi="Arial" w:cs="Arial"/>
          <w:kern w:val="0"/>
          <w:sz w:val="22"/>
          <w:szCs w:val="22"/>
          <w14:ligatures w14:val="none"/>
        </w:rPr>
      </w:pPr>
    </w:p>
    <w:p w14:paraId="3BE35263" w14:textId="1B03BE33"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At the Residents’ Association’s insistence, and at our own cost, we commissioned an independent electrical survey from BMCG and installed monitoring devices in August 2025 at the main intake (MPAN 120010050687) and on the chiller sub-main for a 26-day period. The monitoring report </w:t>
      </w:r>
      <w:r w:rsidRPr="007A5E1B">
        <w:rPr>
          <w:rFonts w:ascii="Arial" w:hAnsi="Arial" w:cs="Arial"/>
          <w:b/>
          <w:bCs/>
          <w:kern w:val="0"/>
          <w:sz w:val="22"/>
          <w:szCs w:val="22"/>
          <w14:ligatures w14:val="none"/>
        </w:rPr>
        <w:t>(exhibit KH2 page</w:t>
      </w:r>
      <w:r w:rsidR="007A5E1B">
        <w:rPr>
          <w:rFonts w:ascii="Arial" w:hAnsi="Arial" w:cs="Arial"/>
          <w:b/>
          <w:bCs/>
          <w:kern w:val="0"/>
          <w:sz w:val="22"/>
          <w:szCs w:val="22"/>
          <w14:ligatures w14:val="none"/>
        </w:rPr>
        <w:t xml:space="preserve"> 320</w:t>
      </w:r>
      <w:r w:rsidRPr="007A5E1B">
        <w:rPr>
          <w:rFonts w:ascii="Arial" w:hAnsi="Arial" w:cs="Arial"/>
          <w:b/>
          <w:bCs/>
          <w:kern w:val="0"/>
          <w:sz w:val="22"/>
          <w:szCs w:val="22"/>
          <w14:ligatures w14:val="none"/>
        </w:rPr>
        <w:t>)</w:t>
      </w:r>
      <w:r w:rsidRPr="002D214D">
        <w:rPr>
          <w:rFonts w:ascii="Arial" w:hAnsi="Arial" w:cs="Arial"/>
          <w:kern w:val="0"/>
          <w:sz w:val="22"/>
          <w:szCs w:val="22"/>
          <w14:ligatures w14:val="none"/>
        </w:rPr>
        <w:t xml:space="preserve"> confirms that, over 26 days, the main intake recorded 15,335.79 kWh. Annualised, this supports </w:t>
      </w:r>
      <w:r w:rsidRPr="002D214D">
        <w:rPr>
          <w:rFonts w:ascii="Arial" w:hAnsi="Arial" w:cs="Arial"/>
          <w:kern w:val="0"/>
          <w:sz w:val="22"/>
          <w:szCs w:val="22"/>
          <w14:ligatures w14:val="none"/>
        </w:rPr>
        <w:lastRenderedPageBreak/>
        <w:t xml:space="preserve">a yearly figure in the region of 215,000–220,000 kWh, broadly consistent with the billed 250,000–260,000 kWh once seasonal variation is </w:t>
      </w:r>
      <w:proofErr w:type="gramStart"/>
      <w:r w:rsidRPr="002D214D">
        <w:rPr>
          <w:rFonts w:ascii="Arial" w:hAnsi="Arial" w:cs="Arial"/>
          <w:kern w:val="0"/>
          <w:sz w:val="22"/>
          <w:szCs w:val="22"/>
          <w14:ligatures w14:val="none"/>
        </w:rPr>
        <w:t>taken into account</w:t>
      </w:r>
      <w:proofErr w:type="gramEnd"/>
      <w:r w:rsidRPr="002D214D">
        <w:rPr>
          <w:rFonts w:ascii="Arial" w:hAnsi="Arial" w:cs="Arial"/>
          <w:kern w:val="0"/>
          <w:sz w:val="22"/>
          <w:szCs w:val="22"/>
          <w14:ligatures w14:val="none"/>
        </w:rPr>
        <w:t>.</w:t>
      </w:r>
    </w:p>
    <w:p w14:paraId="1ADC6A25" w14:textId="0D18C04B"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BMCG </w:t>
      </w:r>
      <w:r w:rsidR="007A5E1B">
        <w:rPr>
          <w:rFonts w:ascii="Arial" w:hAnsi="Arial" w:cs="Arial"/>
          <w:kern w:val="0"/>
          <w:sz w:val="22"/>
          <w:szCs w:val="22"/>
          <w14:ligatures w14:val="none"/>
        </w:rPr>
        <w:t xml:space="preserve">titled ‘Electrical Infrastructure Appraisal’ </w:t>
      </w:r>
      <w:r w:rsidRPr="002D214D">
        <w:rPr>
          <w:rFonts w:ascii="Arial" w:hAnsi="Arial" w:cs="Arial"/>
          <w:kern w:val="0"/>
          <w:sz w:val="22"/>
          <w:szCs w:val="22"/>
          <w14:ligatures w14:val="none"/>
        </w:rPr>
        <w:t>report</w:t>
      </w:r>
      <w:r w:rsidR="00454776">
        <w:rPr>
          <w:rFonts w:ascii="Arial" w:hAnsi="Arial" w:cs="Arial"/>
          <w:kern w:val="0"/>
          <w:sz w:val="22"/>
          <w:szCs w:val="22"/>
          <w14:ligatures w14:val="none"/>
        </w:rPr>
        <w:t>, on page 9,</w:t>
      </w:r>
      <w:r w:rsidRPr="002D214D">
        <w:rPr>
          <w:rFonts w:ascii="Arial" w:hAnsi="Arial" w:cs="Arial"/>
          <w:kern w:val="0"/>
          <w:sz w:val="22"/>
          <w:szCs w:val="22"/>
          <w14:ligatures w14:val="none"/>
        </w:rPr>
        <w:t xml:space="preserve"> estimates that the genuine communal load of the landlord distribution board (dry coolers, chillers, pumps, lifts, common lighting, concierge, CCTV, car-park ventilation, etc.) is in the order of 80,000 kWh per year </w:t>
      </w:r>
      <w:r w:rsidRPr="00454776">
        <w:rPr>
          <w:rFonts w:ascii="Arial" w:hAnsi="Arial" w:cs="Arial"/>
          <w:b/>
          <w:bCs/>
          <w:kern w:val="0"/>
          <w:sz w:val="22"/>
          <w:szCs w:val="22"/>
          <w14:ligatures w14:val="none"/>
        </w:rPr>
        <w:t>(</w:t>
      </w:r>
      <w:r w:rsidR="00454776">
        <w:rPr>
          <w:rFonts w:ascii="Arial" w:hAnsi="Arial" w:cs="Arial"/>
          <w:b/>
          <w:bCs/>
          <w:kern w:val="0"/>
          <w:sz w:val="22"/>
          <w:szCs w:val="22"/>
          <w14:ligatures w14:val="none"/>
        </w:rPr>
        <w:t>exhibit KH2 page 842</w:t>
      </w:r>
      <w:r w:rsidRPr="00454776">
        <w:rPr>
          <w:rFonts w:ascii="Arial" w:hAnsi="Arial" w:cs="Arial"/>
          <w:b/>
          <w:bCs/>
          <w:kern w:val="0"/>
          <w:sz w:val="22"/>
          <w:szCs w:val="22"/>
          <w14:ligatures w14:val="none"/>
        </w:rPr>
        <w:t>).</w:t>
      </w:r>
      <w:r w:rsidRPr="002D214D">
        <w:rPr>
          <w:rFonts w:ascii="Arial" w:hAnsi="Arial" w:cs="Arial"/>
          <w:kern w:val="0"/>
          <w:sz w:val="22"/>
          <w:szCs w:val="22"/>
          <w14:ligatures w14:val="none"/>
        </w:rPr>
        <w:t xml:space="preserve"> These calculations were undertaken in July 2025, before we discovered the additional landlord-only meter described below.</w:t>
      </w:r>
    </w:p>
    <w:p w14:paraId="14E0E08A" w14:textId="7C32AC58"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During a visual inspection with our engineers, we discovered, inside a cupboard connected to the landlord’s distribution board, another meter which records what appears to be only the communal-area consumption (i.e. the load of the landlord distribution board itself). Its cumulative total since 2015 is 756,</w:t>
      </w:r>
      <w:r w:rsidR="00454776">
        <w:rPr>
          <w:rFonts w:ascii="Arial" w:hAnsi="Arial" w:cs="Arial"/>
          <w:kern w:val="0"/>
          <w:sz w:val="22"/>
          <w:szCs w:val="22"/>
          <w14:ligatures w14:val="none"/>
        </w:rPr>
        <w:t>252</w:t>
      </w:r>
      <w:r w:rsidRPr="002D214D">
        <w:rPr>
          <w:rFonts w:ascii="Arial" w:hAnsi="Arial" w:cs="Arial"/>
          <w:kern w:val="0"/>
          <w:sz w:val="22"/>
          <w:szCs w:val="22"/>
          <w14:ligatures w14:val="none"/>
        </w:rPr>
        <w:t xml:space="preserve"> kWh, equating to roughly 75,600 kWh per year</w:t>
      </w:r>
      <w:r w:rsidR="00454776">
        <w:rPr>
          <w:rFonts w:ascii="Arial" w:hAnsi="Arial" w:cs="Arial"/>
          <w:kern w:val="0"/>
          <w:sz w:val="22"/>
          <w:szCs w:val="22"/>
          <w14:ligatures w14:val="none"/>
        </w:rPr>
        <w:t xml:space="preserve"> </w:t>
      </w:r>
      <w:r w:rsidR="00454776" w:rsidRPr="00454776">
        <w:rPr>
          <w:rFonts w:ascii="Arial" w:hAnsi="Arial" w:cs="Arial"/>
          <w:b/>
          <w:bCs/>
          <w:kern w:val="0"/>
          <w:sz w:val="22"/>
          <w:szCs w:val="22"/>
          <w14:ligatures w14:val="none"/>
        </w:rPr>
        <w:t xml:space="preserve">(exhibit KH2 pages </w:t>
      </w:r>
      <w:r w:rsidR="00454776">
        <w:rPr>
          <w:rFonts w:ascii="Arial" w:hAnsi="Arial" w:cs="Arial"/>
          <w:b/>
          <w:bCs/>
          <w:kern w:val="0"/>
          <w:sz w:val="22"/>
          <w:szCs w:val="22"/>
          <w14:ligatures w14:val="none"/>
        </w:rPr>
        <w:t>704, 705, 716</w:t>
      </w:r>
      <w:proofErr w:type="gramStart"/>
      <w:r w:rsidR="00454776" w:rsidRPr="00454776">
        <w:rPr>
          <w:rFonts w:ascii="Arial" w:hAnsi="Arial" w:cs="Arial"/>
          <w:b/>
          <w:bCs/>
          <w:kern w:val="0"/>
          <w:sz w:val="22"/>
          <w:szCs w:val="22"/>
          <w14:ligatures w14:val="none"/>
        </w:rPr>
        <w:t>).</w:t>
      </w:r>
      <w:r w:rsidRPr="002D214D">
        <w:rPr>
          <w:rFonts w:ascii="Arial" w:hAnsi="Arial" w:cs="Arial"/>
          <w:kern w:val="0"/>
          <w:sz w:val="22"/>
          <w:szCs w:val="22"/>
          <w14:ligatures w14:val="none"/>
        </w:rPr>
        <w:t>This</w:t>
      </w:r>
      <w:proofErr w:type="gramEnd"/>
      <w:r w:rsidRPr="002D214D">
        <w:rPr>
          <w:rFonts w:ascii="Arial" w:hAnsi="Arial" w:cs="Arial"/>
          <w:kern w:val="0"/>
          <w:sz w:val="22"/>
          <w:szCs w:val="22"/>
          <w14:ligatures w14:val="none"/>
        </w:rPr>
        <w:t xml:space="preserve"> closely matches the BMCG estimate, even though the BMCG calculations were performed before we found this meter </w:t>
      </w:r>
    </w:p>
    <w:p w14:paraId="1212D278" w14:textId="6697F23D"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Separately, a sample of apartment electricity bill</w:t>
      </w:r>
      <w:r w:rsidR="00454776">
        <w:rPr>
          <w:rFonts w:ascii="Arial" w:hAnsi="Arial" w:cs="Arial"/>
          <w:kern w:val="0"/>
          <w:sz w:val="22"/>
          <w:szCs w:val="22"/>
          <w14:ligatures w14:val="none"/>
        </w:rPr>
        <w:t xml:space="preserve"> </w:t>
      </w:r>
      <w:r w:rsidR="00454776" w:rsidRPr="002D214D">
        <w:rPr>
          <w:rFonts w:ascii="Arial" w:hAnsi="Arial" w:cs="Arial"/>
          <w:kern w:val="0"/>
          <w:sz w:val="22"/>
          <w:szCs w:val="22"/>
          <w14:ligatures w14:val="none"/>
        </w:rPr>
        <w:t>(</w:t>
      </w:r>
      <w:r w:rsidR="00454776" w:rsidRPr="00454776">
        <w:rPr>
          <w:rFonts w:ascii="Arial" w:hAnsi="Arial" w:cs="Arial"/>
          <w:b/>
          <w:bCs/>
          <w:kern w:val="0"/>
          <w:sz w:val="22"/>
          <w:szCs w:val="22"/>
          <w14:ligatures w14:val="none"/>
        </w:rPr>
        <w:t xml:space="preserve">exhibit KH2 page </w:t>
      </w:r>
      <w:r w:rsidR="00454776">
        <w:rPr>
          <w:rFonts w:ascii="Arial" w:hAnsi="Arial" w:cs="Arial"/>
          <w:b/>
          <w:bCs/>
          <w:kern w:val="0"/>
          <w:sz w:val="22"/>
          <w:szCs w:val="22"/>
          <w14:ligatures w14:val="none"/>
        </w:rPr>
        <w:t>846</w:t>
      </w:r>
      <w:r w:rsidR="00454776" w:rsidRPr="002D214D">
        <w:rPr>
          <w:rFonts w:ascii="Arial" w:hAnsi="Arial" w:cs="Arial"/>
          <w:kern w:val="0"/>
          <w:sz w:val="22"/>
          <w:szCs w:val="22"/>
          <w14:ligatures w14:val="none"/>
        </w:rPr>
        <w:t>)</w:t>
      </w:r>
      <w:r w:rsidRPr="002D214D">
        <w:rPr>
          <w:rFonts w:ascii="Arial" w:hAnsi="Arial" w:cs="Arial"/>
          <w:kern w:val="0"/>
          <w:sz w:val="22"/>
          <w:szCs w:val="22"/>
          <w14:ligatures w14:val="none"/>
        </w:rPr>
        <w:t xml:space="preserve"> shows an average usage of approximately 8,000 kWh per flat per year. Across 22 flats, this equates to about 176,000 kWh annually</w:t>
      </w:r>
      <w:r w:rsidR="00E81B9E">
        <w:rPr>
          <w:rFonts w:ascii="Arial" w:hAnsi="Arial" w:cs="Arial"/>
          <w:kern w:val="0"/>
          <w:sz w:val="22"/>
          <w:szCs w:val="22"/>
          <w14:ligatures w14:val="none"/>
        </w:rPr>
        <w:t xml:space="preserve">. Furthermore, in </w:t>
      </w:r>
      <w:r w:rsidR="00E81B9E">
        <w:rPr>
          <w:rFonts w:ascii="Arial" w:hAnsi="Arial" w:cs="Arial"/>
          <w:b/>
          <w:bCs/>
          <w:kern w:val="0"/>
          <w:sz w:val="22"/>
          <w:szCs w:val="22"/>
          <w14:ligatures w14:val="none"/>
        </w:rPr>
        <w:t xml:space="preserve">exhibit KH2 pages 710 and 713 </w:t>
      </w:r>
      <w:r w:rsidR="00E81B9E">
        <w:rPr>
          <w:rFonts w:ascii="Arial" w:hAnsi="Arial" w:cs="Arial"/>
          <w:kern w:val="0"/>
          <w:sz w:val="22"/>
          <w:szCs w:val="22"/>
          <w14:ligatures w14:val="none"/>
        </w:rPr>
        <w:t>there are photos of apartment meters supporting an average apartment use of 8,000 kwh per year.</w:t>
      </w:r>
      <w:r w:rsidRPr="002D214D">
        <w:rPr>
          <w:rFonts w:ascii="Arial" w:hAnsi="Arial" w:cs="Arial"/>
          <w:kern w:val="0"/>
          <w:sz w:val="22"/>
          <w:szCs w:val="22"/>
          <w14:ligatures w14:val="none"/>
        </w:rPr>
        <w:t xml:space="preserve"> </w:t>
      </w:r>
    </w:p>
    <w:p w14:paraId="7721123E" w14:textId="2959CE34" w:rsidR="002730D1"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Taken together, the landlord-only meter (about 75,600 kWh per year) plus the flats’ own consumption (about 176,000 kWh per year) yields approximately 251,600 kWh per year, which is almost identical to the annual total billed to the freeholder under MPAN 120010050687. This strongly suggests that the main supplier meter is effectively measuring the whole-building load, and that the true landlord/communal consumption is only about one-third of what has been charged through the service charge.</w:t>
      </w:r>
    </w:p>
    <w:p w14:paraId="7238CFFE" w14:textId="00ECF4DF" w:rsidR="00B32013" w:rsidRPr="00A44574" w:rsidRDefault="00154100" w:rsidP="00DA6F60">
      <w:pPr>
        <w:pStyle w:val="ListParagraph"/>
        <w:numPr>
          <w:ilvl w:val="0"/>
          <w:numId w:val="7"/>
        </w:numPr>
        <w:spacing w:after="0" w:line="240" w:lineRule="auto"/>
        <w:jc w:val="both"/>
        <w:rPr>
          <w:rFonts w:ascii="Arial" w:hAnsi="Arial" w:cs="Arial"/>
          <w:kern w:val="0"/>
          <w:sz w:val="22"/>
          <w:szCs w:val="22"/>
          <w14:ligatures w14:val="none"/>
        </w:rPr>
      </w:pPr>
      <w:r w:rsidRPr="00B752FE">
        <w:rPr>
          <w:rFonts w:ascii="Arial" w:hAnsi="Arial" w:cs="Arial"/>
          <w:kern w:val="0"/>
          <w:sz w:val="22"/>
          <w:szCs w:val="22"/>
          <w14:ligatures w14:val="none"/>
        </w:rPr>
        <w:t>On 25 November 2023 the landlord distribution board in the basement failed, as evidenced by the AAM Maintenance emergency call-out report</w:t>
      </w:r>
      <w:r w:rsidR="00454776">
        <w:rPr>
          <w:rFonts w:ascii="Arial" w:hAnsi="Arial" w:cs="Arial"/>
          <w:kern w:val="0"/>
          <w:sz w:val="22"/>
          <w:szCs w:val="22"/>
          <w14:ligatures w14:val="none"/>
        </w:rPr>
        <w:t xml:space="preserve"> </w:t>
      </w:r>
      <w:r w:rsidR="00454776">
        <w:rPr>
          <w:rFonts w:ascii="Arial" w:hAnsi="Arial" w:cs="Arial"/>
          <w:b/>
          <w:bCs/>
          <w:kern w:val="0"/>
          <w:sz w:val="22"/>
          <w:szCs w:val="22"/>
          <w14:ligatures w14:val="none"/>
        </w:rPr>
        <w:t>(e</w:t>
      </w:r>
      <w:r w:rsidR="00FA6DBD">
        <w:rPr>
          <w:rFonts w:ascii="Arial" w:hAnsi="Arial" w:cs="Arial"/>
          <w:b/>
          <w:bCs/>
          <w:kern w:val="0"/>
          <w:sz w:val="22"/>
          <w:szCs w:val="22"/>
          <w14:ligatures w14:val="none"/>
        </w:rPr>
        <w:t xml:space="preserve">xhibit KH2 page </w:t>
      </w:r>
      <w:r w:rsidR="00454776">
        <w:rPr>
          <w:rFonts w:ascii="Arial" w:hAnsi="Arial" w:cs="Arial"/>
          <w:b/>
          <w:bCs/>
          <w:kern w:val="0"/>
          <w:sz w:val="22"/>
          <w:szCs w:val="22"/>
          <w14:ligatures w14:val="none"/>
        </w:rPr>
        <w:t>1030</w:t>
      </w:r>
      <w:r w:rsidR="00FA6DBD">
        <w:rPr>
          <w:rFonts w:ascii="Arial" w:hAnsi="Arial" w:cs="Arial"/>
          <w:b/>
          <w:bCs/>
          <w:kern w:val="0"/>
          <w:sz w:val="22"/>
          <w:szCs w:val="22"/>
          <w14:ligatures w14:val="none"/>
        </w:rPr>
        <w:t xml:space="preserve">) </w:t>
      </w:r>
      <w:r w:rsidRPr="00B752FE">
        <w:rPr>
          <w:rFonts w:ascii="Arial" w:hAnsi="Arial" w:cs="Arial"/>
          <w:kern w:val="0"/>
          <w:sz w:val="22"/>
          <w:szCs w:val="22"/>
          <w14:ligatures w14:val="none"/>
        </w:rPr>
        <w:t xml:space="preserve"> The engineer records that “the basement landlord DB had no power” and that the MCCB feeding the landlord DB in the main supply board had tripped, leaving all circuits supplied by the landlord DB without power until it was reset and an RCBO was replaced. During the same </w:t>
      </w:r>
      <w:r w:rsidR="0012666B">
        <w:rPr>
          <w:rFonts w:ascii="Arial" w:hAnsi="Arial" w:cs="Arial"/>
          <w:kern w:val="0"/>
          <w:sz w:val="22"/>
          <w:szCs w:val="22"/>
          <w14:ligatures w14:val="none"/>
        </w:rPr>
        <w:t>day</w:t>
      </w:r>
      <w:r w:rsidRPr="00B752FE">
        <w:rPr>
          <w:rFonts w:ascii="Arial" w:hAnsi="Arial" w:cs="Arial"/>
          <w:kern w:val="0"/>
          <w:sz w:val="22"/>
          <w:szCs w:val="22"/>
          <w14:ligatures w14:val="none"/>
        </w:rPr>
        <w:t xml:space="preserve">, the half-hourly </w:t>
      </w:r>
      <w:r w:rsidR="005C265A">
        <w:rPr>
          <w:rFonts w:ascii="Arial" w:hAnsi="Arial" w:cs="Arial"/>
          <w:kern w:val="0"/>
          <w:sz w:val="22"/>
          <w:szCs w:val="22"/>
          <w14:ligatures w14:val="none"/>
        </w:rPr>
        <w:t xml:space="preserve">spreadsheet </w:t>
      </w:r>
      <w:r w:rsidRPr="00B752FE">
        <w:rPr>
          <w:rFonts w:ascii="Arial" w:hAnsi="Arial" w:cs="Arial"/>
          <w:kern w:val="0"/>
          <w:sz w:val="22"/>
          <w:szCs w:val="22"/>
          <w14:ligatures w14:val="none"/>
        </w:rPr>
        <w:t xml:space="preserve">data for MPAN 120010050687 </w:t>
      </w:r>
      <w:r w:rsidR="005C265A">
        <w:rPr>
          <w:rFonts w:ascii="Arial" w:hAnsi="Arial" w:cs="Arial"/>
          <w:kern w:val="0"/>
          <w:sz w:val="22"/>
          <w:szCs w:val="22"/>
          <w14:ligatures w14:val="none"/>
        </w:rPr>
        <w:t xml:space="preserve">on row 93, </w:t>
      </w:r>
      <w:r w:rsidRPr="00B752FE">
        <w:rPr>
          <w:rFonts w:ascii="Arial" w:hAnsi="Arial" w:cs="Arial"/>
          <w:kern w:val="0"/>
          <w:sz w:val="22"/>
          <w:szCs w:val="22"/>
          <w14:ligatures w14:val="none"/>
        </w:rPr>
        <w:t xml:space="preserve">shows </w:t>
      </w:r>
      <w:r w:rsidR="002D15A2">
        <w:rPr>
          <w:rFonts w:ascii="Arial" w:hAnsi="Arial" w:cs="Arial"/>
          <w:kern w:val="0"/>
          <w:sz w:val="22"/>
          <w:szCs w:val="22"/>
          <w14:ligatures w14:val="none"/>
        </w:rPr>
        <w:t>a normal day,</w:t>
      </w:r>
      <w:r w:rsidR="00DF4F1A">
        <w:rPr>
          <w:rFonts w:ascii="Arial" w:hAnsi="Arial" w:cs="Arial"/>
          <w:kern w:val="0"/>
          <w:sz w:val="22"/>
          <w:szCs w:val="22"/>
          <w14:ligatures w14:val="none"/>
        </w:rPr>
        <w:t xml:space="preserve"> </w:t>
      </w:r>
      <w:r w:rsidR="002D15A2">
        <w:rPr>
          <w:rFonts w:ascii="Arial" w:hAnsi="Arial" w:cs="Arial"/>
          <w:kern w:val="0"/>
          <w:sz w:val="22"/>
          <w:szCs w:val="22"/>
          <w14:ligatures w14:val="none"/>
        </w:rPr>
        <w:t>except for a slight drop compared to other day</w:t>
      </w:r>
      <w:r w:rsidR="00BA0D80">
        <w:rPr>
          <w:rFonts w:ascii="Arial" w:hAnsi="Arial" w:cs="Arial"/>
          <w:kern w:val="0"/>
          <w:sz w:val="22"/>
          <w:szCs w:val="22"/>
          <w14:ligatures w14:val="none"/>
        </w:rPr>
        <w:t>s of</w:t>
      </w:r>
      <w:r w:rsidR="0025464B">
        <w:rPr>
          <w:rFonts w:ascii="Arial" w:hAnsi="Arial" w:cs="Arial"/>
          <w:kern w:val="0"/>
          <w:sz w:val="22"/>
          <w:szCs w:val="22"/>
          <w14:ligatures w14:val="none"/>
        </w:rPr>
        <w:t xml:space="preserve"> </w:t>
      </w:r>
      <w:r w:rsidR="00BA0D80">
        <w:rPr>
          <w:rFonts w:ascii="Arial" w:hAnsi="Arial" w:cs="Arial"/>
          <w:kern w:val="0"/>
          <w:sz w:val="22"/>
          <w:szCs w:val="22"/>
          <w14:ligatures w14:val="none"/>
        </w:rPr>
        <w:t>a</w:t>
      </w:r>
      <w:r w:rsidR="0025464B">
        <w:rPr>
          <w:rFonts w:ascii="Arial" w:hAnsi="Arial" w:cs="Arial"/>
          <w:kern w:val="0"/>
          <w:sz w:val="22"/>
          <w:szCs w:val="22"/>
          <w14:ligatures w14:val="none"/>
        </w:rPr>
        <w:t xml:space="preserve">bout 25% drop. </w:t>
      </w:r>
      <w:r w:rsidR="006666FD">
        <w:rPr>
          <w:rFonts w:ascii="Arial" w:hAnsi="Arial" w:cs="Arial"/>
          <w:kern w:val="0"/>
          <w:sz w:val="22"/>
          <w:szCs w:val="22"/>
          <w14:ligatures w14:val="none"/>
        </w:rPr>
        <w:t>Otherwise, a normal consumption day</w:t>
      </w:r>
      <w:r w:rsidR="00425C88">
        <w:rPr>
          <w:rFonts w:ascii="Arial" w:hAnsi="Arial" w:cs="Arial"/>
          <w:kern w:val="0"/>
          <w:sz w:val="22"/>
          <w:szCs w:val="22"/>
          <w14:ligatures w14:val="none"/>
        </w:rPr>
        <w:t xml:space="preserve"> </w:t>
      </w:r>
      <w:r w:rsidR="00425C88">
        <w:rPr>
          <w:rFonts w:ascii="Arial" w:hAnsi="Arial" w:cs="Arial"/>
          <w:b/>
          <w:bCs/>
          <w:kern w:val="0"/>
          <w:sz w:val="22"/>
          <w:szCs w:val="22"/>
          <w14:ligatures w14:val="none"/>
        </w:rPr>
        <w:t>(exhibit KH2 pages</w:t>
      </w:r>
      <w:r w:rsidR="009C0D29">
        <w:rPr>
          <w:rFonts w:ascii="Arial" w:hAnsi="Arial" w:cs="Arial"/>
          <w:b/>
          <w:bCs/>
          <w:kern w:val="0"/>
          <w:sz w:val="22"/>
          <w:szCs w:val="22"/>
          <w14:ligatures w14:val="none"/>
        </w:rPr>
        <w:t xml:space="preserve"> 4</w:t>
      </w:r>
      <w:r w:rsidR="00BB19A6">
        <w:rPr>
          <w:rFonts w:ascii="Arial" w:hAnsi="Arial" w:cs="Arial"/>
          <w:b/>
          <w:bCs/>
          <w:kern w:val="0"/>
          <w:sz w:val="22"/>
          <w:szCs w:val="22"/>
          <w14:ligatures w14:val="none"/>
        </w:rPr>
        <w:t>94</w:t>
      </w:r>
      <w:r w:rsidR="009C0D29">
        <w:rPr>
          <w:rFonts w:ascii="Arial" w:hAnsi="Arial" w:cs="Arial"/>
          <w:b/>
          <w:bCs/>
          <w:kern w:val="0"/>
          <w:sz w:val="22"/>
          <w:szCs w:val="22"/>
          <w14:ligatures w14:val="none"/>
        </w:rPr>
        <w:t>-</w:t>
      </w:r>
      <w:r w:rsidR="00BB19A6">
        <w:rPr>
          <w:rFonts w:ascii="Arial" w:hAnsi="Arial" w:cs="Arial"/>
          <w:b/>
          <w:bCs/>
          <w:kern w:val="0"/>
          <w:sz w:val="22"/>
          <w:szCs w:val="22"/>
          <w14:ligatures w14:val="none"/>
        </w:rPr>
        <w:t>4</w:t>
      </w:r>
      <w:r w:rsidR="004510EB">
        <w:rPr>
          <w:rFonts w:ascii="Arial" w:hAnsi="Arial" w:cs="Arial"/>
          <w:b/>
          <w:bCs/>
          <w:kern w:val="0"/>
          <w:sz w:val="22"/>
          <w:szCs w:val="22"/>
          <w14:ligatures w14:val="none"/>
        </w:rPr>
        <w:t>99</w:t>
      </w:r>
      <w:r w:rsidR="009C0D29">
        <w:rPr>
          <w:rFonts w:ascii="Arial" w:hAnsi="Arial" w:cs="Arial"/>
          <w:b/>
          <w:bCs/>
          <w:kern w:val="0"/>
          <w:sz w:val="22"/>
          <w:szCs w:val="22"/>
          <w14:ligatures w14:val="none"/>
        </w:rPr>
        <w:t>)</w:t>
      </w:r>
      <w:r w:rsidR="00425C88">
        <w:rPr>
          <w:rFonts w:ascii="Arial" w:hAnsi="Arial" w:cs="Arial"/>
          <w:b/>
          <w:bCs/>
          <w:kern w:val="0"/>
          <w:sz w:val="22"/>
          <w:szCs w:val="22"/>
          <w14:ligatures w14:val="none"/>
        </w:rPr>
        <w:t xml:space="preserve"> </w:t>
      </w:r>
      <w:r w:rsidRPr="00B752FE">
        <w:rPr>
          <w:rFonts w:ascii="Arial" w:hAnsi="Arial" w:cs="Arial"/>
          <w:kern w:val="0"/>
          <w:sz w:val="22"/>
          <w:szCs w:val="22"/>
          <w14:ligatures w14:val="none"/>
        </w:rPr>
        <w:t xml:space="preserve">This is inconsistent with MPAN 120010050687 being a pure landlord/communal supply: if the landlord board was de-energised, a genuine “landlord only” meter would have </w:t>
      </w:r>
      <w:proofErr w:type="gramStart"/>
      <w:r w:rsidRPr="00B752FE">
        <w:rPr>
          <w:rFonts w:ascii="Arial" w:hAnsi="Arial" w:cs="Arial"/>
          <w:kern w:val="0"/>
          <w:sz w:val="22"/>
          <w:szCs w:val="22"/>
          <w14:ligatures w14:val="none"/>
        </w:rPr>
        <w:t>recorded  zero</w:t>
      </w:r>
      <w:proofErr w:type="gramEnd"/>
      <w:r w:rsidRPr="00B752FE">
        <w:rPr>
          <w:rFonts w:ascii="Arial" w:hAnsi="Arial" w:cs="Arial"/>
          <w:kern w:val="0"/>
          <w:sz w:val="22"/>
          <w:szCs w:val="22"/>
          <w14:ligatures w14:val="none"/>
        </w:rPr>
        <w:t xml:space="preserve"> consumption. The fact that kWh remained at typical levels strongly indicates that MPAN 120010050687 is measuring wider building load – including apartment consumption – and not just the landlord DB.</w:t>
      </w:r>
      <w:r w:rsidR="00220682">
        <w:rPr>
          <w:rFonts w:ascii="Arial" w:hAnsi="Arial" w:cs="Arial"/>
          <w:kern w:val="0"/>
          <w:sz w:val="22"/>
          <w:szCs w:val="22"/>
          <w14:ligatures w14:val="none"/>
        </w:rPr>
        <w:t xml:space="preserve">  In my mind, there is no doubt that the meter</w:t>
      </w:r>
      <w:r w:rsidR="00135497">
        <w:rPr>
          <w:rFonts w:ascii="Arial" w:hAnsi="Arial" w:cs="Arial"/>
          <w:kern w:val="0"/>
          <w:sz w:val="22"/>
          <w:szCs w:val="22"/>
          <w14:ligatures w14:val="none"/>
        </w:rPr>
        <w:t xml:space="preserve"> measuring consumption</w:t>
      </w:r>
      <w:r w:rsidR="00220682">
        <w:rPr>
          <w:rFonts w:ascii="Arial" w:hAnsi="Arial" w:cs="Arial"/>
          <w:kern w:val="0"/>
          <w:sz w:val="22"/>
          <w:szCs w:val="22"/>
          <w14:ligatures w14:val="none"/>
        </w:rPr>
        <w:t xml:space="preserve"> that the leaseholders were being charged for</w:t>
      </w:r>
      <w:r w:rsidR="00135497">
        <w:rPr>
          <w:rFonts w:ascii="Arial" w:hAnsi="Arial" w:cs="Arial"/>
          <w:kern w:val="0"/>
          <w:sz w:val="22"/>
          <w:szCs w:val="22"/>
          <w14:ligatures w14:val="none"/>
        </w:rPr>
        <w:t xml:space="preserve"> is the wrong meter and should </w:t>
      </w:r>
      <w:r w:rsidR="00A44574">
        <w:rPr>
          <w:rFonts w:ascii="Arial" w:hAnsi="Arial" w:cs="Arial"/>
          <w:kern w:val="0"/>
          <w:sz w:val="22"/>
          <w:szCs w:val="22"/>
          <w14:ligatures w14:val="none"/>
        </w:rPr>
        <w:t xml:space="preserve">have never been charged for. </w:t>
      </w:r>
    </w:p>
    <w:p w14:paraId="21E52A20" w14:textId="77777777" w:rsidR="00220F90" w:rsidRPr="00220F90" w:rsidRDefault="002730D1" w:rsidP="00AA140A">
      <w:pPr>
        <w:numPr>
          <w:ilvl w:val="0"/>
          <w:numId w:val="7"/>
        </w:numPr>
        <w:spacing w:after="0" w:line="240" w:lineRule="auto"/>
        <w:contextualSpacing/>
        <w:jc w:val="both"/>
        <w:rPr>
          <w:rFonts w:ascii="Arial" w:hAnsi="Arial" w:cs="Arial"/>
          <w:b/>
          <w:bCs/>
          <w:kern w:val="0"/>
          <w:sz w:val="22"/>
          <w:szCs w:val="22"/>
          <w14:ligatures w14:val="none"/>
        </w:rPr>
      </w:pPr>
      <w:r w:rsidRPr="002D214D">
        <w:rPr>
          <w:rFonts w:ascii="Arial" w:hAnsi="Arial" w:cs="Arial"/>
          <w:kern w:val="0"/>
          <w:sz w:val="22"/>
          <w:szCs w:val="22"/>
          <w14:ligatures w14:val="none"/>
        </w:rPr>
        <w:t>The schematic diagram for the original installation, fixed to the car-park wall, bears little resemblance to the actual wiring now in place</w:t>
      </w:r>
      <w:r w:rsidR="00220F90">
        <w:rPr>
          <w:rFonts w:ascii="Arial" w:hAnsi="Arial" w:cs="Arial"/>
          <w:kern w:val="0"/>
          <w:sz w:val="22"/>
          <w:szCs w:val="22"/>
          <w14:ligatures w14:val="none"/>
        </w:rPr>
        <w:t xml:space="preserve"> </w:t>
      </w:r>
      <w:r w:rsidR="00220F90">
        <w:rPr>
          <w:rFonts w:ascii="Arial" w:hAnsi="Arial" w:cs="Arial"/>
          <w:b/>
          <w:bCs/>
          <w:kern w:val="0"/>
          <w:sz w:val="22"/>
          <w:szCs w:val="22"/>
          <w14:ligatures w14:val="none"/>
        </w:rPr>
        <w:t>(exhibit KH2 pages 1055-1056)</w:t>
      </w:r>
      <w:r w:rsidRPr="002D214D">
        <w:rPr>
          <w:rFonts w:ascii="Arial" w:hAnsi="Arial" w:cs="Arial"/>
          <w:kern w:val="0"/>
          <w:sz w:val="22"/>
          <w:szCs w:val="22"/>
          <w14:ligatures w14:val="none"/>
        </w:rPr>
        <w:t xml:space="preserve">. </w:t>
      </w:r>
      <w:r w:rsidR="00220F90">
        <w:rPr>
          <w:rFonts w:ascii="Arial" w:hAnsi="Arial" w:cs="Arial"/>
          <w:kern w:val="0"/>
          <w:sz w:val="22"/>
          <w:szCs w:val="22"/>
          <w14:ligatures w14:val="none"/>
        </w:rPr>
        <w:t>On the page 2 of the schematic, the meter</w:t>
      </w:r>
      <w:r w:rsidR="00220F90" w:rsidRPr="00220F90">
        <w:rPr>
          <w:rFonts w:ascii="Arial" w:hAnsi="Arial" w:cs="Arial"/>
          <w:kern w:val="0"/>
          <w:sz w:val="22"/>
          <w:szCs w:val="22"/>
          <w14:ligatures w14:val="none"/>
        </w:rPr>
        <w:t xml:space="preserve"> </w:t>
      </w:r>
      <w:r w:rsidR="00220F90" w:rsidRPr="00B752FE">
        <w:rPr>
          <w:rFonts w:ascii="Arial" w:hAnsi="Arial" w:cs="Arial"/>
          <w:kern w:val="0"/>
          <w:sz w:val="22"/>
          <w:szCs w:val="22"/>
          <w14:ligatures w14:val="none"/>
        </w:rPr>
        <w:t xml:space="preserve">MPAN 120010050687 </w:t>
      </w:r>
      <w:r w:rsidR="00220F90">
        <w:rPr>
          <w:rFonts w:ascii="Arial" w:hAnsi="Arial" w:cs="Arial"/>
          <w:kern w:val="0"/>
          <w:sz w:val="22"/>
          <w:szCs w:val="22"/>
          <w14:ligatures w14:val="none"/>
        </w:rPr>
        <w:t xml:space="preserve">is not referenced at </w:t>
      </w:r>
      <w:proofErr w:type="gramStart"/>
      <w:r w:rsidR="00220F90">
        <w:rPr>
          <w:rFonts w:ascii="Arial" w:hAnsi="Arial" w:cs="Arial"/>
          <w:kern w:val="0"/>
          <w:sz w:val="22"/>
          <w:szCs w:val="22"/>
          <w14:ligatures w14:val="none"/>
        </w:rPr>
        <w:t>all</w:t>
      </w:r>
      <w:proofErr w:type="gramEnd"/>
      <w:r w:rsidR="00220F90">
        <w:rPr>
          <w:rFonts w:ascii="Arial" w:hAnsi="Arial" w:cs="Arial"/>
          <w:kern w:val="0"/>
          <w:sz w:val="22"/>
          <w:szCs w:val="22"/>
          <w14:ligatures w14:val="none"/>
        </w:rPr>
        <w:t xml:space="preserve"> and it should be situated by the UKPN Chamber where it physically situated now. </w:t>
      </w:r>
    </w:p>
    <w:p w14:paraId="4AC5CDC2" w14:textId="5FF4F0AB" w:rsidR="002730D1" w:rsidRPr="002D214D" w:rsidRDefault="002730D1" w:rsidP="00AA140A">
      <w:pPr>
        <w:numPr>
          <w:ilvl w:val="0"/>
          <w:numId w:val="7"/>
        </w:numPr>
        <w:spacing w:after="0" w:line="240" w:lineRule="auto"/>
        <w:contextualSpacing/>
        <w:jc w:val="both"/>
        <w:rPr>
          <w:rFonts w:ascii="Arial" w:hAnsi="Arial" w:cs="Arial"/>
          <w:b/>
          <w:bCs/>
          <w:kern w:val="0"/>
          <w:sz w:val="22"/>
          <w:szCs w:val="22"/>
          <w14:ligatures w14:val="none"/>
        </w:rPr>
      </w:pPr>
      <w:r w:rsidRPr="002D214D">
        <w:rPr>
          <w:rFonts w:ascii="Arial" w:hAnsi="Arial" w:cs="Arial"/>
          <w:kern w:val="0"/>
          <w:sz w:val="22"/>
          <w:szCs w:val="22"/>
          <w14:ligatures w14:val="none"/>
        </w:rPr>
        <w:t>In addition, enquiries with the industry database have revealed another MPAN, ending 953, labelled as a “landlord electricity supply” for the building. This MPAN is still live on suppliers’ systems; it is possible to obtain quotations for it</w:t>
      </w:r>
      <w:r w:rsidRPr="002D214D">
        <w:rPr>
          <w:rFonts w:ascii="Arial" w:hAnsi="Arial" w:cs="Arial"/>
          <w:b/>
          <w:bCs/>
          <w:kern w:val="0"/>
          <w:sz w:val="22"/>
          <w:szCs w:val="22"/>
          <w14:ligatures w14:val="none"/>
        </w:rPr>
        <w:t xml:space="preserve"> (exhibit KH2 page</w:t>
      </w:r>
      <w:r w:rsidR="00220F90">
        <w:rPr>
          <w:rFonts w:ascii="Arial" w:hAnsi="Arial" w:cs="Arial"/>
          <w:b/>
          <w:bCs/>
          <w:kern w:val="0"/>
          <w:sz w:val="22"/>
          <w:szCs w:val="22"/>
          <w14:ligatures w14:val="none"/>
        </w:rPr>
        <w:t>s 849-</w:t>
      </w:r>
      <w:r w:rsidR="00493835">
        <w:rPr>
          <w:rFonts w:ascii="Arial" w:hAnsi="Arial" w:cs="Arial"/>
          <w:b/>
          <w:bCs/>
          <w:kern w:val="0"/>
          <w:sz w:val="22"/>
          <w:szCs w:val="22"/>
          <w14:ligatures w14:val="none"/>
        </w:rPr>
        <w:t>858</w:t>
      </w:r>
      <w:r w:rsidRPr="002D214D">
        <w:rPr>
          <w:rFonts w:ascii="Arial" w:hAnsi="Arial" w:cs="Arial"/>
          <w:b/>
          <w:bCs/>
          <w:kern w:val="0"/>
          <w:sz w:val="22"/>
          <w:szCs w:val="22"/>
          <w14:ligatures w14:val="none"/>
        </w:rPr>
        <w:t>)</w:t>
      </w:r>
      <w:r w:rsidRPr="002D214D">
        <w:rPr>
          <w:rFonts w:ascii="Arial" w:hAnsi="Arial" w:cs="Arial"/>
          <w:kern w:val="0"/>
          <w:sz w:val="22"/>
          <w:szCs w:val="22"/>
          <w14:ligatures w14:val="none"/>
        </w:rPr>
        <w:t xml:space="preserve">. When questioned, the Respondent’s representative asserted that it was “not active”, but we have been able to obtain live tariff quotations, suggesting that the Respondent’s understanding of the metering set-up is incomplete or inaccurate </w:t>
      </w:r>
    </w:p>
    <w:p w14:paraId="21736146" w14:textId="2516F412"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On the best evidence available, approximately 30% of the </w:t>
      </w:r>
      <w:r w:rsidR="00493835">
        <w:rPr>
          <w:rFonts w:ascii="Arial" w:hAnsi="Arial" w:cs="Arial"/>
          <w:kern w:val="0"/>
          <w:sz w:val="22"/>
          <w:szCs w:val="22"/>
          <w14:ligatures w14:val="none"/>
        </w:rPr>
        <w:t xml:space="preserve">annual </w:t>
      </w:r>
      <w:r w:rsidRPr="002D214D">
        <w:rPr>
          <w:rFonts w:ascii="Arial" w:hAnsi="Arial" w:cs="Arial"/>
          <w:kern w:val="0"/>
          <w:sz w:val="22"/>
          <w:szCs w:val="22"/>
          <w14:ligatures w14:val="none"/>
        </w:rPr>
        <w:t xml:space="preserve">kWh recorded on MPAN 120010050687 appears to be genuine communal consumption </w:t>
      </w:r>
      <w:r w:rsidRPr="002D214D">
        <w:rPr>
          <w:rFonts w:ascii="Arial" w:hAnsi="Arial" w:cs="Arial"/>
          <w:kern w:val="0"/>
          <w:sz w:val="22"/>
          <w:szCs w:val="22"/>
          <w14:ligatures w14:val="none"/>
        </w:rPr>
        <w:lastRenderedPageBreak/>
        <w:t>and the remaining 70% is attributable to apartment or other non-communal loads which should not be recovered via the service charge.</w:t>
      </w:r>
    </w:p>
    <w:p w14:paraId="62676D14" w14:textId="317A3AF1"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By way of real-world comparison, I previously operated a commercial bakery/restaurant which ran for 16 hours per day with electric professional bakery ovens, heating, hot water, air-conditioning and refrigeration operating continuously. The annual electricity bill there was approximately £8,000 at a unit rate of 10.96p per kWh, implying usage of around 72,992 kWh per year (</w:t>
      </w:r>
      <w:r w:rsidRPr="00493835">
        <w:rPr>
          <w:rFonts w:ascii="Arial" w:hAnsi="Arial" w:cs="Arial"/>
          <w:b/>
          <w:bCs/>
          <w:kern w:val="0"/>
          <w:sz w:val="22"/>
          <w:szCs w:val="22"/>
          <w14:ligatures w14:val="none"/>
        </w:rPr>
        <w:t>exhibit KH2 pages 54–57</w:t>
      </w:r>
      <w:r w:rsidR="00493835">
        <w:rPr>
          <w:rFonts w:ascii="Arial" w:hAnsi="Arial" w:cs="Arial"/>
          <w:b/>
          <w:bCs/>
          <w:kern w:val="0"/>
          <w:sz w:val="22"/>
          <w:szCs w:val="22"/>
          <w14:ligatures w14:val="none"/>
        </w:rPr>
        <w:t>??????</w:t>
      </w:r>
      <w:r w:rsidRPr="00493835">
        <w:rPr>
          <w:rFonts w:ascii="Arial" w:hAnsi="Arial" w:cs="Arial"/>
          <w:b/>
          <w:bCs/>
          <w:kern w:val="0"/>
          <w:sz w:val="22"/>
          <w:szCs w:val="22"/>
          <w14:ligatures w14:val="none"/>
        </w:rPr>
        <w:t xml:space="preserve">). </w:t>
      </w:r>
      <w:r w:rsidRPr="002D214D">
        <w:rPr>
          <w:rFonts w:ascii="Arial" w:hAnsi="Arial" w:cs="Arial"/>
          <w:kern w:val="0"/>
          <w:sz w:val="22"/>
          <w:szCs w:val="22"/>
          <w14:ligatures w14:val="none"/>
        </w:rPr>
        <w:t>Yet according to the present billing, the relatively modest communal equipment at 8 Artillery Row is supposedly using more than three times that amount (about 250,000 kWh per year). In my submission, that is simply not credible.</w:t>
      </w:r>
    </w:p>
    <w:p w14:paraId="34D09060" w14:textId="47CE406D"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On 11 November 2025 we wrote to Mr Adam Azoulay of Y&amp;Y formally setting out these findings and explaining why we believed that the main meter was measuring the whole building rather than just communal loads (exhibit KH2 – Azoulay correspondence). Initially Mr Azoulay declined to investigate and asked the Residents’ Association to provide further proof. Following a lengthy email exchange, he stated that the freeholder had agreed to an </w:t>
      </w:r>
      <w:proofErr w:type="gramStart"/>
      <w:r w:rsidRPr="002D214D">
        <w:rPr>
          <w:rFonts w:ascii="Arial" w:hAnsi="Arial" w:cs="Arial"/>
          <w:kern w:val="0"/>
          <w:sz w:val="22"/>
          <w:szCs w:val="22"/>
          <w14:ligatures w14:val="none"/>
        </w:rPr>
        <w:t>inspection, but</w:t>
      </w:r>
      <w:proofErr w:type="gramEnd"/>
      <w:r w:rsidRPr="002D214D">
        <w:rPr>
          <w:rFonts w:ascii="Arial" w:hAnsi="Arial" w:cs="Arial"/>
          <w:kern w:val="0"/>
          <w:sz w:val="22"/>
          <w:szCs w:val="22"/>
          <w14:ligatures w14:val="none"/>
        </w:rPr>
        <w:t xml:space="preserve"> then stopped responding. We submitted an official complaint to which, as at the date of this statement, we have still received no substantive response.</w:t>
      </w:r>
    </w:p>
    <w:p w14:paraId="403F933C" w14:textId="3175DBA0"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current supplier’s contract states at clause 13.1: “In the event that either Party disputes the accuracy of any Meter, we will promptly arrange for such Meter to be inspected and tested in accordance with the Applicable Requirements and any other relevant law.” </w:t>
      </w:r>
      <w:r w:rsidR="00493835" w:rsidRPr="002D214D">
        <w:rPr>
          <w:rFonts w:ascii="Arial" w:hAnsi="Arial" w:cs="Arial"/>
          <w:kern w:val="0"/>
          <w:sz w:val="22"/>
          <w:szCs w:val="22"/>
          <w14:ligatures w14:val="none"/>
        </w:rPr>
        <w:t>(</w:t>
      </w:r>
      <w:r w:rsidR="00493835" w:rsidRPr="00493835">
        <w:rPr>
          <w:rFonts w:ascii="Arial" w:hAnsi="Arial" w:cs="Arial"/>
          <w:b/>
          <w:bCs/>
          <w:kern w:val="0"/>
          <w:sz w:val="22"/>
          <w:szCs w:val="22"/>
          <w14:ligatures w14:val="none"/>
        </w:rPr>
        <w:t xml:space="preserve">exhibit KH2 pages </w:t>
      </w:r>
      <w:r w:rsidR="00493835">
        <w:rPr>
          <w:rFonts w:ascii="Arial" w:hAnsi="Arial" w:cs="Arial"/>
          <w:b/>
          <w:bCs/>
          <w:kern w:val="0"/>
          <w:sz w:val="22"/>
          <w:szCs w:val="22"/>
          <w14:ligatures w14:val="none"/>
        </w:rPr>
        <w:t xml:space="preserve">750). </w:t>
      </w:r>
      <w:r w:rsidRPr="002D214D">
        <w:rPr>
          <w:rFonts w:ascii="Arial" w:hAnsi="Arial" w:cs="Arial"/>
          <w:kern w:val="0"/>
          <w:sz w:val="22"/>
          <w:szCs w:val="22"/>
          <w14:ligatures w14:val="none"/>
        </w:rPr>
        <w:t>I fail to see why the Respondent is refusing to engage with the Applicants on an issue that falls squarely within that clause.</w:t>
      </w:r>
    </w:p>
    <w:p w14:paraId="62002EE6" w14:textId="3FA1EB98"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The survey undertaken at the Applicants’ cost benefits the whole building. Faced with such unusually high communal electricity bills, especially when compared with other Avon-owned buildings, the Respondent should itself have commissioned such a survey long ago. When we asked that the survey cost be funded from the Building Service Charge account, the Respondent refused, even though the survey clearly benefits all leaseholders and would identify savings for the future. As a result, the 15 Applicants together have paid almost £7,000 for a piece of investigative work that should, in principle, have been undertaken by the Respondent.</w:t>
      </w:r>
    </w:p>
    <w:p w14:paraId="3C14200C" w14:textId="105BBD04"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Industry practice is that, where a meter is later found to have been configured or connected incorrectly, the customer is entitled to an adjustment and refund of over-charges for </w:t>
      </w:r>
      <w:proofErr w:type="gramStart"/>
      <w:r w:rsidRPr="002D214D">
        <w:rPr>
          <w:rFonts w:ascii="Arial" w:hAnsi="Arial" w:cs="Arial"/>
          <w:kern w:val="0"/>
          <w:sz w:val="22"/>
          <w:szCs w:val="22"/>
          <w14:ligatures w14:val="none"/>
        </w:rPr>
        <w:t>a number of</w:t>
      </w:r>
      <w:proofErr w:type="gramEnd"/>
      <w:r w:rsidRPr="002D214D">
        <w:rPr>
          <w:rFonts w:ascii="Arial" w:hAnsi="Arial" w:cs="Arial"/>
          <w:kern w:val="0"/>
          <w:sz w:val="22"/>
          <w:szCs w:val="22"/>
          <w14:ligatures w14:val="none"/>
        </w:rPr>
        <w:t xml:space="preserve"> years (typically up to six). It is therefore difficult to understand why the Respondent has been so resistant to a full investigation when, if we are correct, it stands to recover a very substantial refund from the supplier. That resistance further supports our concern that the electricity charges recharged to leaseholders are unreliable and should not simply be accepted at face value.</w:t>
      </w:r>
    </w:p>
    <w:p w14:paraId="6B1E34D0" w14:textId="77777777" w:rsidR="002730D1" w:rsidRPr="002D214D" w:rsidRDefault="002730D1" w:rsidP="00830822">
      <w:pPr>
        <w:spacing w:after="0" w:line="240" w:lineRule="auto"/>
        <w:ind w:left="720"/>
        <w:contextualSpacing/>
        <w:jc w:val="both"/>
        <w:rPr>
          <w:rFonts w:ascii="Arial" w:hAnsi="Arial" w:cs="Arial"/>
          <w:kern w:val="0"/>
          <w:sz w:val="22"/>
          <w:szCs w:val="22"/>
          <w14:ligatures w14:val="none"/>
        </w:rPr>
      </w:pPr>
    </w:p>
    <w:p w14:paraId="00DD0235" w14:textId="77777777" w:rsidR="002730D1" w:rsidRPr="002D214D" w:rsidRDefault="002730D1" w:rsidP="00830822">
      <w:pPr>
        <w:spacing w:after="0" w:line="240" w:lineRule="auto"/>
        <w:ind w:left="720"/>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Legal implications of mis-metering</w:t>
      </w:r>
    </w:p>
    <w:p w14:paraId="272A8CC3" w14:textId="77777777" w:rsidR="00830822" w:rsidRPr="002D214D" w:rsidRDefault="00830822" w:rsidP="00830822">
      <w:pPr>
        <w:pStyle w:val="ListParagraph"/>
        <w:rPr>
          <w:rFonts w:ascii="Arial" w:hAnsi="Arial" w:cs="Arial"/>
          <w:kern w:val="0"/>
          <w:sz w:val="22"/>
          <w:szCs w:val="22"/>
          <w14:ligatures w14:val="none"/>
        </w:rPr>
      </w:pPr>
    </w:p>
    <w:p w14:paraId="7EAF53B0" w14:textId="77777777" w:rsidR="00830822" w:rsidRPr="002D214D" w:rsidRDefault="00830822" w:rsidP="00C864B4">
      <w:pPr>
        <w:spacing w:after="0" w:line="240" w:lineRule="auto"/>
        <w:ind w:left="720"/>
        <w:contextualSpacing/>
        <w:jc w:val="both"/>
        <w:rPr>
          <w:rFonts w:ascii="Arial" w:hAnsi="Arial" w:cs="Arial"/>
          <w:kern w:val="0"/>
          <w:sz w:val="22"/>
          <w:szCs w:val="22"/>
          <w14:ligatures w14:val="none"/>
        </w:rPr>
      </w:pPr>
    </w:p>
    <w:p w14:paraId="39AA5B49" w14:textId="6EF1FDDE"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These concerns are not limited to “high bills” in a general sense. If, as our evidence strongly suggests, the main MPAN is configured or wired so that it measures both communal and apartment loads, then the meter is, in regulatory terms, incorrect. Under Schedule 7 to the Electricity Act 1989 a billing meter must be “correct”, meaning it must measure the electricity </w:t>
      </w:r>
      <w:proofErr w:type="gramStart"/>
      <w:r w:rsidRPr="002D214D">
        <w:rPr>
          <w:rFonts w:ascii="Arial" w:hAnsi="Arial" w:cs="Arial"/>
          <w:kern w:val="0"/>
          <w:sz w:val="22"/>
          <w:szCs w:val="22"/>
          <w14:ligatures w14:val="none"/>
        </w:rPr>
        <w:t>actually supplied</w:t>
      </w:r>
      <w:proofErr w:type="gramEnd"/>
      <w:r w:rsidRPr="002D214D">
        <w:rPr>
          <w:rFonts w:ascii="Arial" w:hAnsi="Arial" w:cs="Arial"/>
          <w:kern w:val="0"/>
          <w:sz w:val="22"/>
          <w:szCs w:val="22"/>
          <w14:ligatures w14:val="none"/>
        </w:rPr>
        <w:t xml:space="preserve"> to the premises or customer to whom it is assigned. A meter that records the load of other premises or additional circuits, and is then used for billing, is not a correct meter within that statutory framework.</w:t>
      </w:r>
    </w:p>
    <w:p w14:paraId="577CC38E" w14:textId="0C2AEFD9"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Where a supplier continues to bill from a meter that is known or reasonably suspected to be incorrect, this engages the supplier’s regulatory duties (including billing accuracy and metering responsibilities) under its electricity-supply licence. To the extent that the wiring or CT placement lies within the control of the Distribution Network Operator (UK Power Networks), there are also obligations under the </w:t>
      </w:r>
      <w:r w:rsidRPr="002D214D">
        <w:rPr>
          <w:rFonts w:ascii="Arial" w:hAnsi="Arial" w:cs="Arial"/>
          <w:kern w:val="0"/>
          <w:sz w:val="22"/>
          <w:szCs w:val="22"/>
          <w14:ligatures w14:val="none"/>
        </w:rPr>
        <w:lastRenderedPageBreak/>
        <w:t>Electricity Safety, Quality and Continuity Regulations 2002 to ensure metering points are safely and correctly configured. I am not asking the Tribunal to determine any regulatory breach, but these duties underline the seriousness of leaving a potentially misconfigured “landlord” meter in place for years while charging leaseholders on that basis.</w:t>
      </w:r>
    </w:p>
    <w:p w14:paraId="68670130" w14:textId="78801ADA"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If the Tribunal accepts that the main meter has been recording apartment loads as well as communal loads, then any service charge derived from that meter is, in my submission, unlawful under landlord and tenant legislation. Section 19 of the Landlord and Tenant Act 1985 limits recoverable service charges to costs that are “reasonably incurred”; section 27A gives this Tribunal jurisdiction to decide whether a service charge is payable and, if so, in what amount. Charging leaseholders, through the service charge, for electricity that properly relates to demised premises (and is already billed via each flat’s private supply), or for other non-communal loads, is not a reasonably incurred communal cost and is therefore not payable.</w:t>
      </w:r>
    </w:p>
    <w:p w14:paraId="349778AA" w14:textId="7320AF3A"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Once a serious suspicion of mis-metering exists, suppliers are required under OFGEM rules to investigate, arrange a meter test or attend site within a reasonable period. Here, leaseholders have been raising concerns about the accuracy and allocation of the landlord meter for several years. Rather than pressing the supplier and UK Power Networks to resolve the issue, the Respondent has continued to pay and recharge invoices based on that meter and has even </w:t>
      </w:r>
      <w:proofErr w:type="gramStart"/>
      <w:r w:rsidRPr="002D214D">
        <w:rPr>
          <w:rFonts w:ascii="Arial" w:hAnsi="Arial" w:cs="Arial"/>
          <w:kern w:val="0"/>
          <w:sz w:val="22"/>
          <w:szCs w:val="22"/>
          <w14:ligatures w14:val="none"/>
        </w:rPr>
        <w:t>entered into</w:t>
      </w:r>
      <w:proofErr w:type="gramEnd"/>
      <w:r w:rsidRPr="002D214D">
        <w:rPr>
          <w:rFonts w:ascii="Arial" w:hAnsi="Arial" w:cs="Arial"/>
          <w:kern w:val="0"/>
          <w:sz w:val="22"/>
          <w:szCs w:val="22"/>
          <w14:ligatures w14:val="none"/>
        </w:rPr>
        <w:t xml:space="preserve"> long-term minimum-consumption contracts on the same basis. In my view, that approach is fundamentally inconsistent with the requirement to act reasonably when incurring costs to be recovered from leaseholders.</w:t>
      </w:r>
    </w:p>
    <w:p w14:paraId="31FCE574" w14:textId="77777777" w:rsidR="002730D1" w:rsidRPr="002D214D" w:rsidRDefault="002730D1" w:rsidP="00C864B4">
      <w:pPr>
        <w:spacing w:after="0" w:line="240" w:lineRule="auto"/>
        <w:ind w:left="720"/>
        <w:contextualSpacing/>
        <w:jc w:val="both"/>
        <w:rPr>
          <w:rFonts w:ascii="Arial" w:hAnsi="Arial" w:cs="Arial"/>
          <w:kern w:val="0"/>
          <w:sz w:val="22"/>
          <w:szCs w:val="22"/>
          <w14:ligatures w14:val="none"/>
        </w:rPr>
      </w:pPr>
    </w:p>
    <w:p w14:paraId="4DFB68DC" w14:textId="77777777" w:rsidR="002730D1" w:rsidRPr="002D214D" w:rsidRDefault="002730D1" w:rsidP="00AB32A2">
      <w:pPr>
        <w:spacing w:after="0" w:line="240" w:lineRule="auto"/>
        <w:ind w:left="720"/>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Validation failures, bill-validation service and faulty invoices</w:t>
      </w:r>
    </w:p>
    <w:p w14:paraId="40EFE50B" w14:textId="77777777" w:rsidR="00C864B4" w:rsidRPr="002D214D" w:rsidRDefault="00C864B4" w:rsidP="00AB32A2">
      <w:pPr>
        <w:spacing w:after="0" w:line="240" w:lineRule="auto"/>
        <w:contextualSpacing/>
        <w:jc w:val="both"/>
        <w:rPr>
          <w:rFonts w:ascii="Arial" w:hAnsi="Arial" w:cs="Arial"/>
          <w:kern w:val="0"/>
          <w:sz w:val="22"/>
          <w:szCs w:val="22"/>
          <w14:ligatures w14:val="none"/>
        </w:rPr>
      </w:pPr>
    </w:p>
    <w:p w14:paraId="40F291F8" w14:textId="2231C3E5"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Respondent has engaged Affiliated Utilities (“AU”) as an invoice-validation and energy-management service. AU’s own literature describes its role as </w:t>
      </w:r>
      <w:proofErr w:type="gramStart"/>
      <w:r w:rsidRPr="002D214D">
        <w:rPr>
          <w:rFonts w:ascii="Arial" w:hAnsi="Arial" w:cs="Arial"/>
          <w:kern w:val="0"/>
          <w:sz w:val="22"/>
          <w:szCs w:val="22"/>
          <w14:ligatures w14:val="none"/>
        </w:rPr>
        <w:t>including:</w:t>
      </w:r>
      <w:proofErr w:type="gramEnd"/>
      <w:r w:rsidRPr="002D214D">
        <w:rPr>
          <w:rFonts w:ascii="Arial" w:hAnsi="Arial" w:cs="Arial"/>
          <w:kern w:val="0"/>
          <w:sz w:val="22"/>
          <w:szCs w:val="22"/>
          <w14:ligatures w14:val="none"/>
        </w:rPr>
        <w:t xml:space="preserve"> processing all utility invoices; verifying meter readings against data from data collectors; constantly receiving HH data to compare against invoices; and challenging incorrect charges. These services are paid for indirectly through the contracted kWh rates recovered from leaseholders.</w:t>
      </w:r>
    </w:p>
    <w:p w14:paraId="34D6ACF6" w14:textId="5DA115E6"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Despite this, the 2023 </w:t>
      </w:r>
      <w:proofErr w:type="spellStart"/>
      <w:r w:rsidRPr="002D214D">
        <w:rPr>
          <w:rFonts w:ascii="Arial" w:hAnsi="Arial" w:cs="Arial"/>
          <w:kern w:val="0"/>
          <w:sz w:val="22"/>
          <w:szCs w:val="22"/>
          <w14:ligatures w14:val="none"/>
        </w:rPr>
        <w:t>Pozitive</w:t>
      </w:r>
      <w:proofErr w:type="spellEnd"/>
      <w:r w:rsidR="003F3020">
        <w:rPr>
          <w:rFonts w:ascii="Arial" w:hAnsi="Arial" w:cs="Arial"/>
          <w:kern w:val="0"/>
          <w:sz w:val="22"/>
          <w:szCs w:val="22"/>
          <w14:ligatures w14:val="none"/>
        </w:rPr>
        <w:t xml:space="preserve"> Energy</w:t>
      </w:r>
      <w:r w:rsidRPr="002D214D">
        <w:rPr>
          <w:rFonts w:ascii="Arial" w:hAnsi="Arial" w:cs="Arial"/>
          <w:kern w:val="0"/>
          <w:sz w:val="22"/>
          <w:szCs w:val="22"/>
          <w14:ligatures w14:val="none"/>
        </w:rPr>
        <w:t xml:space="preserve"> invoices are riddled with obvious errors, as explained above. Some invoices that AU initially stamped as having “failed” validation were nonetheless paid; most months show multiple re-bills and contradictory readings. If AU’s validation </w:t>
      </w:r>
      <w:r w:rsidR="003F3020">
        <w:rPr>
          <w:rFonts w:ascii="Arial" w:hAnsi="Arial" w:cs="Arial"/>
          <w:kern w:val="0"/>
          <w:sz w:val="22"/>
          <w:szCs w:val="22"/>
          <w14:ligatures w14:val="none"/>
        </w:rPr>
        <w:t>systems</w:t>
      </w:r>
      <w:r w:rsidRPr="002D214D">
        <w:rPr>
          <w:rFonts w:ascii="Arial" w:hAnsi="Arial" w:cs="Arial"/>
          <w:kern w:val="0"/>
          <w:sz w:val="22"/>
          <w:szCs w:val="22"/>
          <w14:ligatures w14:val="none"/>
        </w:rPr>
        <w:t xml:space="preserve"> were operating effectively, and if the Respondent and Y&amp;Y were exercising proper oversight, these anomalies should have triggered immediate investigation and challenge, especially given the scale of the sums involved.</w:t>
      </w:r>
    </w:p>
    <w:p w14:paraId="2AB6395A" w14:textId="7A1DCD9D"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Instead, the pattern is of invoices being paid and only partially corrected months later, without clear reconciliation or explanation. In my view the bill-validation service is not fit for purpose. It has not prevented erroneous or excessive charges from being passed on to leaseholders and, in some cases, appears to have given a false sense of reassurance that bills were correct when they plainly were not. The Applicants should not have to bear the cost of a service that has demonstrably failed to protect their interests.</w:t>
      </w:r>
    </w:p>
    <w:p w14:paraId="2BC2FF53" w14:textId="77777777" w:rsidR="002730D1" w:rsidRPr="002D214D" w:rsidRDefault="002730D1" w:rsidP="00AB32A2">
      <w:pPr>
        <w:spacing w:after="0" w:line="240" w:lineRule="auto"/>
        <w:ind w:left="720"/>
        <w:contextualSpacing/>
        <w:jc w:val="both"/>
        <w:rPr>
          <w:rFonts w:ascii="Arial" w:hAnsi="Arial" w:cs="Arial"/>
          <w:kern w:val="0"/>
          <w:sz w:val="22"/>
          <w:szCs w:val="22"/>
          <w14:ligatures w14:val="none"/>
        </w:rPr>
      </w:pPr>
    </w:p>
    <w:p w14:paraId="72C9CD85" w14:textId="77777777" w:rsidR="002730D1" w:rsidRPr="002D214D" w:rsidRDefault="002730D1" w:rsidP="00F40338">
      <w:pPr>
        <w:spacing w:after="0" w:line="240" w:lineRule="auto"/>
        <w:ind w:left="720"/>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Comfort cooling and </w:t>
      </w:r>
      <w:proofErr w:type="gramStart"/>
      <w:r w:rsidRPr="002D214D">
        <w:rPr>
          <w:rFonts w:ascii="Arial" w:hAnsi="Arial" w:cs="Arial"/>
          <w:kern w:val="0"/>
          <w:sz w:val="22"/>
          <w:szCs w:val="22"/>
          <w14:ligatures w14:val="none"/>
        </w:rPr>
        <w:t>mis-attribution</w:t>
      </w:r>
      <w:proofErr w:type="gramEnd"/>
    </w:p>
    <w:p w14:paraId="3494BED4" w14:textId="77777777" w:rsidR="00AB32A2" w:rsidRPr="002D214D" w:rsidRDefault="00AB32A2" w:rsidP="00AB32A2">
      <w:pPr>
        <w:spacing w:after="0" w:line="240" w:lineRule="auto"/>
        <w:contextualSpacing/>
        <w:jc w:val="both"/>
        <w:rPr>
          <w:rFonts w:ascii="Arial" w:hAnsi="Arial" w:cs="Arial"/>
          <w:kern w:val="0"/>
          <w:sz w:val="22"/>
          <w:szCs w:val="22"/>
          <w14:ligatures w14:val="none"/>
        </w:rPr>
      </w:pPr>
    </w:p>
    <w:p w14:paraId="42DE5443" w14:textId="07D8A497"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In earlier correspondence (for example Y&amp;Y’s letter of 25 July 2018: </w:t>
      </w:r>
      <w:r w:rsidRPr="003F3020">
        <w:rPr>
          <w:rFonts w:ascii="Arial" w:hAnsi="Arial" w:cs="Arial"/>
          <w:b/>
          <w:bCs/>
          <w:kern w:val="0"/>
          <w:sz w:val="22"/>
          <w:szCs w:val="22"/>
          <w14:ligatures w14:val="none"/>
        </w:rPr>
        <w:t xml:space="preserve">exhibit KH2 </w:t>
      </w:r>
      <w:r w:rsidR="003F3020">
        <w:rPr>
          <w:rFonts w:ascii="Arial" w:hAnsi="Arial" w:cs="Arial"/>
          <w:b/>
          <w:bCs/>
          <w:kern w:val="0"/>
          <w:sz w:val="22"/>
          <w:szCs w:val="22"/>
          <w14:ligatures w14:val="none"/>
        </w:rPr>
        <w:t>page 901</w:t>
      </w:r>
      <w:r w:rsidRPr="003F3020">
        <w:rPr>
          <w:rFonts w:ascii="Arial" w:hAnsi="Arial" w:cs="Arial"/>
          <w:b/>
          <w:bCs/>
          <w:kern w:val="0"/>
          <w:sz w:val="22"/>
          <w:szCs w:val="22"/>
          <w14:ligatures w14:val="none"/>
        </w:rPr>
        <w:t>)</w:t>
      </w:r>
      <w:r w:rsidRPr="002D214D">
        <w:rPr>
          <w:rFonts w:ascii="Arial" w:hAnsi="Arial" w:cs="Arial"/>
          <w:kern w:val="0"/>
          <w:sz w:val="22"/>
          <w:szCs w:val="22"/>
          <w14:ligatures w14:val="none"/>
        </w:rPr>
        <w:t>, the managing agent sought to attribute the very high communal electricity costs to “comfort cooling”, suggesting that the apartments’ cooling loads explained an overspend of over £40,000.</w:t>
      </w:r>
    </w:p>
    <w:p w14:paraId="66536C39" w14:textId="2CBC7B84"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However, the electrical survey undertaken for the Applicants shows that, even on a high-use assumption of 12 hours’ chiller operation per day (which overstates </w:t>
      </w:r>
      <w:r w:rsidRPr="002D214D">
        <w:rPr>
          <w:rFonts w:ascii="Arial" w:hAnsi="Arial" w:cs="Arial"/>
          <w:kern w:val="0"/>
          <w:sz w:val="22"/>
          <w:szCs w:val="22"/>
          <w14:ligatures w14:val="none"/>
        </w:rPr>
        <w:lastRenderedPageBreak/>
        <w:t>usage, because chillers do not run at that duty throughout the year), total annual consumption for the chillers would be about 36,500 kWh. At a unit rate of 12p per kWh, that equates to approximately £4,380 per year. This does not come close to justifying the Respondent’s suggestion that cooling alone explains the very large communal electricity costs.</w:t>
      </w:r>
    </w:p>
    <w:p w14:paraId="296BB767" w14:textId="2BE12D2B"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Respondent </w:t>
      </w:r>
      <w:r w:rsidR="003F3020">
        <w:rPr>
          <w:rFonts w:ascii="Arial" w:hAnsi="Arial" w:cs="Arial"/>
          <w:kern w:val="0"/>
          <w:sz w:val="22"/>
          <w:szCs w:val="22"/>
          <w14:ligatures w14:val="none"/>
        </w:rPr>
        <w:t xml:space="preserve">in their statement of case, </w:t>
      </w:r>
      <w:r w:rsidRPr="002D214D">
        <w:rPr>
          <w:rFonts w:ascii="Arial" w:hAnsi="Arial" w:cs="Arial"/>
          <w:kern w:val="0"/>
          <w:sz w:val="22"/>
          <w:szCs w:val="22"/>
          <w14:ligatures w14:val="none"/>
        </w:rPr>
        <w:t>has also repeatedly asserted that cooling-related standing charges collected via Clever Energy are “offsetting” the communal electricity bill. However, there is no evidence of any such credits in the communal-electricity account. Cooling standing charges are collected separately by Clever Energy and there is no corresponding credit line in the service-charge accounts. Flats are therefore being charged twice for the same cooling-related electricity: once through communal electricity and again through Clever Energy standing charges. I address this in more detail in the section of my statement dealing with Clever Energy cooling charges.</w:t>
      </w:r>
    </w:p>
    <w:p w14:paraId="2467A517" w14:textId="77777777" w:rsidR="002730D1" w:rsidRPr="002D214D" w:rsidRDefault="002730D1" w:rsidP="00F40338">
      <w:pPr>
        <w:spacing w:after="0" w:line="240" w:lineRule="auto"/>
        <w:ind w:left="720"/>
        <w:contextualSpacing/>
        <w:jc w:val="both"/>
        <w:rPr>
          <w:rFonts w:ascii="Arial" w:hAnsi="Arial" w:cs="Arial"/>
          <w:kern w:val="0"/>
          <w:sz w:val="22"/>
          <w:szCs w:val="22"/>
          <w14:ligatures w14:val="none"/>
        </w:rPr>
      </w:pPr>
    </w:p>
    <w:p w14:paraId="37351F73" w14:textId="77777777" w:rsidR="002730D1" w:rsidRPr="002D214D" w:rsidRDefault="002730D1" w:rsidP="00F36035">
      <w:pPr>
        <w:spacing w:after="0" w:line="240" w:lineRule="auto"/>
        <w:ind w:left="720"/>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Supplier penalties, minimum-usage obligations and accounting practices</w:t>
      </w:r>
    </w:p>
    <w:p w14:paraId="20FB01A0" w14:textId="77777777" w:rsidR="00F40338" w:rsidRPr="002D214D" w:rsidRDefault="00F40338" w:rsidP="00F40338">
      <w:pPr>
        <w:spacing w:after="0" w:line="240" w:lineRule="auto"/>
        <w:contextualSpacing/>
        <w:jc w:val="both"/>
        <w:rPr>
          <w:rFonts w:ascii="Arial" w:hAnsi="Arial" w:cs="Arial"/>
          <w:kern w:val="0"/>
          <w:sz w:val="22"/>
          <w:szCs w:val="22"/>
          <w14:ligatures w14:val="none"/>
        </w:rPr>
      </w:pPr>
    </w:p>
    <w:p w14:paraId="0C044C2F" w14:textId="3AD0B635"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2023 and 2024 reconciliations include multiple “late-payment” fees and other supplier penalties levied by </w:t>
      </w:r>
      <w:proofErr w:type="spellStart"/>
      <w:r w:rsidRPr="002D214D">
        <w:rPr>
          <w:rFonts w:ascii="Arial" w:hAnsi="Arial" w:cs="Arial"/>
          <w:kern w:val="0"/>
          <w:sz w:val="22"/>
          <w:szCs w:val="22"/>
          <w14:ligatures w14:val="none"/>
        </w:rPr>
        <w:t>Pozitive</w:t>
      </w:r>
      <w:proofErr w:type="spellEnd"/>
      <w:r w:rsidRPr="002D214D">
        <w:rPr>
          <w:rFonts w:ascii="Arial" w:hAnsi="Arial" w:cs="Arial"/>
          <w:kern w:val="0"/>
          <w:sz w:val="22"/>
          <w:szCs w:val="22"/>
          <w14:ligatures w14:val="none"/>
        </w:rPr>
        <w:t xml:space="preserve"> Energy and Digital Power. These arise purely from administration failures – late payment of invoices, failure to set up direct debits correctly, or failure to challenge erroneous bills promptly. They are not part of the cost of supplying electricity and cannot be regarded as “reasonably incurred” within the meaning of section 19 of the Landlord and Tenant Act 1985. They should be disallowed in full.</w:t>
      </w:r>
    </w:p>
    <w:p w14:paraId="1BEB4C8A" w14:textId="5DAA4F81"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Similarly, any costs associated with minimum-usage penalties or capacity-related charges embedded in the </w:t>
      </w:r>
      <w:proofErr w:type="spellStart"/>
      <w:r w:rsidRPr="002D214D">
        <w:rPr>
          <w:rFonts w:ascii="Arial" w:hAnsi="Arial" w:cs="Arial"/>
          <w:kern w:val="0"/>
          <w:sz w:val="22"/>
          <w:szCs w:val="22"/>
          <w14:ligatures w14:val="none"/>
        </w:rPr>
        <w:t>Pozitive</w:t>
      </w:r>
      <w:proofErr w:type="spellEnd"/>
      <w:r w:rsidRPr="002D214D">
        <w:rPr>
          <w:rFonts w:ascii="Arial" w:hAnsi="Arial" w:cs="Arial"/>
          <w:kern w:val="0"/>
          <w:sz w:val="22"/>
          <w:szCs w:val="22"/>
          <w14:ligatures w14:val="none"/>
        </w:rPr>
        <w:t xml:space="preserve"> and Digital Power contracts are, in my view, unreasonable. The Respondent knowingly signed a minimum-usage contract at around 260,000 kWh per year, a figure which, given its portfolio of over 200 MPANs, it must have known was extraordinarily high for a 22-flat block. It was not reasonable to commit leaseholders to that level of contractual exposure without first establishing whether the recorded consumption represented genuine communal usage or was the product of metering/allocation problems.</w:t>
      </w:r>
    </w:p>
    <w:p w14:paraId="2CE41D14" w14:textId="4E0AE790"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As noted above, the Respondent’s own spreadsheet for 2024 shows total electricity invoices of £114,946.38, yet the annual accounts charge leaseholders £128,000. This unexplained discrepancy reinforces the conclusion that the electricity charges are inconsistent and unreliable and that any excess over the invoiced total should be refunded.</w:t>
      </w:r>
    </w:p>
    <w:p w14:paraId="463C6507" w14:textId="77777777" w:rsidR="002730D1" w:rsidRPr="002D214D" w:rsidRDefault="002730D1" w:rsidP="00F36035">
      <w:pPr>
        <w:spacing w:after="0" w:line="240" w:lineRule="auto"/>
        <w:ind w:left="720"/>
        <w:contextualSpacing/>
        <w:jc w:val="both"/>
        <w:rPr>
          <w:rFonts w:ascii="Arial" w:hAnsi="Arial" w:cs="Arial"/>
          <w:kern w:val="0"/>
          <w:sz w:val="22"/>
          <w:szCs w:val="22"/>
          <w14:ligatures w14:val="none"/>
        </w:rPr>
      </w:pPr>
    </w:p>
    <w:p w14:paraId="15FC9271" w14:textId="77777777" w:rsidR="002730D1" w:rsidRPr="002D214D" w:rsidRDefault="002730D1" w:rsidP="00F36035">
      <w:pPr>
        <w:spacing w:after="0" w:line="240" w:lineRule="auto"/>
        <w:ind w:left="720"/>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Overall position and relief sought</w:t>
      </w:r>
    </w:p>
    <w:p w14:paraId="3DB2ADF9" w14:textId="77777777" w:rsidR="00F36035" w:rsidRPr="002D214D" w:rsidRDefault="00F36035" w:rsidP="00F36035">
      <w:pPr>
        <w:spacing w:after="0" w:line="240" w:lineRule="auto"/>
        <w:contextualSpacing/>
        <w:jc w:val="both"/>
        <w:rPr>
          <w:rFonts w:ascii="Arial" w:hAnsi="Arial" w:cs="Arial"/>
          <w:kern w:val="0"/>
          <w:sz w:val="22"/>
          <w:szCs w:val="22"/>
          <w14:ligatures w14:val="none"/>
        </w:rPr>
      </w:pPr>
    </w:p>
    <w:p w14:paraId="158AA4D0" w14:textId="4EDA7E9A"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In summary, the communal electricity charges at 8 Artillery Row are, on the Respondent’s own figures, extraordinarily high when compared with:</w:t>
      </w:r>
    </w:p>
    <w:p w14:paraId="02E1760A" w14:textId="610274AB" w:rsidR="002730D1" w:rsidRPr="002D214D" w:rsidRDefault="002730D1" w:rsidP="003B0AD2">
      <w:pPr>
        <w:numPr>
          <w:ilvl w:val="0"/>
          <w:numId w:val="11"/>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the building’s historic </w:t>
      </w:r>
      <w:proofErr w:type="gramStart"/>
      <w:r w:rsidRPr="002D214D">
        <w:rPr>
          <w:rFonts w:ascii="Arial" w:hAnsi="Arial" w:cs="Arial"/>
          <w:kern w:val="0"/>
          <w:sz w:val="22"/>
          <w:szCs w:val="22"/>
          <w14:ligatures w14:val="none"/>
        </w:rPr>
        <w:t>usage;</w:t>
      </w:r>
      <w:proofErr w:type="gramEnd"/>
    </w:p>
    <w:p w14:paraId="1E7A1322" w14:textId="534D7AFD" w:rsidR="002730D1" w:rsidRPr="002D214D" w:rsidRDefault="002730D1" w:rsidP="003B0AD2">
      <w:pPr>
        <w:numPr>
          <w:ilvl w:val="0"/>
          <w:numId w:val="11"/>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comparable Avon-managed properties; and</w:t>
      </w:r>
    </w:p>
    <w:p w14:paraId="4C3CCD5B" w14:textId="0289E2C0" w:rsidR="002730D1" w:rsidRPr="002D214D" w:rsidRDefault="002730D1" w:rsidP="003B0AD2">
      <w:pPr>
        <w:numPr>
          <w:ilvl w:val="0"/>
          <w:numId w:val="11"/>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reasonable engineering estimates of genuine communal load.</w:t>
      </w:r>
    </w:p>
    <w:p w14:paraId="539EE9E9" w14:textId="2210098A"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The billing history is characterised by errors, re-bills and incomplete validation; the MOP arrangements are opaque and potentially duplicated; known inefficiencies (such as poor power factor and phase imbalance) have not been addressed; and there is strong evidence that substantial elements of flats’ own consumption are being wrongly treated as communal.</w:t>
      </w:r>
    </w:p>
    <w:p w14:paraId="12805EEC" w14:textId="2CAE4658"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In these circumstances, I respectfully invite the Tribunal to find that the Respondent has not demonstrated that the full electricity costs have been “reasonably incurred” or correctly allocated. In the absence of reliable data and proper allocation, I ask the Tribunal to adopt our pragmatic approach that only 30% of the billed electricity </w:t>
      </w:r>
      <w:r w:rsidRPr="002D214D">
        <w:rPr>
          <w:rFonts w:ascii="Arial" w:hAnsi="Arial" w:cs="Arial"/>
          <w:kern w:val="0"/>
          <w:sz w:val="22"/>
          <w:szCs w:val="22"/>
          <w14:ligatures w14:val="none"/>
        </w:rPr>
        <w:lastRenderedPageBreak/>
        <w:t>on the main intake meter should be treated as recoverable communal cost, with the remaining 70% disallowed or treated as non-service-charge expenditure.</w:t>
      </w:r>
    </w:p>
    <w:p w14:paraId="61C63DF4" w14:textId="4FD38A7E" w:rsidR="002730D1" w:rsidRPr="002D214D" w:rsidRDefault="002730D1" w:rsidP="00AA140A">
      <w:pPr>
        <w:numPr>
          <w:ilvl w:val="0"/>
          <w:numId w:val="7"/>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I also ask the Tribunal to:</w:t>
      </w:r>
    </w:p>
    <w:p w14:paraId="0D4398A7" w14:textId="28909EEA" w:rsidR="002730D1" w:rsidRPr="002D214D" w:rsidRDefault="002730D1" w:rsidP="00E46844">
      <w:pPr>
        <w:numPr>
          <w:ilvl w:val="0"/>
          <w:numId w:val="12"/>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disallow all supplier penalties and </w:t>
      </w:r>
      <w:proofErr w:type="gramStart"/>
      <w:r w:rsidRPr="002D214D">
        <w:rPr>
          <w:rFonts w:ascii="Arial" w:hAnsi="Arial" w:cs="Arial"/>
          <w:kern w:val="0"/>
          <w:sz w:val="22"/>
          <w:szCs w:val="22"/>
          <w14:ligatures w14:val="none"/>
        </w:rPr>
        <w:t>late-payment</w:t>
      </w:r>
      <w:proofErr w:type="gramEnd"/>
      <w:r w:rsidRPr="002D214D">
        <w:rPr>
          <w:rFonts w:ascii="Arial" w:hAnsi="Arial" w:cs="Arial"/>
          <w:kern w:val="0"/>
          <w:sz w:val="22"/>
          <w:szCs w:val="22"/>
          <w14:ligatures w14:val="none"/>
        </w:rPr>
        <w:t xml:space="preserve"> </w:t>
      </w:r>
      <w:proofErr w:type="gramStart"/>
      <w:r w:rsidRPr="002D214D">
        <w:rPr>
          <w:rFonts w:ascii="Arial" w:hAnsi="Arial" w:cs="Arial"/>
          <w:kern w:val="0"/>
          <w:sz w:val="22"/>
          <w:szCs w:val="22"/>
          <w14:ligatures w14:val="none"/>
        </w:rPr>
        <w:t>charges;</w:t>
      </w:r>
      <w:proofErr w:type="gramEnd"/>
    </w:p>
    <w:p w14:paraId="7543FE6E" w14:textId="2D49E189" w:rsidR="002730D1" w:rsidRPr="002D214D" w:rsidRDefault="002730D1" w:rsidP="00E46844">
      <w:pPr>
        <w:numPr>
          <w:ilvl w:val="0"/>
          <w:numId w:val="12"/>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disallow or substantially reduce the cost of the ineffective bill-validation service; and</w:t>
      </w:r>
    </w:p>
    <w:p w14:paraId="2FBE02FE" w14:textId="33F39D51" w:rsidR="00726447" w:rsidRPr="002D214D" w:rsidRDefault="00726447" w:rsidP="00E46844">
      <w:pPr>
        <w:numPr>
          <w:ilvl w:val="0"/>
          <w:numId w:val="12"/>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 xml:space="preserve">Determine that the </w:t>
      </w:r>
      <w:r w:rsidR="00F75F29" w:rsidRPr="002D214D">
        <w:rPr>
          <w:rFonts w:ascii="Arial" w:hAnsi="Arial" w:cs="Arial"/>
          <w:kern w:val="0"/>
          <w:sz w:val="22"/>
          <w:szCs w:val="22"/>
          <w14:ligatures w14:val="none"/>
        </w:rPr>
        <w:t xml:space="preserve">invoices do not reflect a true consumption of the communal landlord </w:t>
      </w:r>
      <w:r w:rsidR="00B57C29" w:rsidRPr="002D214D">
        <w:rPr>
          <w:rFonts w:ascii="Arial" w:hAnsi="Arial" w:cs="Arial"/>
          <w:kern w:val="0"/>
          <w:sz w:val="22"/>
          <w:szCs w:val="22"/>
          <w14:ligatures w14:val="none"/>
        </w:rPr>
        <w:t xml:space="preserve">electrical appliances/plants and </w:t>
      </w:r>
      <w:r w:rsidR="00953FD9" w:rsidRPr="002D214D">
        <w:rPr>
          <w:rFonts w:ascii="Arial" w:hAnsi="Arial" w:cs="Arial"/>
          <w:kern w:val="0"/>
          <w:sz w:val="22"/>
          <w:szCs w:val="22"/>
          <w14:ligatures w14:val="none"/>
        </w:rPr>
        <w:t xml:space="preserve">reduce the </w:t>
      </w:r>
      <w:r w:rsidR="00CD021E" w:rsidRPr="002D214D">
        <w:rPr>
          <w:rFonts w:ascii="Arial" w:hAnsi="Arial" w:cs="Arial"/>
          <w:kern w:val="0"/>
          <w:sz w:val="22"/>
          <w:szCs w:val="22"/>
          <w14:ligatures w14:val="none"/>
        </w:rPr>
        <w:t>cost of electricity so far invoiced.</w:t>
      </w:r>
    </w:p>
    <w:p w14:paraId="5499F2A5" w14:textId="1E4EF28A" w:rsidR="00037D0D" w:rsidRDefault="002730D1" w:rsidP="004D1DC4">
      <w:pPr>
        <w:numPr>
          <w:ilvl w:val="0"/>
          <w:numId w:val="12"/>
        </w:numPr>
        <w:spacing w:after="0" w:line="240" w:lineRule="auto"/>
        <w:contextualSpacing/>
        <w:jc w:val="both"/>
        <w:rPr>
          <w:rFonts w:ascii="Arial" w:hAnsi="Arial" w:cs="Arial"/>
          <w:kern w:val="0"/>
          <w:sz w:val="22"/>
          <w:szCs w:val="22"/>
          <w14:ligatures w14:val="none"/>
        </w:rPr>
      </w:pPr>
      <w:r w:rsidRPr="002D214D">
        <w:rPr>
          <w:rFonts w:ascii="Arial" w:hAnsi="Arial" w:cs="Arial"/>
          <w:kern w:val="0"/>
          <w:sz w:val="22"/>
          <w:szCs w:val="22"/>
          <w14:ligatures w14:val="none"/>
        </w:rPr>
        <w:t>require the Respondent, at its own cost, to put in place appropriate metering, verification, phase-balancing and power-factor-correction measures so that future communal electricity costs are reduced to a reasonable level and are based on accurate, properly allocated consumption.</w:t>
      </w:r>
    </w:p>
    <w:p w14:paraId="0E19A84B" w14:textId="77777777" w:rsidR="004D1DC4" w:rsidRPr="00B43F33" w:rsidRDefault="004D1DC4" w:rsidP="00B43F33">
      <w:pPr>
        <w:spacing w:after="0" w:line="240" w:lineRule="auto"/>
        <w:ind w:left="1440"/>
        <w:contextualSpacing/>
        <w:jc w:val="both"/>
        <w:rPr>
          <w:rFonts w:ascii="Arial" w:hAnsi="Arial" w:cs="Arial"/>
          <w:kern w:val="0"/>
          <w:sz w:val="22"/>
          <w:szCs w:val="22"/>
          <w14:ligatures w14:val="none"/>
        </w:rPr>
      </w:pPr>
    </w:p>
    <w:p w14:paraId="6BFF5F58" w14:textId="77777777" w:rsidR="000B4EB4" w:rsidRPr="00B43F33" w:rsidRDefault="000B4EB4" w:rsidP="00B43F33">
      <w:pPr>
        <w:pStyle w:val="p1"/>
        <w:jc w:val="both"/>
        <w:rPr>
          <w:rFonts w:ascii="Arial" w:hAnsi="Arial" w:cs="Arial"/>
          <w:sz w:val="22"/>
          <w:szCs w:val="22"/>
        </w:rPr>
      </w:pPr>
      <w:r w:rsidRPr="00B43F33">
        <w:rPr>
          <w:rStyle w:val="s1"/>
          <w:rFonts w:ascii="Arial" w:hAnsi="Arial" w:cs="Arial"/>
          <w:sz w:val="22"/>
          <w:szCs w:val="22"/>
        </w:rPr>
        <w:t>COOLING STANDING CHARGES AND DOUBLE RECOVERY OF ELECTRICITY COSTS</w:t>
      </w:r>
    </w:p>
    <w:p w14:paraId="6604B479" w14:textId="2CE6D902" w:rsidR="00BC7332" w:rsidRPr="00B43F33" w:rsidRDefault="000B4EB4" w:rsidP="00B43F33">
      <w:pPr>
        <w:pStyle w:val="p1"/>
        <w:numPr>
          <w:ilvl w:val="0"/>
          <w:numId w:val="7"/>
        </w:numPr>
        <w:jc w:val="both"/>
        <w:rPr>
          <w:rFonts w:ascii="Arial" w:hAnsi="Arial" w:cs="Arial"/>
          <w:sz w:val="22"/>
          <w:szCs w:val="22"/>
        </w:rPr>
      </w:pPr>
      <w:r w:rsidRPr="00B43F33">
        <w:rPr>
          <w:rStyle w:val="s1"/>
          <w:rFonts w:ascii="Arial" w:hAnsi="Arial" w:cs="Arial"/>
          <w:sz w:val="22"/>
          <w:szCs w:val="22"/>
        </w:rPr>
        <w:t>8 Artillery Row is served by a central comfort-cooling system (chillers and associated plant) located in the communal plant room.</w:t>
      </w:r>
      <w:r w:rsidR="00CC150F" w:rsidRPr="00B43F33">
        <w:rPr>
          <w:rStyle w:val="s1"/>
          <w:rFonts w:ascii="Arial" w:hAnsi="Arial" w:cs="Arial"/>
          <w:sz w:val="22"/>
          <w:szCs w:val="22"/>
        </w:rPr>
        <w:t xml:space="preserve"> This </w:t>
      </w:r>
      <w:r w:rsidR="007D27E2" w:rsidRPr="00B43F33">
        <w:rPr>
          <w:rStyle w:val="s1"/>
          <w:rFonts w:ascii="Arial" w:hAnsi="Arial" w:cs="Arial"/>
          <w:sz w:val="22"/>
          <w:szCs w:val="22"/>
        </w:rPr>
        <w:t xml:space="preserve">runs on electricity only and connected to the Landlord’s distribution </w:t>
      </w:r>
      <w:r w:rsidR="006A1281" w:rsidRPr="00B43F33">
        <w:rPr>
          <w:rStyle w:val="s1"/>
          <w:rFonts w:ascii="Arial" w:hAnsi="Arial" w:cs="Arial"/>
          <w:sz w:val="22"/>
          <w:szCs w:val="22"/>
        </w:rPr>
        <w:t xml:space="preserve">board </w:t>
      </w:r>
      <w:r w:rsidR="006A1281" w:rsidRPr="00B43F33">
        <w:rPr>
          <w:rStyle w:val="s1"/>
          <w:rFonts w:ascii="Arial" w:hAnsi="Arial" w:cs="Arial"/>
          <w:b/>
          <w:bCs/>
          <w:sz w:val="22"/>
          <w:szCs w:val="22"/>
        </w:rPr>
        <w:t>(ex</w:t>
      </w:r>
      <w:r w:rsidR="002A08F3" w:rsidRPr="00B43F33">
        <w:rPr>
          <w:rStyle w:val="s1"/>
          <w:rFonts w:ascii="Arial" w:hAnsi="Arial" w:cs="Arial"/>
          <w:b/>
          <w:bCs/>
          <w:sz w:val="22"/>
          <w:szCs w:val="22"/>
        </w:rPr>
        <w:t>hibit KH02 page</w:t>
      </w:r>
      <w:r w:rsidR="00C82F3B">
        <w:rPr>
          <w:rStyle w:val="s1"/>
          <w:rFonts w:ascii="Arial" w:hAnsi="Arial" w:cs="Arial"/>
          <w:b/>
          <w:bCs/>
          <w:sz w:val="22"/>
          <w:szCs w:val="22"/>
        </w:rPr>
        <w:t>s</w:t>
      </w:r>
      <w:r w:rsidR="003A7DFC" w:rsidRPr="00B43F33">
        <w:rPr>
          <w:rStyle w:val="s1"/>
          <w:rFonts w:ascii="Arial" w:hAnsi="Arial" w:cs="Arial"/>
          <w:b/>
          <w:bCs/>
          <w:sz w:val="22"/>
          <w:szCs w:val="22"/>
        </w:rPr>
        <w:t xml:space="preserve"> </w:t>
      </w:r>
      <w:r w:rsidR="003F3020">
        <w:rPr>
          <w:rStyle w:val="s1"/>
          <w:rFonts w:ascii="Arial" w:hAnsi="Arial" w:cs="Arial"/>
          <w:b/>
          <w:bCs/>
          <w:sz w:val="22"/>
          <w:szCs w:val="22"/>
        </w:rPr>
        <w:t>722 and 1055</w:t>
      </w:r>
      <w:r w:rsidR="00F13965" w:rsidRPr="00B43F33">
        <w:rPr>
          <w:rStyle w:val="s1"/>
          <w:rFonts w:ascii="Arial" w:hAnsi="Arial" w:cs="Arial"/>
          <w:b/>
          <w:bCs/>
          <w:sz w:val="22"/>
          <w:szCs w:val="22"/>
        </w:rPr>
        <w:t>).</w:t>
      </w:r>
      <w:r w:rsidRPr="00B43F33">
        <w:rPr>
          <w:rStyle w:val="s1"/>
          <w:rFonts w:ascii="Arial" w:hAnsi="Arial" w:cs="Arial"/>
          <w:sz w:val="22"/>
          <w:szCs w:val="22"/>
        </w:rPr>
        <w:t xml:space="preserve"> The full cost of communal electricity – including the electricity used by the chillers, pumps and cooling plant – is charged to leaseholders through the service charge as “communal electricity” and related headings. In addition, residents who are connected to the comfort-cooling system are billed a separate “Comfort Cooling” standing charge on their Clever Energy invoices.</w:t>
      </w:r>
    </w:p>
    <w:p w14:paraId="09F72C35" w14:textId="528EE4A9" w:rsidR="000B4EB4" w:rsidRPr="00B43F33" w:rsidRDefault="000B4EB4" w:rsidP="00B43F33">
      <w:pPr>
        <w:pStyle w:val="p1"/>
        <w:numPr>
          <w:ilvl w:val="0"/>
          <w:numId w:val="7"/>
        </w:numPr>
        <w:jc w:val="both"/>
        <w:rPr>
          <w:rFonts w:ascii="Arial" w:hAnsi="Arial" w:cs="Arial"/>
          <w:sz w:val="22"/>
          <w:szCs w:val="22"/>
        </w:rPr>
      </w:pPr>
      <w:r w:rsidRPr="00B43F33">
        <w:rPr>
          <w:rStyle w:val="s1"/>
          <w:rFonts w:ascii="Arial" w:hAnsi="Arial" w:cs="Arial"/>
          <w:sz w:val="22"/>
          <w:szCs w:val="22"/>
        </w:rPr>
        <w:t>My analysis of the Clever Energy invoices shows that the cooling standing charge has increased dramatically over time. In 2017 it was approximately £0.16 per day per flat; by 2025 it had risen to around £1.82 per day per flat. This represents an increase by a factor of more than eleven over eight years. Using the monthly breakdowns on the Clever Energy invoices, I have prepared a spreadsheet and graph</w:t>
      </w:r>
      <w:r w:rsidR="00C82F3B">
        <w:rPr>
          <w:rStyle w:val="s1"/>
          <w:rFonts w:ascii="Arial" w:hAnsi="Arial" w:cs="Arial"/>
          <w:sz w:val="22"/>
          <w:szCs w:val="22"/>
        </w:rPr>
        <w:t xml:space="preserve"> </w:t>
      </w:r>
      <w:r w:rsidRPr="00B43F33">
        <w:rPr>
          <w:rStyle w:val="s1"/>
          <w:rFonts w:ascii="Arial" w:hAnsi="Arial" w:cs="Arial"/>
          <w:sz w:val="22"/>
          <w:szCs w:val="22"/>
        </w:rPr>
        <w:t>showing the total cooling standing charges collected each year and the sharp escalation in the daily rate.</w:t>
      </w:r>
      <w:r w:rsidR="00CE51E5" w:rsidRPr="00B43F33">
        <w:rPr>
          <w:rStyle w:val="s1"/>
          <w:rFonts w:ascii="Arial" w:hAnsi="Arial" w:cs="Arial"/>
          <w:sz w:val="22"/>
          <w:szCs w:val="22"/>
        </w:rPr>
        <w:t xml:space="preserve"> </w:t>
      </w:r>
      <w:r w:rsidR="008130CD" w:rsidRPr="00B43F33">
        <w:rPr>
          <w:rStyle w:val="s1"/>
          <w:rFonts w:ascii="Arial" w:hAnsi="Arial" w:cs="Arial"/>
          <w:b/>
          <w:bCs/>
          <w:sz w:val="22"/>
          <w:szCs w:val="22"/>
        </w:rPr>
        <w:t xml:space="preserve">(Exhibit KH02 page </w:t>
      </w:r>
      <w:r w:rsidR="00C82F3B">
        <w:rPr>
          <w:rStyle w:val="s1"/>
          <w:rFonts w:ascii="Arial" w:hAnsi="Arial" w:cs="Arial"/>
          <w:b/>
          <w:bCs/>
          <w:sz w:val="22"/>
          <w:szCs w:val="22"/>
        </w:rPr>
        <w:t>904</w:t>
      </w:r>
      <w:r w:rsidR="0061013D" w:rsidRPr="00B43F33">
        <w:rPr>
          <w:rStyle w:val="s1"/>
          <w:rFonts w:ascii="Arial" w:hAnsi="Arial" w:cs="Arial"/>
          <w:b/>
          <w:bCs/>
          <w:sz w:val="22"/>
          <w:szCs w:val="22"/>
        </w:rPr>
        <w:t>)</w:t>
      </w:r>
    </w:p>
    <w:p w14:paraId="6A679BB5" w14:textId="1133DCE9" w:rsidR="000B4EB4" w:rsidRPr="00B43F33" w:rsidRDefault="000B4EB4" w:rsidP="00B43F33">
      <w:pPr>
        <w:pStyle w:val="p1"/>
        <w:numPr>
          <w:ilvl w:val="0"/>
          <w:numId w:val="7"/>
        </w:numPr>
        <w:jc w:val="both"/>
        <w:rPr>
          <w:rFonts w:ascii="Arial" w:hAnsi="Arial" w:cs="Arial"/>
          <w:sz w:val="22"/>
          <w:szCs w:val="22"/>
        </w:rPr>
      </w:pPr>
      <w:r w:rsidRPr="00B43F33">
        <w:rPr>
          <w:rStyle w:val="s1"/>
          <w:rFonts w:ascii="Arial" w:hAnsi="Arial" w:cs="Arial"/>
          <w:sz w:val="22"/>
          <w:szCs w:val="22"/>
        </w:rPr>
        <w:t xml:space="preserve">In his email dated 23 June 2025 responding to questions from the Residents’ Association, </w:t>
      </w:r>
      <w:r w:rsidR="00C82F3B">
        <w:rPr>
          <w:rStyle w:val="s1"/>
          <w:rFonts w:ascii="Arial" w:hAnsi="Arial" w:cs="Arial"/>
          <w:sz w:val="22"/>
          <w:szCs w:val="22"/>
        </w:rPr>
        <w:t xml:space="preserve">at Q14 </w:t>
      </w:r>
      <w:r w:rsidRPr="00B43F33">
        <w:rPr>
          <w:rStyle w:val="s1"/>
          <w:rFonts w:ascii="Arial" w:hAnsi="Arial" w:cs="Arial"/>
          <w:sz w:val="22"/>
          <w:szCs w:val="22"/>
        </w:rPr>
        <w:t>Richard Simmons states in answer to Q14 that the Comfort Cooling standing charge “covers the electricity costs of operating the plant room” and that electricity costs have increased significantly. He also says that there is an “outstanding issue with the installation of cooling meters”, which has prevented accurate measurement of consumption, and that billing based on usage will resume once this is resolved.</w:t>
      </w:r>
      <w:r w:rsidRPr="00B43F33">
        <w:rPr>
          <w:rStyle w:val="apple-converted-space"/>
          <w:rFonts w:ascii="Arial" w:hAnsi="Arial" w:cs="Arial"/>
          <w:sz w:val="22"/>
          <w:szCs w:val="22"/>
        </w:rPr>
        <w:t xml:space="preserve">  </w:t>
      </w:r>
      <w:r w:rsidR="00A63B87" w:rsidRPr="00B43F33">
        <w:rPr>
          <w:rStyle w:val="apple-converted-space"/>
          <w:rFonts w:ascii="Arial" w:hAnsi="Arial" w:cs="Arial"/>
          <w:b/>
          <w:bCs/>
          <w:sz w:val="22"/>
          <w:szCs w:val="22"/>
        </w:rPr>
        <w:t>(Exhibit KH2 page</w:t>
      </w:r>
      <w:r w:rsidR="00C82F3B">
        <w:rPr>
          <w:rStyle w:val="apple-converted-space"/>
          <w:rFonts w:ascii="Arial" w:hAnsi="Arial" w:cs="Arial"/>
          <w:b/>
          <w:bCs/>
          <w:sz w:val="22"/>
          <w:szCs w:val="22"/>
        </w:rPr>
        <w:t xml:space="preserve"> 595</w:t>
      </w:r>
      <w:r w:rsidR="00F41705" w:rsidRPr="00B43F33">
        <w:rPr>
          <w:rStyle w:val="apple-converted-space"/>
          <w:rFonts w:ascii="Arial" w:hAnsi="Arial" w:cs="Arial"/>
          <w:b/>
          <w:bCs/>
          <w:sz w:val="22"/>
          <w:szCs w:val="22"/>
        </w:rPr>
        <w:t>)</w:t>
      </w:r>
    </w:p>
    <w:p w14:paraId="23CD6046" w14:textId="77777777" w:rsidR="000B4EB4" w:rsidRPr="00B43F33" w:rsidRDefault="000B4EB4" w:rsidP="00B43F33">
      <w:pPr>
        <w:pStyle w:val="p1"/>
        <w:numPr>
          <w:ilvl w:val="0"/>
          <w:numId w:val="7"/>
        </w:numPr>
        <w:jc w:val="both"/>
        <w:rPr>
          <w:rFonts w:ascii="Arial" w:hAnsi="Arial" w:cs="Arial"/>
          <w:sz w:val="22"/>
          <w:szCs w:val="22"/>
        </w:rPr>
      </w:pPr>
      <w:r w:rsidRPr="00B43F33">
        <w:rPr>
          <w:rStyle w:val="s1"/>
          <w:rFonts w:ascii="Arial" w:hAnsi="Arial" w:cs="Arial"/>
          <w:sz w:val="22"/>
          <w:szCs w:val="22"/>
        </w:rPr>
        <w:t xml:space="preserve">In answer to Q16 of the same email, </w:t>
      </w:r>
      <w:proofErr w:type="spellStart"/>
      <w:r w:rsidRPr="00B43F33">
        <w:rPr>
          <w:rStyle w:val="s1"/>
          <w:rFonts w:ascii="Arial" w:hAnsi="Arial" w:cs="Arial"/>
          <w:sz w:val="22"/>
          <w:szCs w:val="22"/>
        </w:rPr>
        <w:t>Mr</w:t>
      </w:r>
      <w:proofErr w:type="spellEnd"/>
      <w:r w:rsidRPr="00B43F33">
        <w:rPr>
          <w:rStyle w:val="s1"/>
          <w:rFonts w:ascii="Arial" w:hAnsi="Arial" w:cs="Arial"/>
          <w:sz w:val="22"/>
          <w:szCs w:val="22"/>
        </w:rPr>
        <w:t xml:space="preserve"> Simmons states that “The Comfort Cooling standing charge is intended to offset part of the communal electricity bill” and that, once metering issues are resolved and individual usage is billed directly, more of the communal energy cost will be recouped through those usage bills. He also confirms that the communal electricity bill includes lifts, car-park lighting and other shared systems, not just cooling.</w:t>
      </w:r>
      <w:r w:rsidRPr="00B43F33">
        <w:rPr>
          <w:rStyle w:val="apple-converted-space"/>
          <w:rFonts w:ascii="Arial" w:hAnsi="Arial" w:cs="Arial"/>
          <w:sz w:val="22"/>
          <w:szCs w:val="22"/>
        </w:rPr>
        <w:t xml:space="preserve">  </w:t>
      </w:r>
    </w:p>
    <w:p w14:paraId="18F31807" w14:textId="6F65BA57" w:rsidR="000B4EB4" w:rsidRPr="00B43F33" w:rsidRDefault="000B4EB4" w:rsidP="00B43F33">
      <w:pPr>
        <w:pStyle w:val="p1"/>
        <w:numPr>
          <w:ilvl w:val="0"/>
          <w:numId w:val="7"/>
        </w:numPr>
        <w:jc w:val="both"/>
        <w:rPr>
          <w:rFonts w:ascii="Arial" w:hAnsi="Arial" w:cs="Arial"/>
          <w:sz w:val="22"/>
          <w:szCs w:val="22"/>
        </w:rPr>
      </w:pPr>
      <w:r w:rsidRPr="00B43F33">
        <w:rPr>
          <w:rStyle w:val="s1"/>
          <w:rFonts w:ascii="Arial" w:hAnsi="Arial" w:cs="Arial"/>
          <w:sz w:val="22"/>
          <w:szCs w:val="22"/>
        </w:rPr>
        <w:t>Paul Simpson of Clever Energy gives a different account in his letter dated 7 October 2025. At paragraph 9 he states: “Clever Energy Cooling – standing charges are shown on the monthly tenant invoices attached. The standing charge is applied by the supplier and must be passed on to tenants whether they use the cooling or not. There is no credit, it pays the supplier bill otherwise the freeholder would not collect sufficient funds and need to add the shortfall to the service charge.”</w:t>
      </w:r>
      <w:r w:rsidRPr="00B43F33">
        <w:rPr>
          <w:rStyle w:val="apple-converted-space"/>
          <w:rFonts w:ascii="Arial" w:hAnsi="Arial" w:cs="Arial"/>
          <w:sz w:val="22"/>
          <w:szCs w:val="22"/>
        </w:rPr>
        <w:t xml:space="preserve">  </w:t>
      </w:r>
      <w:r w:rsidR="004F4F0B" w:rsidRPr="00B43F33">
        <w:rPr>
          <w:rStyle w:val="apple-converted-space"/>
          <w:rFonts w:ascii="Arial" w:hAnsi="Arial" w:cs="Arial"/>
          <w:b/>
          <w:bCs/>
          <w:sz w:val="22"/>
          <w:szCs w:val="22"/>
        </w:rPr>
        <w:t>(exhibit KH2 pages</w:t>
      </w:r>
      <w:r w:rsidR="00BA7339" w:rsidRPr="00B43F33">
        <w:rPr>
          <w:rStyle w:val="apple-converted-space"/>
          <w:rFonts w:ascii="Arial" w:hAnsi="Arial" w:cs="Arial"/>
          <w:b/>
          <w:bCs/>
          <w:sz w:val="22"/>
          <w:szCs w:val="22"/>
        </w:rPr>
        <w:t xml:space="preserve"> </w:t>
      </w:r>
      <w:r w:rsidR="00C82F3B">
        <w:rPr>
          <w:rStyle w:val="apple-converted-space"/>
          <w:rFonts w:ascii="Arial" w:hAnsi="Arial" w:cs="Arial"/>
          <w:b/>
          <w:bCs/>
          <w:sz w:val="22"/>
          <w:szCs w:val="22"/>
        </w:rPr>
        <w:t>681-682</w:t>
      </w:r>
      <w:r w:rsidR="00993AF7" w:rsidRPr="00B43F33">
        <w:rPr>
          <w:rStyle w:val="apple-converted-space"/>
          <w:rFonts w:ascii="Arial" w:hAnsi="Arial" w:cs="Arial"/>
          <w:b/>
          <w:bCs/>
          <w:sz w:val="22"/>
          <w:szCs w:val="22"/>
        </w:rPr>
        <w:t>)</w:t>
      </w:r>
    </w:p>
    <w:p w14:paraId="40ED79AB" w14:textId="570D7428" w:rsidR="000B4EB4" w:rsidRPr="00B43F33" w:rsidRDefault="000B4EB4" w:rsidP="00B43F33">
      <w:pPr>
        <w:pStyle w:val="p1"/>
        <w:numPr>
          <w:ilvl w:val="0"/>
          <w:numId w:val="7"/>
        </w:numPr>
        <w:jc w:val="both"/>
        <w:rPr>
          <w:rFonts w:ascii="Arial" w:hAnsi="Arial" w:cs="Arial"/>
          <w:sz w:val="22"/>
          <w:szCs w:val="22"/>
        </w:rPr>
      </w:pPr>
      <w:r w:rsidRPr="00B43F33">
        <w:rPr>
          <w:rStyle w:val="s1"/>
          <w:rFonts w:ascii="Arial" w:hAnsi="Arial" w:cs="Arial"/>
          <w:sz w:val="22"/>
          <w:szCs w:val="22"/>
        </w:rPr>
        <w:t>The Respondent’s Statement of Case</w:t>
      </w:r>
      <w:r w:rsidR="00C82F3B">
        <w:rPr>
          <w:rStyle w:val="s1"/>
          <w:rFonts w:ascii="Arial" w:hAnsi="Arial" w:cs="Arial"/>
          <w:sz w:val="22"/>
          <w:szCs w:val="22"/>
        </w:rPr>
        <w:t xml:space="preserve"> at paragraph 17</w:t>
      </w:r>
      <w:r w:rsidRPr="00B43F33">
        <w:rPr>
          <w:rStyle w:val="s1"/>
          <w:rFonts w:ascii="Arial" w:hAnsi="Arial" w:cs="Arial"/>
          <w:sz w:val="22"/>
          <w:szCs w:val="22"/>
        </w:rPr>
        <w:t xml:space="preserve">, however, asserts that the standard charge for cooling is billed by the billing agents and that the sums </w:t>
      </w:r>
      <w:r w:rsidRPr="00B43F33">
        <w:rPr>
          <w:rStyle w:val="s1"/>
          <w:rFonts w:ascii="Arial" w:hAnsi="Arial" w:cs="Arial"/>
          <w:sz w:val="22"/>
          <w:szCs w:val="22"/>
        </w:rPr>
        <w:lastRenderedPageBreak/>
        <w:t xml:space="preserve">collected “are credited to the service charge”. </w:t>
      </w:r>
      <w:r w:rsidR="001A638F" w:rsidRPr="00B43F33">
        <w:rPr>
          <w:rStyle w:val="s1"/>
          <w:rFonts w:ascii="Arial" w:hAnsi="Arial" w:cs="Arial"/>
          <w:b/>
          <w:bCs/>
          <w:sz w:val="22"/>
          <w:szCs w:val="22"/>
        </w:rPr>
        <w:t>(E</w:t>
      </w:r>
      <w:r w:rsidR="00DD5CE7" w:rsidRPr="00B43F33">
        <w:rPr>
          <w:rStyle w:val="s1"/>
          <w:rFonts w:ascii="Arial" w:hAnsi="Arial" w:cs="Arial"/>
          <w:b/>
          <w:bCs/>
          <w:sz w:val="22"/>
          <w:szCs w:val="22"/>
        </w:rPr>
        <w:t>xhibit KH2 page</w:t>
      </w:r>
      <w:r w:rsidR="00C82F3B">
        <w:rPr>
          <w:rStyle w:val="s1"/>
          <w:rFonts w:ascii="Arial" w:hAnsi="Arial" w:cs="Arial"/>
          <w:b/>
          <w:bCs/>
          <w:sz w:val="22"/>
          <w:szCs w:val="22"/>
        </w:rPr>
        <w:t xml:space="preserve"> 686</w:t>
      </w:r>
      <w:r w:rsidR="00DD5CE7" w:rsidRPr="00B43F33">
        <w:rPr>
          <w:rStyle w:val="s1"/>
          <w:rFonts w:ascii="Arial" w:hAnsi="Arial" w:cs="Arial"/>
          <w:b/>
          <w:bCs/>
          <w:sz w:val="22"/>
          <w:szCs w:val="22"/>
        </w:rPr>
        <w:t>)</w:t>
      </w:r>
      <w:r w:rsidR="00C82F3B">
        <w:rPr>
          <w:rStyle w:val="s1"/>
          <w:rFonts w:ascii="Arial" w:hAnsi="Arial" w:cs="Arial"/>
          <w:b/>
          <w:bCs/>
          <w:sz w:val="22"/>
          <w:szCs w:val="22"/>
        </w:rPr>
        <w:t xml:space="preserve">. </w:t>
      </w:r>
      <w:r w:rsidRPr="00B43F33">
        <w:rPr>
          <w:rStyle w:val="s1"/>
          <w:rFonts w:ascii="Arial" w:hAnsi="Arial" w:cs="Arial"/>
          <w:sz w:val="22"/>
          <w:szCs w:val="22"/>
        </w:rPr>
        <w:t>Taken together, these three descriptions are mutually inconsistent:</w:t>
      </w:r>
    </w:p>
    <w:p w14:paraId="716166A4" w14:textId="77777777" w:rsidR="000B4EB4" w:rsidRPr="00B43F33" w:rsidRDefault="000B4EB4" w:rsidP="00B43F33">
      <w:pPr>
        <w:pStyle w:val="p1"/>
        <w:ind w:left="720"/>
        <w:jc w:val="both"/>
        <w:rPr>
          <w:rFonts w:ascii="Arial" w:hAnsi="Arial" w:cs="Arial"/>
          <w:sz w:val="22"/>
          <w:szCs w:val="22"/>
        </w:rPr>
      </w:pPr>
      <w:r w:rsidRPr="00B43F33">
        <w:rPr>
          <w:rStyle w:val="s1"/>
          <w:rFonts w:ascii="Arial" w:hAnsi="Arial" w:cs="Arial"/>
          <w:sz w:val="22"/>
          <w:szCs w:val="22"/>
        </w:rPr>
        <w:t xml:space="preserve">(a) </w:t>
      </w:r>
      <w:proofErr w:type="spellStart"/>
      <w:r w:rsidRPr="00B43F33">
        <w:rPr>
          <w:rStyle w:val="s1"/>
          <w:rFonts w:ascii="Arial" w:hAnsi="Arial" w:cs="Arial"/>
          <w:sz w:val="22"/>
          <w:szCs w:val="22"/>
        </w:rPr>
        <w:t>Mr</w:t>
      </w:r>
      <w:proofErr w:type="spellEnd"/>
      <w:r w:rsidRPr="00B43F33">
        <w:rPr>
          <w:rStyle w:val="s1"/>
          <w:rFonts w:ascii="Arial" w:hAnsi="Arial" w:cs="Arial"/>
          <w:sz w:val="22"/>
          <w:szCs w:val="22"/>
        </w:rPr>
        <w:t xml:space="preserve"> Simmons says the standing charge is “intended to offset” the communal electricity bill.</w:t>
      </w:r>
    </w:p>
    <w:p w14:paraId="40AB9365" w14:textId="77777777" w:rsidR="000B4EB4" w:rsidRPr="00B43F33" w:rsidRDefault="000B4EB4" w:rsidP="00B43F33">
      <w:pPr>
        <w:pStyle w:val="p1"/>
        <w:ind w:left="720"/>
        <w:jc w:val="both"/>
        <w:rPr>
          <w:rFonts w:ascii="Arial" w:hAnsi="Arial" w:cs="Arial"/>
          <w:sz w:val="22"/>
          <w:szCs w:val="22"/>
        </w:rPr>
      </w:pPr>
      <w:r w:rsidRPr="00B43F33">
        <w:rPr>
          <w:rStyle w:val="s1"/>
          <w:rFonts w:ascii="Arial" w:hAnsi="Arial" w:cs="Arial"/>
          <w:sz w:val="22"/>
          <w:szCs w:val="22"/>
        </w:rPr>
        <w:t xml:space="preserve">(b) </w:t>
      </w:r>
      <w:proofErr w:type="spellStart"/>
      <w:r w:rsidRPr="00B43F33">
        <w:rPr>
          <w:rStyle w:val="s1"/>
          <w:rFonts w:ascii="Arial" w:hAnsi="Arial" w:cs="Arial"/>
          <w:sz w:val="22"/>
          <w:szCs w:val="22"/>
        </w:rPr>
        <w:t>Mr</w:t>
      </w:r>
      <w:proofErr w:type="spellEnd"/>
      <w:r w:rsidRPr="00B43F33">
        <w:rPr>
          <w:rStyle w:val="s1"/>
          <w:rFonts w:ascii="Arial" w:hAnsi="Arial" w:cs="Arial"/>
          <w:sz w:val="22"/>
          <w:szCs w:val="22"/>
        </w:rPr>
        <w:t xml:space="preserve"> Simpson says there is “no credit” and that the charge is needed to avoid a shortfall which would otherwise be added to the service charge.</w:t>
      </w:r>
      <w:r w:rsidRPr="00B43F33">
        <w:rPr>
          <w:rStyle w:val="apple-converted-space"/>
          <w:rFonts w:ascii="Arial" w:hAnsi="Arial" w:cs="Arial"/>
          <w:sz w:val="22"/>
          <w:szCs w:val="22"/>
        </w:rPr>
        <w:t xml:space="preserve">  </w:t>
      </w:r>
    </w:p>
    <w:p w14:paraId="1142603D" w14:textId="70EA73D3" w:rsidR="000B4EB4" w:rsidRPr="00B43F33" w:rsidRDefault="000B4EB4" w:rsidP="00B43F33">
      <w:pPr>
        <w:pStyle w:val="p1"/>
        <w:ind w:left="720"/>
        <w:jc w:val="both"/>
        <w:rPr>
          <w:rFonts w:ascii="Arial" w:hAnsi="Arial" w:cs="Arial"/>
          <w:sz w:val="22"/>
          <w:szCs w:val="22"/>
        </w:rPr>
      </w:pPr>
      <w:r w:rsidRPr="00B43F33">
        <w:rPr>
          <w:rStyle w:val="s1"/>
          <w:rFonts w:ascii="Arial" w:hAnsi="Arial" w:cs="Arial"/>
          <w:sz w:val="22"/>
          <w:szCs w:val="22"/>
        </w:rPr>
        <w:t>(c) The solicitors</w:t>
      </w:r>
      <w:r w:rsidR="00C82F3B">
        <w:rPr>
          <w:rStyle w:val="s1"/>
          <w:rFonts w:ascii="Arial" w:hAnsi="Arial" w:cs="Arial"/>
          <w:sz w:val="22"/>
          <w:szCs w:val="22"/>
        </w:rPr>
        <w:t xml:space="preserve"> of the Respondent </w:t>
      </w:r>
      <w:r w:rsidRPr="00B43F33">
        <w:rPr>
          <w:rStyle w:val="s1"/>
          <w:rFonts w:ascii="Arial" w:hAnsi="Arial" w:cs="Arial"/>
          <w:sz w:val="22"/>
          <w:szCs w:val="22"/>
        </w:rPr>
        <w:t>say the sums collected are credited back to the service charge.</w:t>
      </w:r>
    </w:p>
    <w:p w14:paraId="3A72AFC5" w14:textId="79BE4B2A" w:rsidR="000B4EB4" w:rsidRPr="00B43F33" w:rsidRDefault="000B4EB4" w:rsidP="00B43F33">
      <w:pPr>
        <w:pStyle w:val="p1"/>
        <w:ind w:left="720"/>
        <w:jc w:val="both"/>
        <w:rPr>
          <w:rFonts w:ascii="Arial" w:hAnsi="Arial" w:cs="Arial"/>
          <w:sz w:val="22"/>
          <w:szCs w:val="22"/>
        </w:rPr>
      </w:pPr>
      <w:r w:rsidRPr="00B43F33">
        <w:rPr>
          <w:rStyle w:val="s1"/>
          <w:rFonts w:ascii="Arial" w:hAnsi="Arial" w:cs="Arial"/>
          <w:sz w:val="22"/>
          <w:szCs w:val="22"/>
        </w:rPr>
        <w:t>No documentary evidence has been produced to show any actual credit entries from Clever Energy cooling income to the service-charge accounts</w:t>
      </w:r>
      <w:r w:rsidR="00705ABF" w:rsidRPr="00B43F33">
        <w:rPr>
          <w:rStyle w:val="s1"/>
          <w:rFonts w:ascii="Arial" w:hAnsi="Arial" w:cs="Arial"/>
          <w:sz w:val="22"/>
          <w:szCs w:val="22"/>
        </w:rPr>
        <w:t>, despite our repeated request</w:t>
      </w:r>
      <w:r w:rsidR="00C82F3B">
        <w:rPr>
          <w:rStyle w:val="s1"/>
          <w:rFonts w:ascii="Arial" w:hAnsi="Arial" w:cs="Arial"/>
          <w:sz w:val="22"/>
          <w:szCs w:val="22"/>
        </w:rPr>
        <w:t>s, citing GDPR reasons.</w:t>
      </w:r>
    </w:p>
    <w:p w14:paraId="5CCDE777" w14:textId="4A614940" w:rsidR="000B4EB4" w:rsidRPr="00B43F33" w:rsidRDefault="000B4EB4" w:rsidP="00B43F33">
      <w:pPr>
        <w:pStyle w:val="p1"/>
        <w:numPr>
          <w:ilvl w:val="0"/>
          <w:numId w:val="7"/>
        </w:numPr>
        <w:jc w:val="both"/>
        <w:rPr>
          <w:rFonts w:ascii="Arial" w:hAnsi="Arial" w:cs="Arial"/>
          <w:sz w:val="22"/>
          <w:szCs w:val="22"/>
        </w:rPr>
      </w:pPr>
      <w:r w:rsidRPr="00B43F33">
        <w:rPr>
          <w:rStyle w:val="s1"/>
          <w:rFonts w:ascii="Arial" w:hAnsi="Arial" w:cs="Arial"/>
          <w:sz w:val="22"/>
          <w:szCs w:val="22"/>
        </w:rPr>
        <w:t xml:space="preserve">My own review of the service-charge accounts, supported by </w:t>
      </w:r>
      <w:r w:rsidR="003C49B6" w:rsidRPr="00B43F33">
        <w:rPr>
          <w:rStyle w:val="s1"/>
          <w:rFonts w:ascii="Arial" w:hAnsi="Arial" w:cs="Arial"/>
          <w:sz w:val="22"/>
          <w:szCs w:val="22"/>
        </w:rPr>
        <w:t>reconciliation accounts</w:t>
      </w:r>
      <w:r w:rsidR="009C0C5C" w:rsidRPr="00B43F33">
        <w:rPr>
          <w:rStyle w:val="s1"/>
          <w:rFonts w:ascii="Arial" w:hAnsi="Arial" w:cs="Arial"/>
          <w:sz w:val="22"/>
          <w:szCs w:val="22"/>
        </w:rPr>
        <w:t xml:space="preserve"> and annual accounts</w:t>
      </w:r>
      <w:r w:rsidRPr="00B43F33">
        <w:rPr>
          <w:rStyle w:val="s1"/>
          <w:rFonts w:ascii="Arial" w:hAnsi="Arial" w:cs="Arial"/>
          <w:sz w:val="22"/>
          <w:szCs w:val="22"/>
        </w:rPr>
        <w:t xml:space="preserve">, shows the full communal electricity bill being charged to leaseholders through the service charge, with no separate line showing any credit or deduction corresponding to the Comfort Cooling standing charges collected by Clever Energy. The Respondent has refused to disclose the underlying income ledgers or a simple schedule of credits, citing confidentiality and GDPR, and </w:t>
      </w:r>
      <w:r w:rsidR="00D87770" w:rsidRPr="00B43F33">
        <w:rPr>
          <w:rStyle w:val="s1"/>
          <w:rFonts w:ascii="Arial" w:hAnsi="Arial" w:cs="Arial"/>
          <w:sz w:val="22"/>
          <w:szCs w:val="22"/>
        </w:rPr>
        <w:t>the Applicants are</w:t>
      </w:r>
      <w:r w:rsidRPr="00B43F33">
        <w:rPr>
          <w:rStyle w:val="s1"/>
          <w:rFonts w:ascii="Arial" w:hAnsi="Arial" w:cs="Arial"/>
          <w:sz w:val="22"/>
          <w:szCs w:val="22"/>
        </w:rPr>
        <w:t xml:space="preserve"> asked to accept “on trust” that such credits have been included somewhere within the income reconciliation. In the absence of evidence, I do not accept that assertion.</w:t>
      </w:r>
    </w:p>
    <w:p w14:paraId="6235A455" w14:textId="640244AA" w:rsidR="000B4EB4" w:rsidRPr="00B43F33" w:rsidRDefault="000B4EB4" w:rsidP="00B43F33">
      <w:pPr>
        <w:pStyle w:val="p1"/>
        <w:numPr>
          <w:ilvl w:val="0"/>
          <w:numId w:val="7"/>
        </w:numPr>
        <w:jc w:val="both"/>
        <w:rPr>
          <w:rFonts w:ascii="Arial" w:hAnsi="Arial" w:cs="Arial"/>
          <w:sz w:val="22"/>
          <w:szCs w:val="22"/>
        </w:rPr>
      </w:pPr>
      <w:r w:rsidRPr="00B43F33">
        <w:rPr>
          <w:rStyle w:val="s1"/>
          <w:rFonts w:ascii="Arial" w:hAnsi="Arial" w:cs="Arial"/>
          <w:sz w:val="22"/>
          <w:szCs w:val="22"/>
        </w:rPr>
        <w:t xml:space="preserve">There is therefore a real risk – and on the current documents I say a strong likelihood – that leaseholders are being charged twice for the same electricity: once via the communal electricity line in the service charge, and again via Clever Energy Comfort Cooling standing charges, without any corresponding credit back to the service-charge account. If </w:t>
      </w:r>
      <w:proofErr w:type="spellStart"/>
      <w:r w:rsidRPr="00B43F33">
        <w:rPr>
          <w:rStyle w:val="s1"/>
          <w:rFonts w:ascii="Arial" w:hAnsi="Arial" w:cs="Arial"/>
          <w:sz w:val="22"/>
          <w:szCs w:val="22"/>
        </w:rPr>
        <w:t>Mr</w:t>
      </w:r>
      <w:proofErr w:type="spellEnd"/>
      <w:r w:rsidRPr="00B43F33">
        <w:rPr>
          <w:rStyle w:val="s1"/>
          <w:rFonts w:ascii="Arial" w:hAnsi="Arial" w:cs="Arial"/>
          <w:sz w:val="22"/>
          <w:szCs w:val="22"/>
        </w:rPr>
        <w:t xml:space="preserve"> Simpson’s description is correct, the position is even worse: the Comfort Cooling standing charge is passed straight on to </w:t>
      </w:r>
      <w:r w:rsidR="009A26CD" w:rsidRPr="00B43F33">
        <w:rPr>
          <w:rStyle w:val="s1"/>
          <w:rFonts w:ascii="Arial" w:hAnsi="Arial" w:cs="Arial"/>
          <w:sz w:val="22"/>
          <w:szCs w:val="22"/>
        </w:rPr>
        <w:t xml:space="preserve">Freeholder to </w:t>
      </w:r>
      <w:r w:rsidR="006D58DC" w:rsidRPr="00B43F33">
        <w:rPr>
          <w:rStyle w:val="s1"/>
          <w:rFonts w:ascii="Arial" w:hAnsi="Arial" w:cs="Arial"/>
          <w:sz w:val="22"/>
          <w:szCs w:val="22"/>
        </w:rPr>
        <w:t xml:space="preserve">offset the cost incurred from the supplier to the Freeholder </w:t>
      </w:r>
      <w:r w:rsidR="004B2985" w:rsidRPr="00B43F33">
        <w:rPr>
          <w:rStyle w:val="s1"/>
          <w:rFonts w:ascii="Arial" w:hAnsi="Arial" w:cs="Arial"/>
          <w:sz w:val="22"/>
          <w:szCs w:val="22"/>
        </w:rPr>
        <w:t>whilst it is evident that leaseholders are paying the full cost of the electricity</w:t>
      </w:r>
      <w:r w:rsidR="009D38A3" w:rsidRPr="00B43F33">
        <w:rPr>
          <w:rStyle w:val="s1"/>
          <w:rFonts w:ascii="Arial" w:hAnsi="Arial" w:cs="Arial"/>
          <w:sz w:val="22"/>
          <w:szCs w:val="22"/>
        </w:rPr>
        <w:t>.</w:t>
      </w:r>
      <w:r w:rsidRPr="00B43F33">
        <w:rPr>
          <w:rStyle w:val="apple-converted-space"/>
          <w:rFonts w:ascii="Arial" w:hAnsi="Arial" w:cs="Arial"/>
          <w:sz w:val="22"/>
          <w:szCs w:val="22"/>
        </w:rPr>
        <w:t xml:space="preserve">  </w:t>
      </w:r>
    </w:p>
    <w:p w14:paraId="55C67A07" w14:textId="77777777" w:rsidR="000B4EB4" w:rsidRPr="00B43F33" w:rsidRDefault="000B4EB4" w:rsidP="00B43F33">
      <w:pPr>
        <w:pStyle w:val="p1"/>
        <w:numPr>
          <w:ilvl w:val="0"/>
          <w:numId w:val="7"/>
        </w:numPr>
        <w:jc w:val="both"/>
        <w:rPr>
          <w:rFonts w:ascii="Arial" w:hAnsi="Arial" w:cs="Arial"/>
          <w:sz w:val="22"/>
          <w:szCs w:val="22"/>
        </w:rPr>
      </w:pPr>
      <w:r w:rsidRPr="00B43F33">
        <w:rPr>
          <w:rStyle w:val="s1"/>
          <w:rFonts w:ascii="Arial" w:hAnsi="Arial" w:cs="Arial"/>
          <w:sz w:val="22"/>
          <w:szCs w:val="22"/>
        </w:rPr>
        <w:t xml:space="preserve">The position is further aggravated by the fact that cooling has not always been available in practice. As explained elsewhere in my statement, there have been prolonged periods in which certain flats (including the Penthouse) have had no </w:t>
      </w:r>
      <w:proofErr w:type="gramStart"/>
      <w:r w:rsidRPr="00B43F33">
        <w:rPr>
          <w:rStyle w:val="s1"/>
          <w:rFonts w:ascii="Arial" w:hAnsi="Arial" w:cs="Arial"/>
          <w:sz w:val="22"/>
          <w:szCs w:val="22"/>
        </w:rPr>
        <w:t>chilled-water</w:t>
      </w:r>
      <w:proofErr w:type="gramEnd"/>
      <w:r w:rsidRPr="00B43F33">
        <w:rPr>
          <w:rStyle w:val="s1"/>
          <w:rFonts w:ascii="Arial" w:hAnsi="Arial" w:cs="Arial"/>
          <w:sz w:val="22"/>
          <w:szCs w:val="22"/>
        </w:rPr>
        <w:t xml:space="preserve"> </w:t>
      </w:r>
      <w:proofErr w:type="gramStart"/>
      <w:r w:rsidRPr="00B43F33">
        <w:rPr>
          <w:rStyle w:val="s1"/>
          <w:rFonts w:ascii="Arial" w:hAnsi="Arial" w:cs="Arial"/>
          <w:sz w:val="22"/>
          <w:szCs w:val="22"/>
        </w:rPr>
        <w:t>flow, and</w:t>
      </w:r>
      <w:proofErr w:type="gramEnd"/>
      <w:r w:rsidRPr="00B43F33">
        <w:rPr>
          <w:rStyle w:val="s1"/>
          <w:rFonts w:ascii="Arial" w:hAnsi="Arial" w:cs="Arial"/>
          <w:sz w:val="22"/>
          <w:szCs w:val="22"/>
        </w:rPr>
        <w:t xml:space="preserve"> building management records show repeated chiller faults during hot weather. Yet throughout these periods, residents have continued to be billed the full Comfort Cooling standing charge </w:t>
      </w:r>
      <w:proofErr w:type="gramStart"/>
      <w:r w:rsidRPr="00B43F33">
        <w:rPr>
          <w:rStyle w:val="s1"/>
          <w:rFonts w:ascii="Arial" w:hAnsi="Arial" w:cs="Arial"/>
          <w:sz w:val="22"/>
          <w:szCs w:val="22"/>
        </w:rPr>
        <w:t>on a daily basis</w:t>
      </w:r>
      <w:proofErr w:type="gramEnd"/>
      <w:r w:rsidRPr="00B43F33">
        <w:rPr>
          <w:rStyle w:val="s1"/>
          <w:rFonts w:ascii="Arial" w:hAnsi="Arial" w:cs="Arial"/>
          <w:sz w:val="22"/>
          <w:szCs w:val="22"/>
        </w:rPr>
        <w:t>, at the greatly increased rate.</w:t>
      </w:r>
    </w:p>
    <w:p w14:paraId="73048C6A" w14:textId="60D08C54" w:rsidR="00543235" w:rsidRPr="00B43F33" w:rsidRDefault="000B4EB4" w:rsidP="00B43F33">
      <w:pPr>
        <w:pStyle w:val="p1"/>
        <w:numPr>
          <w:ilvl w:val="0"/>
          <w:numId w:val="7"/>
        </w:numPr>
        <w:jc w:val="both"/>
        <w:rPr>
          <w:rStyle w:val="s1"/>
          <w:rFonts w:ascii="Arial" w:hAnsi="Arial" w:cs="Arial"/>
          <w:sz w:val="22"/>
          <w:szCs w:val="22"/>
        </w:rPr>
      </w:pPr>
      <w:r w:rsidRPr="00B43F33">
        <w:rPr>
          <w:rStyle w:val="s1"/>
          <w:rFonts w:ascii="Arial" w:hAnsi="Arial" w:cs="Arial"/>
          <w:sz w:val="22"/>
          <w:szCs w:val="22"/>
        </w:rPr>
        <w:t xml:space="preserve">Under section 19 of the Landlord and Tenant Act 1985, service charges are only recoverable to the extent that the relevant costs are reasonably </w:t>
      </w:r>
      <w:proofErr w:type="gramStart"/>
      <w:r w:rsidRPr="00B43F33">
        <w:rPr>
          <w:rStyle w:val="s1"/>
          <w:rFonts w:ascii="Arial" w:hAnsi="Arial" w:cs="Arial"/>
          <w:sz w:val="22"/>
          <w:szCs w:val="22"/>
        </w:rPr>
        <w:t>incurred</w:t>
      </w:r>
      <w:proofErr w:type="gramEnd"/>
      <w:r w:rsidRPr="00B43F33">
        <w:rPr>
          <w:rStyle w:val="s1"/>
          <w:rFonts w:ascii="Arial" w:hAnsi="Arial" w:cs="Arial"/>
          <w:sz w:val="22"/>
          <w:szCs w:val="22"/>
        </w:rPr>
        <w:t xml:space="preserve"> and the services are provided to a reasonable standard. A charging structure that (a) appears to recover the full communal electricity bill through the service charge, (b) adds a large and rapidly increasing Comfort Cooling standing charge on top, (c) provides no transparent credit back to the service-charge accounts, and (d) continues to levy those standing charges even when cooling is not available, cannot in my view be regarded as “reasonably incurred”. Any duplicated or profit element in the Comfort Cooling charges, and any standing charges levied during periods of non-availability, should therefore be disallowed by the Tribuna</w:t>
      </w:r>
      <w:r w:rsidR="00857AFA" w:rsidRPr="00B43F33">
        <w:rPr>
          <w:rStyle w:val="s1"/>
          <w:rFonts w:ascii="Arial" w:hAnsi="Arial" w:cs="Arial"/>
          <w:sz w:val="22"/>
          <w:szCs w:val="22"/>
        </w:rPr>
        <w:t>l</w:t>
      </w:r>
    </w:p>
    <w:p w14:paraId="29A88B4F" w14:textId="642F47FB" w:rsidR="00323EDC" w:rsidRDefault="002D214D" w:rsidP="00B43F33">
      <w:pPr>
        <w:pStyle w:val="ListParagraph"/>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CHP – DESIGN INTENT, NON-OPERATION AND CONSEQUENCES</w:t>
      </w:r>
    </w:p>
    <w:p w14:paraId="30EEFB08" w14:textId="77777777" w:rsidR="00077DF0" w:rsidRPr="00B43F33" w:rsidRDefault="00077DF0" w:rsidP="00B43F33">
      <w:pPr>
        <w:pStyle w:val="ListParagraph"/>
        <w:spacing w:after="0" w:line="240" w:lineRule="auto"/>
        <w:jc w:val="both"/>
        <w:rPr>
          <w:rStyle w:val="s1"/>
          <w:rFonts w:ascii="Arial" w:hAnsi="Arial" w:cs="Arial"/>
          <w:kern w:val="0"/>
          <w:sz w:val="22"/>
          <w:szCs w:val="22"/>
          <w14:ligatures w14:val="none"/>
        </w:rPr>
      </w:pPr>
    </w:p>
    <w:p w14:paraId="76C2CC14" w14:textId="14A37C9B"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8 Artillery Row was designed and granted planning permission on the </w:t>
      </w:r>
      <w:r w:rsidR="00F61993">
        <w:rPr>
          <w:rFonts w:ascii="Arial" w:hAnsi="Arial" w:cs="Arial"/>
          <w:kern w:val="0"/>
          <w:sz w:val="22"/>
          <w:szCs w:val="22"/>
          <w14:ligatures w14:val="none"/>
        </w:rPr>
        <w:t xml:space="preserve">condition </w:t>
      </w:r>
      <w:r w:rsidR="007A6668">
        <w:rPr>
          <w:rFonts w:ascii="Arial" w:hAnsi="Arial" w:cs="Arial"/>
          <w:kern w:val="0"/>
          <w:sz w:val="22"/>
          <w:szCs w:val="22"/>
          <w14:ligatures w14:val="none"/>
        </w:rPr>
        <w:t>no.12</w:t>
      </w:r>
      <w:r w:rsidRPr="00B43F33">
        <w:rPr>
          <w:rFonts w:ascii="Arial" w:hAnsi="Arial" w:cs="Arial"/>
          <w:kern w:val="0"/>
          <w:sz w:val="22"/>
          <w:szCs w:val="22"/>
          <w14:ligatures w14:val="none"/>
        </w:rPr>
        <w:t xml:space="preserve"> that it would be served by a communal energy centre incorporating a Combined Heat and Power (“CHP”) unit in the plant room. </w:t>
      </w:r>
      <w:r w:rsidR="00934273">
        <w:rPr>
          <w:rFonts w:ascii="Arial" w:hAnsi="Arial" w:cs="Arial"/>
          <w:b/>
          <w:bCs/>
          <w:kern w:val="0"/>
          <w:sz w:val="22"/>
          <w:szCs w:val="22"/>
          <w14:ligatures w14:val="none"/>
        </w:rPr>
        <w:t>(Exhi</w:t>
      </w:r>
      <w:r w:rsidR="0006151D">
        <w:rPr>
          <w:rFonts w:ascii="Arial" w:hAnsi="Arial" w:cs="Arial"/>
          <w:b/>
          <w:bCs/>
          <w:kern w:val="0"/>
          <w:sz w:val="22"/>
          <w:szCs w:val="22"/>
          <w14:ligatures w14:val="none"/>
        </w:rPr>
        <w:t>bit KH2 pag</w:t>
      </w:r>
      <w:r w:rsidR="00C82F3B">
        <w:rPr>
          <w:rFonts w:ascii="Arial" w:hAnsi="Arial" w:cs="Arial"/>
          <w:b/>
          <w:bCs/>
          <w:kern w:val="0"/>
          <w:sz w:val="22"/>
          <w:szCs w:val="22"/>
          <w14:ligatures w14:val="none"/>
        </w:rPr>
        <w:t>e 279</w:t>
      </w:r>
      <w:r w:rsidR="00B81C19">
        <w:rPr>
          <w:rFonts w:ascii="Arial" w:hAnsi="Arial" w:cs="Arial"/>
          <w:b/>
          <w:bCs/>
          <w:kern w:val="0"/>
          <w:sz w:val="22"/>
          <w:szCs w:val="22"/>
          <w14:ligatures w14:val="none"/>
        </w:rPr>
        <w:t>)</w:t>
      </w:r>
      <w:r w:rsidR="007A6668">
        <w:rPr>
          <w:rFonts w:ascii="Arial" w:hAnsi="Arial" w:cs="Arial"/>
          <w:b/>
          <w:bCs/>
          <w:kern w:val="0"/>
          <w:sz w:val="22"/>
          <w:szCs w:val="22"/>
          <w14:ligatures w14:val="none"/>
        </w:rPr>
        <w:t>.</w:t>
      </w:r>
      <w:r w:rsidR="00B81C19">
        <w:rPr>
          <w:rFonts w:ascii="Arial" w:hAnsi="Arial" w:cs="Arial"/>
          <w:b/>
          <w:bCs/>
          <w:kern w:val="0"/>
          <w:sz w:val="22"/>
          <w:szCs w:val="22"/>
          <w14:ligatures w14:val="none"/>
        </w:rPr>
        <w:t xml:space="preserve"> </w:t>
      </w:r>
      <w:r w:rsidRPr="00B43F33">
        <w:rPr>
          <w:rFonts w:ascii="Arial" w:hAnsi="Arial" w:cs="Arial"/>
          <w:kern w:val="0"/>
          <w:sz w:val="22"/>
          <w:szCs w:val="22"/>
          <w14:ligatures w14:val="none"/>
        </w:rPr>
        <w:t xml:space="preserve">Under the </w:t>
      </w:r>
      <w:r w:rsidRPr="00B43F33">
        <w:rPr>
          <w:rFonts w:ascii="Arial" w:hAnsi="Arial" w:cs="Arial"/>
          <w:kern w:val="0"/>
          <w:sz w:val="22"/>
          <w:szCs w:val="22"/>
          <w14:ligatures w14:val="none"/>
        </w:rPr>
        <w:lastRenderedPageBreak/>
        <w:t xml:space="preserve">approved Energy Strategy Report </w:t>
      </w:r>
      <w:r w:rsidR="00526845">
        <w:rPr>
          <w:rFonts w:ascii="Arial" w:hAnsi="Arial" w:cs="Arial"/>
          <w:kern w:val="0"/>
          <w:sz w:val="22"/>
          <w:szCs w:val="22"/>
          <w14:ligatures w14:val="none"/>
        </w:rPr>
        <w:t xml:space="preserve">at page 4, </w:t>
      </w:r>
      <w:r w:rsidRPr="00B43F33">
        <w:rPr>
          <w:rFonts w:ascii="Arial" w:hAnsi="Arial" w:cs="Arial"/>
          <w:kern w:val="0"/>
          <w:sz w:val="22"/>
          <w:szCs w:val="22"/>
          <w14:ligatures w14:val="none"/>
        </w:rPr>
        <w:t xml:space="preserve">and the planning statement for the development, the CHP and high-efficiency boilers were intended to provide space heating and domestic hot water to the dwellings and common parts, with the CHP sized to meet 100% of the domestic hot-water demand and to make a substantial contribution to the building’s heating and electricity needs. The strategy documents explain that the CHP system would operate at around 80% overall efficiency, compared with roughly 55% for a traditional system, delivering around a 25% improvement in overall efficiency and a targeted carbon-emission reduction of around 21%. </w:t>
      </w:r>
      <w:r w:rsidRPr="00035924">
        <w:rPr>
          <w:rFonts w:ascii="Arial" w:hAnsi="Arial" w:cs="Arial"/>
          <w:b/>
          <w:bCs/>
          <w:kern w:val="0"/>
          <w:sz w:val="22"/>
          <w:szCs w:val="22"/>
          <w14:ligatures w14:val="none"/>
        </w:rPr>
        <w:t xml:space="preserve">(exhibit KH2 </w:t>
      </w:r>
      <w:r w:rsidR="007A6668" w:rsidRPr="00035924">
        <w:rPr>
          <w:rFonts w:ascii="Arial" w:hAnsi="Arial" w:cs="Arial"/>
          <w:b/>
          <w:bCs/>
          <w:kern w:val="0"/>
          <w:sz w:val="22"/>
          <w:szCs w:val="22"/>
          <w14:ligatures w14:val="none"/>
        </w:rPr>
        <w:t>page</w:t>
      </w:r>
      <w:r w:rsidR="00526845">
        <w:rPr>
          <w:rFonts w:ascii="Arial" w:hAnsi="Arial" w:cs="Arial"/>
          <w:b/>
          <w:bCs/>
          <w:kern w:val="0"/>
          <w:sz w:val="22"/>
          <w:szCs w:val="22"/>
          <w14:ligatures w14:val="none"/>
        </w:rPr>
        <w:t xml:space="preserve"> 974</w:t>
      </w:r>
      <w:r w:rsidR="00782806">
        <w:rPr>
          <w:rFonts w:ascii="Arial" w:hAnsi="Arial" w:cs="Arial"/>
          <w:b/>
          <w:bCs/>
          <w:kern w:val="0"/>
          <w:sz w:val="22"/>
          <w:szCs w:val="22"/>
          <w14:ligatures w14:val="none"/>
        </w:rPr>
        <w:t xml:space="preserve"> and 988</w:t>
      </w:r>
      <w:r w:rsidR="00035924" w:rsidRPr="00035924">
        <w:rPr>
          <w:rFonts w:ascii="Arial" w:hAnsi="Arial" w:cs="Arial"/>
          <w:b/>
          <w:bCs/>
          <w:kern w:val="0"/>
          <w:sz w:val="22"/>
          <w:szCs w:val="22"/>
          <w14:ligatures w14:val="none"/>
        </w:rPr>
        <w:t>)</w:t>
      </w:r>
    </w:p>
    <w:p w14:paraId="621C1EC6" w14:textId="75FB0C77" w:rsidR="00B10D2D" w:rsidRDefault="00B10D2D" w:rsidP="00B43F33">
      <w:pPr>
        <w:pStyle w:val="ListParagraph"/>
        <w:numPr>
          <w:ilvl w:val="0"/>
          <w:numId w:val="7"/>
        </w:numPr>
        <w:spacing w:after="0" w:line="240" w:lineRule="auto"/>
        <w:jc w:val="both"/>
        <w:rPr>
          <w:rFonts w:ascii="Arial" w:hAnsi="Arial" w:cs="Arial"/>
          <w:kern w:val="0"/>
          <w:sz w:val="22"/>
          <w:szCs w:val="22"/>
          <w14:ligatures w14:val="none"/>
        </w:rPr>
      </w:pPr>
      <w:r>
        <w:rPr>
          <w:rFonts w:ascii="Arial" w:hAnsi="Arial" w:cs="Arial"/>
          <w:kern w:val="0"/>
          <w:sz w:val="22"/>
          <w:szCs w:val="22"/>
          <w14:ligatures w14:val="none"/>
        </w:rPr>
        <w:t xml:space="preserve">The CHP is clearly referenced and explained to residents in the Resident’s Guide document at para 3.4.1 clearly explaining the role of the CHP unit </w:t>
      </w:r>
      <w:r w:rsidRPr="006175E3">
        <w:rPr>
          <w:rFonts w:ascii="Arial" w:hAnsi="Arial" w:cs="Arial"/>
          <w:b/>
          <w:bCs/>
          <w:kern w:val="0"/>
          <w:sz w:val="22"/>
          <w:szCs w:val="22"/>
          <w14:ligatures w14:val="none"/>
        </w:rPr>
        <w:t>(exhibit KH2 page</w:t>
      </w:r>
      <w:r>
        <w:rPr>
          <w:rFonts w:ascii="Arial" w:hAnsi="Arial" w:cs="Arial"/>
          <w:b/>
          <w:bCs/>
          <w:kern w:val="0"/>
          <w:sz w:val="22"/>
          <w:szCs w:val="22"/>
          <w14:ligatures w14:val="none"/>
        </w:rPr>
        <w:t xml:space="preserve"> </w:t>
      </w:r>
      <w:r w:rsidR="00526845">
        <w:rPr>
          <w:rFonts w:ascii="Arial" w:hAnsi="Arial" w:cs="Arial"/>
          <w:b/>
          <w:bCs/>
          <w:kern w:val="0"/>
          <w:sz w:val="22"/>
          <w:szCs w:val="22"/>
          <w14:ligatures w14:val="none"/>
        </w:rPr>
        <w:t>935-936</w:t>
      </w:r>
      <w:r w:rsidRPr="006175E3">
        <w:rPr>
          <w:rFonts w:ascii="Arial" w:hAnsi="Arial" w:cs="Arial"/>
          <w:b/>
          <w:bCs/>
          <w:kern w:val="0"/>
          <w:sz w:val="22"/>
          <w:szCs w:val="22"/>
          <w14:ligatures w14:val="none"/>
        </w:rPr>
        <w:t>)</w:t>
      </w:r>
      <w:r>
        <w:rPr>
          <w:rFonts w:ascii="Arial" w:hAnsi="Arial" w:cs="Arial"/>
          <w:b/>
          <w:bCs/>
          <w:kern w:val="0"/>
          <w:sz w:val="22"/>
          <w:szCs w:val="22"/>
          <w14:ligatures w14:val="none"/>
        </w:rPr>
        <w:t>.</w:t>
      </w:r>
    </w:p>
    <w:p w14:paraId="2A1C2583" w14:textId="0A8BFF85"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A CHP unit</w:t>
      </w:r>
      <w:r w:rsidR="000679D7">
        <w:rPr>
          <w:rFonts w:ascii="Arial" w:hAnsi="Arial" w:cs="Arial"/>
          <w:kern w:val="0"/>
          <w:sz w:val="22"/>
          <w:szCs w:val="22"/>
          <w14:ligatures w14:val="none"/>
        </w:rPr>
        <w:t xml:space="preserve"> </w:t>
      </w:r>
      <w:r w:rsidR="000679D7">
        <w:rPr>
          <w:rFonts w:ascii="Arial" w:hAnsi="Arial" w:cs="Arial"/>
          <w:b/>
          <w:bCs/>
          <w:kern w:val="0"/>
          <w:sz w:val="22"/>
          <w:szCs w:val="22"/>
          <w14:ligatures w14:val="none"/>
        </w:rPr>
        <w:t>(exhibit KH2 pages</w:t>
      </w:r>
      <w:r w:rsidR="00D23B74">
        <w:rPr>
          <w:rFonts w:ascii="Arial" w:hAnsi="Arial" w:cs="Arial"/>
          <w:b/>
          <w:bCs/>
          <w:kern w:val="0"/>
          <w:sz w:val="22"/>
          <w:szCs w:val="22"/>
          <w14:ligatures w14:val="none"/>
        </w:rPr>
        <w:t xml:space="preserve"> </w:t>
      </w:r>
      <w:r w:rsidR="00526845">
        <w:rPr>
          <w:rFonts w:ascii="Arial" w:hAnsi="Arial" w:cs="Arial"/>
          <w:b/>
          <w:bCs/>
          <w:kern w:val="0"/>
          <w:sz w:val="22"/>
          <w:szCs w:val="22"/>
          <w14:ligatures w14:val="none"/>
        </w:rPr>
        <w:t>1000-1013</w:t>
      </w:r>
      <w:proofErr w:type="gramStart"/>
      <w:r w:rsidR="00D23B74">
        <w:rPr>
          <w:rFonts w:ascii="Arial" w:hAnsi="Arial" w:cs="Arial"/>
          <w:b/>
          <w:bCs/>
          <w:kern w:val="0"/>
          <w:sz w:val="22"/>
          <w:szCs w:val="22"/>
          <w14:ligatures w14:val="none"/>
        </w:rPr>
        <w:t xml:space="preserve">) </w:t>
      </w:r>
      <w:r w:rsidRPr="00B43F33">
        <w:rPr>
          <w:rFonts w:ascii="Arial" w:hAnsi="Arial" w:cs="Arial"/>
          <w:kern w:val="0"/>
          <w:sz w:val="22"/>
          <w:szCs w:val="22"/>
          <w14:ligatures w14:val="none"/>
        </w:rPr>
        <w:t xml:space="preserve"> is</w:t>
      </w:r>
      <w:proofErr w:type="gramEnd"/>
      <w:r w:rsidRPr="00B43F33">
        <w:rPr>
          <w:rFonts w:ascii="Arial" w:hAnsi="Arial" w:cs="Arial"/>
          <w:kern w:val="0"/>
          <w:sz w:val="22"/>
          <w:szCs w:val="22"/>
          <w14:ligatures w14:val="none"/>
        </w:rPr>
        <w:t>, in simple terms, an engine that burns gas to produce both heat and electricity at the same time. In this building, the intention was that:</w:t>
      </w:r>
    </w:p>
    <w:p w14:paraId="14D7CB04" w14:textId="77777777"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a. Gas would be burned in the CHP engine, producing heat that would heat the water for the communal heating and </w:t>
      </w:r>
      <w:proofErr w:type="gramStart"/>
      <w:r w:rsidRPr="00B43F33">
        <w:rPr>
          <w:rFonts w:ascii="Arial" w:hAnsi="Arial" w:cs="Arial"/>
          <w:kern w:val="0"/>
          <w:sz w:val="22"/>
          <w:szCs w:val="22"/>
          <w14:ligatures w14:val="none"/>
        </w:rPr>
        <w:t>hot-water</w:t>
      </w:r>
      <w:proofErr w:type="gramEnd"/>
      <w:r w:rsidRPr="00B43F33">
        <w:rPr>
          <w:rFonts w:ascii="Arial" w:hAnsi="Arial" w:cs="Arial"/>
          <w:kern w:val="0"/>
          <w:sz w:val="22"/>
          <w:szCs w:val="22"/>
          <w14:ligatures w14:val="none"/>
        </w:rPr>
        <w:t xml:space="preserve"> </w:t>
      </w:r>
      <w:proofErr w:type="gramStart"/>
      <w:r w:rsidRPr="00B43F33">
        <w:rPr>
          <w:rFonts w:ascii="Arial" w:hAnsi="Arial" w:cs="Arial"/>
          <w:kern w:val="0"/>
          <w:sz w:val="22"/>
          <w:szCs w:val="22"/>
          <w14:ligatures w14:val="none"/>
        </w:rPr>
        <w:t>system;</w:t>
      </w:r>
      <w:proofErr w:type="gramEnd"/>
    </w:p>
    <w:p w14:paraId="35940350" w14:textId="77777777"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b. At the same time, the CHP would generate electricity (around 9 kW for the XRGI-9 model installed here) to power communal loads such as pumps, boilers, lifts, lighting and controls; and</w:t>
      </w:r>
    </w:p>
    <w:p w14:paraId="0A4FEA02" w14:textId="77777777"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c. The back-up gas boilers would act as “lag” or top-up </w:t>
      </w:r>
      <w:proofErr w:type="gramStart"/>
      <w:r w:rsidRPr="00B43F33">
        <w:rPr>
          <w:rFonts w:ascii="Arial" w:hAnsi="Arial" w:cs="Arial"/>
          <w:kern w:val="0"/>
          <w:sz w:val="22"/>
          <w:szCs w:val="22"/>
          <w14:ligatures w14:val="none"/>
        </w:rPr>
        <w:t>plant,  whilst</w:t>
      </w:r>
      <w:proofErr w:type="gramEnd"/>
      <w:r w:rsidRPr="00B43F33">
        <w:rPr>
          <w:rFonts w:ascii="Arial" w:hAnsi="Arial" w:cs="Arial"/>
          <w:kern w:val="0"/>
          <w:sz w:val="22"/>
          <w:szCs w:val="22"/>
          <w14:ligatures w14:val="none"/>
        </w:rPr>
        <w:t xml:space="preserve"> most of the time the CHP would run steadily as a “</w:t>
      </w:r>
      <w:proofErr w:type="gramStart"/>
      <w:r w:rsidRPr="00B43F33">
        <w:rPr>
          <w:rFonts w:ascii="Arial" w:hAnsi="Arial" w:cs="Arial"/>
          <w:kern w:val="0"/>
          <w:sz w:val="22"/>
          <w:szCs w:val="22"/>
          <w14:ligatures w14:val="none"/>
        </w:rPr>
        <w:t>base-load</w:t>
      </w:r>
      <w:proofErr w:type="gramEnd"/>
      <w:r w:rsidRPr="00B43F33">
        <w:rPr>
          <w:rFonts w:ascii="Arial" w:hAnsi="Arial" w:cs="Arial"/>
          <w:kern w:val="0"/>
          <w:sz w:val="22"/>
          <w:szCs w:val="22"/>
          <w14:ligatures w14:val="none"/>
        </w:rPr>
        <w:t>” engine </w:t>
      </w:r>
    </w:p>
    <w:p w14:paraId="36D10F51" w14:textId="690FC4AE"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If the CHP is switched off, the system does not simply become slightly less efficient. </w:t>
      </w:r>
      <w:proofErr w:type="gramStart"/>
      <w:r w:rsidRPr="00B43F33">
        <w:rPr>
          <w:rFonts w:ascii="Arial" w:hAnsi="Arial" w:cs="Arial"/>
          <w:kern w:val="0"/>
          <w:sz w:val="22"/>
          <w:szCs w:val="22"/>
          <w14:ligatures w14:val="none"/>
        </w:rPr>
        <w:t>A number of</w:t>
      </w:r>
      <w:proofErr w:type="gramEnd"/>
      <w:r w:rsidRPr="00B43F33">
        <w:rPr>
          <w:rFonts w:ascii="Arial" w:hAnsi="Arial" w:cs="Arial"/>
          <w:kern w:val="0"/>
          <w:sz w:val="22"/>
          <w:szCs w:val="22"/>
          <w14:ligatures w14:val="none"/>
        </w:rPr>
        <w:t xml:space="preserve"> specific and serious consequences follow:</w:t>
      </w:r>
    </w:p>
    <w:p w14:paraId="0D455FEF" w14:textId="284BA88E"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a. </w:t>
      </w:r>
      <w:proofErr w:type="gramStart"/>
      <w:r w:rsidRPr="00B43F33">
        <w:rPr>
          <w:rFonts w:ascii="Arial" w:hAnsi="Arial" w:cs="Arial"/>
          <w:kern w:val="0"/>
          <w:sz w:val="22"/>
          <w:szCs w:val="22"/>
          <w14:ligatures w14:val="none"/>
        </w:rPr>
        <w:t>All of</w:t>
      </w:r>
      <w:proofErr w:type="gramEnd"/>
      <w:r w:rsidRPr="00B43F33">
        <w:rPr>
          <w:rFonts w:ascii="Arial" w:hAnsi="Arial" w:cs="Arial"/>
          <w:kern w:val="0"/>
          <w:sz w:val="22"/>
          <w:szCs w:val="22"/>
          <w14:ligatures w14:val="none"/>
        </w:rPr>
        <w:t xml:space="preserve"> the electricity that could have been generated by the CHP has to be imported from the National Grid at full commercial tariffs, instead of effectively being produced </w:t>
      </w:r>
      <w:r w:rsidR="00120157">
        <w:rPr>
          <w:rFonts w:ascii="Arial" w:hAnsi="Arial" w:cs="Arial"/>
          <w:kern w:val="0"/>
          <w:sz w:val="22"/>
          <w:szCs w:val="22"/>
          <w14:ligatures w14:val="none"/>
        </w:rPr>
        <w:t>as a byproduct of generating heat for the hot water &amp; heating systems</w:t>
      </w:r>
      <w:r w:rsidRPr="00B43F33">
        <w:rPr>
          <w:rFonts w:ascii="Arial" w:hAnsi="Arial" w:cs="Arial"/>
          <w:kern w:val="0"/>
          <w:sz w:val="22"/>
          <w:szCs w:val="22"/>
          <w14:ligatures w14:val="none"/>
        </w:rPr>
        <w:t xml:space="preserve">. In practical terms, where gas costs might be 6–7 pence per kWh, grid electricity has cost in the region of 25–40 pence per kWh. Switching the CHP off therefore removes a source of </w:t>
      </w:r>
      <w:r w:rsidR="00E55459">
        <w:rPr>
          <w:rFonts w:ascii="Arial" w:hAnsi="Arial" w:cs="Arial"/>
          <w:kern w:val="0"/>
          <w:sz w:val="22"/>
          <w:szCs w:val="22"/>
          <w14:ligatures w14:val="none"/>
        </w:rPr>
        <w:t xml:space="preserve">very </w:t>
      </w:r>
      <w:proofErr w:type="gramStart"/>
      <w:r w:rsidR="00E55459">
        <w:rPr>
          <w:rFonts w:ascii="Arial" w:hAnsi="Arial" w:cs="Arial"/>
          <w:kern w:val="0"/>
          <w:sz w:val="22"/>
          <w:szCs w:val="22"/>
          <w14:ligatures w14:val="none"/>
        </w:rPr>
        <w:t>low cost</w:t>
      </w:r>
      <w:proofErr w:type="gramEnd"/>
      <w:r w:rsidRPr="00B43F33">
        <w:rPr>
          <w:rFonts w:ascii="Arial" w:hAnsi="Arial" w:cs="Arial"/>
          <w:kern w:val="0"/>
          <w:sz w:val="22"/>
          <w:szCs w:val="22"/>
          <w14:ligatures w14:val="none"/>
        </w:rPr>
        <w:t xml:space="preserve"> electricity which should have reduced the communal electricity bill by a significant amount (the Energy Strategy envisaged that CHP would cover around 20% of the building’s electricity demand).</w:t>
      </w:r>
    </w:p>
    <w:p w14:paraId="397E0E92" w14:textId="77777777"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b. The boilers </w:t>
      </w:r>
      <w:proofErr w:type="gramStart"/>
      <w:r w:rsidRPr="00B43F33">
        <w:rPr>
          <w:rFonts w:ascii="Arial" w:hAnsi="Arial" w:cs="Arial"/>
          <w:kern w:val="0"/>
          <w:sz w:val="22"/>
          <w:szCs w:val="22"/>
          <w14:ligatures w14:val="none"/>
        </w:rPr>
        <w:t>have to</w:t>
      </w:r>
      <w:proofErr w:type="gramEnd"/>
      <w:r w:rsidRPr="00B43F33">
        <w:rPr>
          <w:rFonts w:ascii="Arial" w:hAnsi="Arial" w:cs="Arial"/>
          <w:kern w:val="0"/>
          <w:sz w:val="22"/>
          <w:szCs w:val="22"/>
          <w14:ligatures w14:val="none"/>
        </w:rPr>
        <w:t xml:space="preserve"> pick up </w:t>
      </w:r>
      <w:proofErr w:type="gramStart"/>
      <w:r w:rsidRPr="00B43F33">
        <w:rPr>
          <w:rFonts w:ascii="Arial" w:hAnsi="Arial" w:cs="Arial"/>
          <w:kern w:val="0"/>
          <w:sz w:val="22"/>
          <w:szCs w:val="22"/>
          <w14:ligatures w14:val="none"/>
        </w:rPr>
        <w:t>all of</w:t>
      </w:r>
      <w:proofErr w:type="gramEnd"/>
      <w:r w:rsidRPr="00B43F33">
        <w:rPr>
          <w:rFonts w:ascii="Arial" w:hAnsi="Arial" w:cs="Arial"/>
          <w:kern w:val="0"/>
          <w:sz w:val="22"/>
          <w:szCs w:val="22"/>
          <w14:ligatures w14:val="none"/>
        </w:rPr>
        <w:t xml:space="preserve"> the heating and hot-water duty. Because boilers are designed as fast-response “sprinters” rather than steady-state engines, this leads to frequent on/off cycling (“short-cycling”) as they try to maintain constant store temperatures. </w:t>
      </w:r>
      <w:proofErr w:type="gramStart"/>
      <w:r w:rsidRPr="00B43F33">
        <w:rPr>
          <w:rFonts w:ascii="Arial" w:hAnsi="Arial" w:cs="Arial"/>
          <w:kern w:val="0"/>
          <w:sz w:val="22"/>
          <w:szCs w:val="22"/>
          <w14:ligatures w14:val="none"/>
        </w:rPr>
        <w:t>Short-cycling</w:t>
      </w:r>
      <w:proofErr w:type="gramEnd"/>
      <w:r w:rsidRPr="00B43F33">
        <w:rPr>
          <w:rFonts w:ascii="Arial" w:hAnsi="Arial" w:cs="Arial"/>
          <w:kern w:val="0"/>
          <w:sz w:val="22"/>
          <w:szCs w:val="22"/>
          <w14:ligatures w14:val="none"/>
        </w:rPr>
        <w:t xml:space="preserve"> is well-known to cause increased wear on boiler burners, fans and controls, shortening plant life and increasing maintenance and breakdown costs.</w:t>
      </w:r>
    </w:p>
    <w:p w14:paraId="3401BA1A" w14:textId="77777777"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c. The hydraulic system (pumps, flow and return temperatures) was designed around the CHP acting as the “lead” unit. With the CHP off, the return-temperature regime can prevent modern boilers from operating in their most efficient “condensing” mode, further reducing efficiency and increasing gas usage.</w:t>
      </w:r>
    </w:p>
    <w:p w14:paraId="414D40BA" w14:textId="3024AC94"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In addition to these technical consequences, there is a planning and regulatory dimension. Westminster City Council (“WCC”) granted permission </w:t>
      </w:r>
      <w:proofErr w:type="gramStart"/>
      <w:r w:rsidRPr="00B43F33">
        <w:rPr>
          <w:rFonts w:ascii="Arial" w:hAnsi="Arial" w:cs="Arial"/>
          <w:kern w:val="0"/>
          <w:sz w:val="22"/>
          <w:szCs w:val="22"/>
          <w14:ligatures w14:val="none"/>
        </w:rPr>
        <w:t>on the basis of</w:t>
      </w:r>
      <w:proofErr w:type="gramEnd"/>
      <w:r w:rsidRPr="00B43F33">
        <w:rPr>
          <w:rFonts w:ascii="Arial" w:hAnsi="Arial" w:cs="Arial"/>
          <w:kern w:val="0"/>
          <w:sz w:val="22"/>
          <w:szCs w:val="22"/>
          <w14:ligatures w14:val="none"/>
        </w:rPr>
        <w:t xml:space="preserve"> the Energy Strategy and accompanying diagrams, which explicitly relied on CHP operation to achieve the targeted carbon-emission reductions. If the CHP is not run, the building is no longer operating in accordance with the basis on which planning permission was granted. Residents were entitled to assume that the system described in the Energy Strategy and marketing brochure (which emphasised the “</w:t>
      </w:r>
      <w:proofErr w:type="gramStart"/>
      <w:r w:rsidRPr="00B43F33">
        <w:rPr>
          <w:rFonts w:ascii="Arial" w:hAnsi="Arial" w:cs="Arial"/>
          <w:kern w:val="0"/>
          <w:sz w:val="22"/>
          <w:szCs w:val="22"/>
          <w14:ligatures w14:val="none"/>
        </w:rPr>
        <w:t>high-efficiency</w:t>
      </w:r>
      <w:proofErr w:type="gramEnd"/>
      <w:r w:rsidRPr="00B43F33">
        <w:rPr>
          <w:rFonts w:ascii="Arial" w:hAnsi="Arial" w:cs="Arial"/>
          <w:kern w:val="0"/>
          <w:sz w:val="22"/>
          <w:szCs w:val="22"/>
          <w14:ligatures w14:val="none"/>
        </w:rPr>
        <w:t xml:space="preserve">” communal plant and CHP contribution) would </w:t>
      </w:r>
      <w:proofErr w:type="gramStart"/>
      <w:r w:rsidRPr="00B43F33">
        <w:rPr>
          <w:rFonts w:ascii="Arial" w:hAnsi="Arial" w:cs="Arial"/>
          <w:kern w:val="0"/>
          <w:sz w:val="22"/>
          <w:szCs w:val="22"/>
          <w14:ligatures w14:val="none"/>
        </w:rPr>
        <w:t>actually be</w:t>
      </w:r>
      <w:proofErr w:type="gramEnd"/>
      <w:r w:rsidRPr="00B43F33">
        <w:rPr>
          <w:rFonts w:ascii="Arial" w:hAnsi="Arial" w:cs="Arial"/>
          <w:kern w:val="0"/>
          <w:sz w:val="22"/>
          <w:szCs w:val="22"/>
          <w14:ligatures w14:val="none"/>
        </w:rPr>
        <w:t xml:space="preserve"> used.</w:t>
      </w:r>
    </w:p>
    <w:p w14:paraId="4BB8EBC6" w14:textId="03753B9C"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We raised concerns with WCC that the CHP was not running, notwithstanding that it formed part of the approved energy strategy and planning justification. Our understanding is that WCC accepted that the CHP should be operating, at least in principle, to deliver the promised carbon and energy-efficiency benefits. At the time of </w:t>
      </w:r>
      <w:r w:rsidRPr="00B43F33">
        <w:rPr>
          <w:rFonts w:ascii="Arial" w:hAnsi="Arial" w:cs="Arial"/>
          <w:kern w:val="0"/>
          <w:sz w:val="22"/>
          <w:szCs w:val="22"/>
          <w14:ligatures w14:val="none"/>
        </w:rPr>
        <w:lastRenderedPageBreak/>
        <w:t xml:space="preserve">writing, WCC has asked the Respondent to prove that the CHP has been operational </w:t>
      </w:r>
      <w:r w:rsidRPr="00C521C1">
        <w:rPr>
          <w:rFonts w:ascii="Arial" w:hAnsi="Arial" w:cs="Arial"/>
          <w:b/>
          <w:bCs/>
          <w:kern w:val="0"/>
          <w:sz w:val="22"/>
          <w:szCs w:val="22"/>
          <w14:ligatures w14:val="none"/>
        </w:rPr>
        <w:t xml:space="preserve">(exhibit KH2 pages </w:t>
      </w:r>
      <w:r w:rsidR="00526845">
        <w:rPr>
          <w:rFonts w:ascii="Arial" w:hAnsi="Arial" w:cs="Arial"/>
          <w:b/>
          <w:bCs/>
          <w:kern w:val="0"/>
          <w:sz w:val="22"/>
          <w:szCs w:val="22"/>
          <w14:ligatures w14:val="none"/>
        </w:rPr>
        <w:t>1014-1018</w:t>
      </w:r>
      <w:r w:rsidRPr="00B43F33">
        <w:rPr>
          <w:rFonts w:ascii="Arial" w:hAnsi="Arial" w:cs="Arial"/>
          <w:kern w:val="0"/>
          <w:sz w:val="22"/>
          <w:szCs w:val="22"/>
          <w14:ligatures w14:val="none"/>
        </w:rPr>
        <w:t>)</w:t>
      </w:r>
    </w:p>
    <w:p w14:paraId="1039DA5B" w14:textId="14DF4202"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The service-charge records provide strong evidence that the CHP was </w:t>
      </w:r>
      <w:r w:rsidR="00526845">
        <w:rPr>
          <w:rFonts w:ascii="Arial" w:hAnsi="Arial" w:cs="Arial"/>
          <w:kern w:val="0"/>
          <w:sz w:val="22"/>
          <w:szCs w:val="22"/>
          <w14:ligatures w14:val="none"/>
        </w:rPr>
        <w:t>most likely</w:t>
      </w:r>
      <w:r w:rsidRPr="00B43F33">
        <w:rPr>
          <w:rFonts w:ascii="Arial" w:hAnsi="Arial" w:cs="Arial"/>
          <w:kern w:val="0"/>
          <w:sz w:val="22"/>
          <w:szCs w:val="22"/>
          <w14:ligatures w14:val="none"/>
        </w:rPr>
        <w:t xml:space="preserve"> switched off at or shortly after the Respondent purchased the Freehold </w:t>
      </w:r>
      <w:r w:rsidRPr="004174A9">
        <w:rPr>
          <w:rFonts w:ascii="Arial" w:hAnsi="Arial" w:cs="Arial"/>
          <w:b/>
          <w:bCs/>
          <w:kern w:val="0"/>
          <w:sz w:val="22"/>
          <w:szCs w:val="22"/>
          <w14:ligatures w14:val="none"/>
        </w:rPr>
        <w:t>(exhibit KH2 page</w:t>
      </w:r>
      <w:r w:rsidR="00526845">
        <w:rPr>
          <w:rFonts w:ascii="Arial" w:hAnsi="Arial" w:cs="Arial"/>
          <w:b/>
          <w:bCs/>
          <w:kern w:val="0"/>
          <w:sz w:val="22"/>
          <w:szCs w:val="22"/>
          <w14:ligatures w14:val="none"/>
        </w:rPr>
        <w:t xml:space="preserve"> 1020</w:t>
      </w:r>
      <w:r w:rsidRPr="00B43F33">
        <w:rPr>
          <w:rFonts w:ascii="Arial" w:hAnsi="Arial" w:cs="Arial"/>
          <w:kern w:val="0"/>
          <w:sz w:val="22"/>
          <w:szCs w:val="22"/>
          <w14:ligatures w14:val="none"/>
        </w:rPr>
        <w:t>). In the 2017 mechanical and plant reconciliation (apartments service charge), the only reference to CHP maintenance is an Acorn Maintenance invoice dated 20 January 2017 for “CHP maintenance” in the sum of £4,367. That</w:t>
      </w:r>
      <w:r w:rsidR="00526845">
        <w:rPr>
          <w:rFonts w:ascii="Arial" w:hAnsi="Arial" w:cs="Arial"/>
          <w:kern w:val="0"/>
          <w:sz w:val="22"/>
          <w:szCs w:val="22"/>
          <w14:ligatures w14:val="none"/>
        </w:rPr>
        <w:t xml:space="preserve"> is the</w:t>
      </w:r>
      <w:r w:rsidRPr="00B43F33">
        <w:rPr>
          <w:rFonts w:ascii="Arial" w:hAnsi="Arial" w:cs="Arial"/>
          <w:kern w:val="0"/>
          <w:sz w:val="22"/>
          <w:szCs w:val="22"/>
          <w14:ligatures w14:val="none"/>
        </w:rPr>
        <w:t xml:space="preserve"> last time the CHP is mentioned in our accounts. There are no subsequent invoices for CHP servicing, gas engine overhauls, oil changes, or other routine tasks that would be expected if the unit were in operation.</w:t>
      </w:r>
    </w:p>
    <w:p w14:paraId="167A9D38" w14:textId="0EA51B20" w:rsidR="008C7E3C"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The building management system (“BMS”) screen in the plant room, as photographed in August 2025, shows the CHP plant as “Off” with associated fault or trip indications (for example, “CHP supply fan trip”) while other plant items are live. </w:t>
      </w:r>
      <w:r w:rsidRPr="006175E3">
        <w:rPr>
          <w:rFonts w:ascii="Arial" w:hAnsi="Arial" w:cs="Arial"/>
          <w:b/>
          <w:bCs/>
          <w:kern w:val="0"/>
          <w:sz w:val="22"/>
          <w:szCs w:val="22"/>
          <w14:ligatures w14:val="none"/>
        </w:rPr>
        <w:t>(exhibit KH2 page</w:t>
      </w:r>
      <w:r w:rsidR="007A7958">
        <w:rPr>
          <w:rFonts w:ascii="Arial" w:hAnsi="Arial" w:cs="Arial"/>
          <w:b/>
          <w:bCs/>
          <w:kern w:val="0"/>
          <w:sz w:val="22"/>
          <w:szCs w:val="22"/>
          <w14:ligatures w14:val="none"/>
        </w:rPr>
        <w:t xml:space="preserve"> </w:t>
      </w:r>
      <w:r w:rsidR="00782806">
        <w:rPr>
          <w:rFonts w:ascii="Arial" w:hAnsi="Arial" w:cs="Arial"/>
          <w:b/>
          <w:bCs/>
          <w:kern w:val="0"/>
          <w:sz w:val="22"/>
          <w:szCs w:val="22"/>
          <w14:ligatures w14:val="none"/>
        </w:rPr>
        <w:t>1021</w:t>
      </w:r>
      <w:r w:rsidRPr="006175E3">
        <w:rPr>
          <w:rFonts w:ascii="Arial" w:hAnsi="Arial" w:cs="Arial"/>
          <w:b/>
          <w:bCs/>
          <w:kern w:val="0"/>
          <w:sz w:val="22"/>
          <w:szCs w:val="22"/>
          <w14:ligatures w14:val="none"/>
        </w:rPr>
        <w:t>)</w:t>
      </w:r>
      <w:r w:rsidRPr="00B43F33">
        <w:rPr>
          <w:rFonts w:ascii="Arial" w:hAnsi="Arial" w:cs="Arial"/>
          <w:kern w:val="0"/>
          <w:sz w:val="22"/>
          <w:szCs w:val="22"/>
          <w14:ligatures w14:val="none"/>
        </w:rPr>
        <w:t xml:space="preserve"> These BMS flags would have been visible to the managing agent and any attending engineers whenever they logged into the system. Together with the absence of any CHP maintenance records after early 2017, this strongly suggests that the CHP has been deliberately left non-operational for many years.</w:t>
      </w:r>
    </w:p>
    <w:p w14:paraId="4BDD46DA" w14:textId="6A2F5FD0" w:rsidR="00D71E11" w:rsidRPr="00B43F33" w:rsidRDefault="00B31D40" w:rsidP="00B43F33">
      <w:pPr>
        <w:pStyle w:val="ListParagraph"/>
        <w:numPr>
          <w:ilvl w:val="0"/>
          <w:numId w:val="7"/>
        </w:numPr>
        <w:spacing w:after="0" w:line="240" w:lineRule="auto"/>
        <w:jc w:val="both"/>
        <w:rPr>
          <w:rFonts w:ascii="Arial" w:hAnsi="Arial" w:cs="Arial"/>
          <w:kern w:val="0"/>
          <w:sz w:val="22"/>
          <w:szCs w:val="22"/>
          <w14:ligatures w14:val="none"/>
        </w:rPr>
      </w:pPr>
      <w:r>
        <w:rPr>
          <w:rFonts w:ascii="Arial" w:hAnsi="Arial" w:cs="Arial"/>
          <w:kern w:val="0"/>
          <w:sz w:val="22"/>
          <w:szCs w:val="22"/>
          <w14:ligatures w14:val="none"/>
        </w:rPr>
        <w:t>There are schematics displayed throughout the plant room, electricity distribution cabinets and there is a whole big room dedicated to the CHP plant (</w:t>
      </w:r>
      <w:r>
        <w:rPr>
          <w:rFonts w:ascii="Arial" w:hAnsi="Arial" w:cs="Arial"/>
          <w:b/>
          <w:bCs/>
          <w:kern w:val="0"/>
          <w:sz w:val="22"/>
          <w:szCs w:val="22"/>
          <w14:ligatures w14:val="none"/>
        </w:rPr>
        <w:t>exhibit KH2 page</w:t>
      </w:r>
      <w:r w:rsidR="00782806">
        <w:rPr>
          <w:rFonts w:ascii="Arial" w:hAnsi="Arial" w:cs="Arial"/>
          <w:b/>
          <w:bCs/>
          <w:kern w:val="0"/>
          <w:sz w:val="22"/>
          <w:szCs w:val="22"/>
          <w14:ligatures w14:val="none"/>
        </w:rPr>
        <w:t>s713, 719,</w:t>
      </w:r>
      <w:r>
        <w:rPr>
          <w:rFonts w:ascii="Arial" w:hAnsi="Arial" w:cs="Arial"/>
          <w:b/>
          <w:bCs/>
          <w:kern w:val="0"/>
          <w:sz w:val="22"/>
          <w:szCs w:val="22"/>
          <w14:ligatures w14:val="none"/>
        </w:rPr>
        <w:t xml:space="preserve"> </w:t>
      </w:r>
      <w:r w:rsidR="00782806">
        <w:rPr>
          <w:rFonts w:ascii="Arial" w:hAnsi="Arial" w:cs="Arial"/>
          <w:b/>
          <w:bCs/>
          <w:kern w:val="0"/>
          <w:sz w:val="22"/>
          <w:szCs w:val="22"/>
          <w14:ligatures w14:val="none"/>
        </w:rPr>
        <w:t>721, 726, 1008, 1055</w:t>
      </w:r>
      <w:r>
        <w:rPr>
          <w:rFonts w:ascii="Arial" w:hAnsi="Arial" w:cs="Arial"/>
          <w:b/>
          <w:bCs/>
          <w:kern w:val="0"/>
          <w:sz w:val="22"/>
          <w:szCs w:val="22"/>
          <w14:ligatures w14:val="none"/>
        </w:rPr>
        <w:t>)</w:t>
      </w:r>
    </w:p>
    <w:p w14:paraId="78EE1DBF" w14:textId="4D7E6C52"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The Respondent and Y&amp;Y cannot credibly claim that they were unaware of the CHP or its purpose. The developers’ </w:t>
      </w:r>
      <w:r w:rsidR="002A645B">
        <w:rPr>
          <w:rFonts w:ascii="Arial" w:hAnsi="Arial" w:cs="Arial"/>
          <w:kern w:val="0"/>
          <w:sz w:val="22"/>
          <w:szCs w:val="22"/>
          <w14:ligatures w14:val="none"/>
        </w:rPr>
        <w:t>m</w:t>
      </w:r>
      <w:r w:rsidR="004C2356">
        <w:rPr>
          <w:rFonts w:ascii="Arial" w:hAnsi="Arial" w:cs="Arial"/>
          <w:kern w:val="0"/>
          <w:sz w:val="22"/>
          <w:szCs w:val="22"/>
          <w14:ligatures w14:val="none"/>
        </w:rPr>
        <w:t xml:space="preserve">anual, the labelling of the Landlord’s distribution board, as shown on photos provided, the </w:t>
      </w:r>
      <w:r w:rsidR="0059602C">
        <w:rPr>
          <w:rFonts w:ascii="Arial" w:hAnsi="Arial" w:cs="Arial"/>
          <w:kern w:val="0"/>
          <w:sz w:val="22"/>
          <w:szCs w:val="22"/>
          <w14:ligatures w14:val="none"/>
        </w:rPr>
        <w:t xml:space="preserve">clear BMS screen warning, the </w:t>
      </w:r>
      <w:r w:rsidR="00E0172F">
        <w:rPr>
          <w:rFonts w:ascii="Arial" w:hAnsi="Arial" w:cs="Arial"/>
          <w:kern w:val="0"/>
          <w:sz w:val="22"/>
          <w:szCs w:val="22"/>
          <w14:ligatures w14:val="none"/>
        </w:rPr>
        <w:t>existence of a separate room dedicated to the CHP equipment, t</w:t>
      </w:r>
      <w:r w:rsidRPr="00B43F33">
        <w:rPr>
          <w:rFonts w:ascii="Arial" w:hAnsi="Arial" w:cs="Arial"/>
          <w:kern w:val="0"/>
          <w:sz w:val="22"/>
          <w:szCs w:val="22"/>
          <w14:ligatures w14:val="none"/>
        </w:rPr>
        <w:t>he early Acorn “CHP maintenance” invoice confirms that the freeholder knew of the unit’s existence and authorised at least one maintenance visit. On that evidence, I believe that a positive decision was taken at some point not to operate the CHP.</w:t>
      </w:r>
    </w:p>
    <w:p w14:paraId="61F80F43" w14:textId="57C4E75E"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I also note that similar concerns have arisen at another Avon-owned development, The </w:t>
      </w:r>
      <w:proofErr w:type="spellStart"/>
      <w:r w:rsidRPr="00B43F33">
        <w:rPr>
          <w:rFonts w:ascii="Arial" w:hAnsi="Arial" w:cs="Arial"/>
          <w:kern w:val="0"/>
          <w:sz w:val="22"/>
          <w:szCs w:val="22"/>
          <w14:ligatures w14:val="none"/>
        </w:rPr>
        <w:t>Loxfords</w:t>
      </w:r>
      <w:proofErr w:type="spellEnd"/>
      <w:r w:rsidRPr="00B43F33">
        <w:rPr>
          <w:rFonts w:ascii="Arial" w:hAnsi="Arial" w:cs="Arial"/>
          <w:kern w:val="0"/>
          <w:sz w:val="22"/>
          <w:szCs w:val="22"/>
          <w14:ligatures w14:val="none"/>
        </w:rPr>
        <w:t>, where residents have reported that the CHP was effectively turned off from day one. That pattern reinforces my concern that non-operation of CHP plant may be a commercial choice by the Respondent rather than a technical necessity.  NOT SURE TO INCLUDE??</w:t>
      </w:r>
    </w:p>
    <w:p w14:paraId="046E6651" w14:textId="622DCF00"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The Respondent and Clever Energy have, in correspondence, sought to justify high heating tariffs by reference to a very low “network efficiency” figure (sometimes quoted as low as </w:t>
      </w:r>
      <w:r w:rsidR="00D63FB7">
        <w:rPr>
          <w:rFonts w:ascii="Arial" w:hAnsi="Arial" w:cs="Arial"/>
          <w:kern w:val="0"/>
          <w:sz w:val="22"/>
          <w:szCs w:val="22"/>
          <w14:ligatures w14:val="none"/>
        </w:rPr>
        <w:t>30</w:t>
      </w:r>
      <w:r w:rsidRPr="00B43F33">
        <w:rPr>
          <w:rFonts w:ascii="Arial" w:hAnsi="Arial" w:cs="Arial"/>
          <w:kern w:val="0"/>
          <w:sz w:val="22"/>
          <w:szCs w:val="22"/>
          <w14:ligatures w14:val="none"/>
        </w:rPr>
        <w:t xml:space="preserve">–40%). In my view this is the reverse of what should be happening. The original energy strategy envisaged high overall efficiency – </w:t>
      </w:r>
      <w:r w:rsidR="00782806">
        <w:rPr>
          <w:rFonts w:ascii="Arial" w:hAnsi="Arial" w:cs="Arial"/>
          <w:kern w:val="0"/>
          <w:sz w:val="22"/>
          <w:szCs w:val="22"/>
          <w14:ligatures w14:val="none"/>
        </w:rPr>
        <w:t>at 80</w:t>
      </w:r>
      <w:r w:rsidRPr="00B43F33">
        <w:rPr>
          <w:rFonts w:ascii="Arial" w:hAnsi="Arial" w:cs="Arial"/>
          <w:kern w:val="0"/>
          <w:sz w:val="22"/>
          <w:szCs w:val="22"/>
          <w14:ligatures w14:val="none"/>
        </w:rPr>
        <w:t xml:space="preserve">% – precisely because the CHP would capture useful heat while generating electricity. If the CHP is kept off, the “network efficiency” inevitably falls, but that is a consequence of how the Respondent chooses to operate the plant. </w:t>
      </w:r>
      <w:r w:rsidR="00782806" w:rsidRPr="00035924">
        <w:rPr>
          <w:rFonts w:ascii="Arial" w:hAnsi="Arial" w:cs="Arial"/>
          <w:b/>
          <w:bCs/>
          <w:kern w:val="0"/>
          <w:sz w:val="22"/>
          <w:szCs w:val="22"/>
          <w14:ligatures w14:val="none"/>
        </w:rPr>
        <w:t>(exhibit KH2 page</w:t>
      </w:r>
      <w:r w:rsidR="00782806">
        <w:rPr>
          <w:rFonts w:ascii="Arial" w:hAnsi="Arial" w:cs="Arial"/>
          <w:b/>
          <w:bCs/>
          <w:kern w:val="0"/>
          <w:sz w:val="22"/>
          <w:szCs w:val="22"/>
          <w14:ligatures w14:val="none"/>
        </w:rPr>
        <w:t xml:space="preserve"> 974 and 988</w:t>
      </w:r>
      <w:r w:rsidR="00782806" w:rsidRPr="00035924">
        <w:rPr>
          <w:rFonts w:ascii="Arial" w:hAnsi="Arial" w:cs="Arial"/>
          <w:b/>
          <w:bCs/>
          <w:kern w:val="0"/>
          <w:sz w:val="22"/>
          <w:szCs w:val="22"/>
          <w14:ligatures w14:val="none"/>
        </w:rPr>
        <w:t>)</w:t>
      </w:r>
      <w:r w:rsidR="00782806">
        <w:rPr>
          <w:rFonts w:ascii="Arial" w:hAnsi="Arial" w:cs="Arial"/>
          <w:b/>
          <w:bCs/>
          <w:kern w:val="0"/>
          <w:sz w:val="22"/>
          <w:szCs w:val="22"/>
          <w14:ligatures w14:val="none"/>
        </w:rPr>
        <w:t xml:space="preserve"> </w:t>
      </w:r>
      <w:r w:rsidR="0068343F">
        <w:rPr>
          <w:rFonts w:ascii="Arial" w:hAnsi="Arial" w:cs="Arial"/>
          <w:b/>
          <w:bCs/>
          <w:kern w:val="0"/>
          <w:sz w:val="22"/>
          <w:szCs w:val="22"/>
          <w14:ligatures w14:val="none"/>
        </w:rPr>
        <w:t>(Exhibit KH2 page</w:t>
      </w:r>
      <w:r w:rsidR="000F1892">
        <w:rPr>
          <w:rFonts w:ascii="Arial" w:hAnsi="Arial" w:cs="Arial"/>
          <w:b/>
          <w:bCs/>
          <w:kern w:val="0"/>
          <w:sz w:val="22"/>
          <w:szCs w:val="22"/>
          <w14:ligatures w14:val="none"/>
        </w:rPr>
        <w:t xml:space="preserve"> </w:t>
      </w:r>
      <w:r w:rsidR="005D682E">
        <w:rPr>
          <w:rFonts w:ascii="Arial" w:hAnsi="Arial" w:cs="Arial"/>
          <w:b/>
          <w:bCs/>
          <w:kern w:val="0"/>
          <w:sz w:val="22"/>
          <w:szCs w:val="22"/>
          <w14:ligatures w14:val="none"/>
        </w:rPr>
        <w:t>4</w:t>
      </w:r>
      <w:r w:rsidR="008779C3">
        <w:rPr>
          <w:rFonts w:ascii="Arial" w:hAnsi="Arial" w:cs="Arial"/>
          <w:b/>
          <w:bCs/>
          <w:kern w:val="0"/>
          <w:sz w:val="22"/>
          <w:szCs w:val="22"/>
          <w14:ligatures w14:val="none"/>
        </w:rPr>
        <w:t xml:space="preserve">48). </w:t>
      </w:r>
      <w:r w:rsidRPr="00B43F33">
        <w:rPr>
          <w:rFonts w:ascii="Arial" w:hAnsi="Arial" w:cs="Arial"/>
          <w:kern w:val="0"/>
          <w:sz w:val="22"/>
          <w:szCs w:val="22"/>
          <w14:ligatures w14:val="none"/>
        </w:rPr>
        <w:t>It cannot sensibly be used as a justification for charging leaseholders three to four times the underlying gas cost.</w:t>
      </w:r>
    </w:p>
    <w:p w14:paraId="1A57F743" w14:textId="4DD79686"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In my submission, the relevant “cost” of energy for the purposes of service-charge recovery is the price actually paid by the landlord for gas and electricity, not an inflated notional figure derived from an artificially depressed “efficiency” percentage. An “efficiency rate” is an engineering metric that fluctuates with load, outside temperature and operating conditions; it is not, and should not be treated as, a substitute for the actual fuel cost paid by the Respondent.</w:t>
      </w:r>
    </w:p>
    <w:p w14:paraId="3BB583E8" w14:textId="45B9C840" w:rsidR="008C7E3C"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The practical effect of switching off the CHP is that all communal electricity demand is met from the grid at high tariffs, the boilers and pumps are worked harder than intended (with increased breakdowns and leaks), and the building fails to achieve the energy performance that WCC and purchasers were led to expect. </w:t>
      </w:r>
      <w:proofErr w:type="gramStart"/>
      <w:r w:rsidRPr="00B43F33">
        <w:rPr>
          <w:rFonts w:ascii="Arial" w:hAnsi="Arial" w:cs="Arial"/>
          <w:kern w:val="0"/>
          <w:sz w:val="22"/>
          <w:szCs w:val="22"/>
          <w14:ligatures w14:val="none"/>
        </w:rPr>
        <w:t>All of</w:t>
      </w:r>
      <w:proofErr w:type="gramEnd"/>
      <w:r w:rsidRPr="00B43F33">
        <w:rPr>
          <w:rFonts w:ascii="Arial" w:hAnsi="Arial" w:cs="Arial"/>
          <w:kern w:val="0"/>
          <w:sz w:val="22"/>
          <w:szCs w:val="22"/>
          <w14:ligatures w14:val="none"/>
        </w:rPr>
        <w:t xml:space="preserve"> the additional electrical and mechanical costs arising from that choice have been charged through to leaseholders via the service charge.</w:t>
      </w:r>
    </w:p>
    <w:p w14:paraId="653D53B6" w14:textId="7E348DD4" w:rsidR="002C3FB0" w:rsidRPr="00B31D40" w:rsidRDefault="002C3FB0" w:rsidP="00B31D40">
      <w:pPr>
        <w:pStyle w:val="ListParagraph"/>
        <w:numPr>
          <w:ilvl w:val="0"/>
          <w:numId w:val="7"/>
        </w:numPr>
        <w:spacing w:before="100" w:beforeAutospacing="1" w:after="100" w:afterAutospacing="1" w:line="240" w:lineRule="auto"/>
        <w:rPr>
          <w:rFonts w:ascii="Arial" w:eastAsia="Times New Roman" w:hAnsi="Arial" w:cs="Arial"/>
          <w:kern w:val="0"/>
          <w:sz w:val="22"/>
          <w:szCs w:val="22"/>
          <w14:ligatures w14:val="none"/>
        </w:rPr>
      </w:pPr>
      <w:r w:rsidRPr="002C3FB0">
        <w:rPr>
          <w:rFonts w:ascii="Arial" w:eastAsia="Times New Roman" w:hAnsi="Arial" w:cs="Arial"/>
          <w:kern w:val="0"/>
          <w:sz w:val="22"/>
          <w:szCs w:val="22"/>
          <w14:ligatures w14:val="none"/>
        </w:rPr>
        <w:t xml:space="preserve">The Respondent has also been on clear notice, throughout these proceedings, that the operation of the CHP is a live and contested issue. At the first </w:t>
      </w:r>
      <w:r w:rsidRPr="002C3FB0">
        <w:rPr>
          <w:rFonts w:ascii="Arial" w:eastAsia="Times New Roman" w:hAnsi="Arial" w:cs="Arial"/>
          <w:kern w:val="0"/>
          <w:sz w:val="22"/>
          <w:szCs w:val="22"/>
          <w14:ligatures w14:val="none"/>
        </w:rPr>
        <w:lastRenderedPageBreak/>
        <w:t>case management hearing on 1 July 2025, the draft Scott Schedule already identified concerns that there was no evidence of the CHP running as envisaged under the planning permission. Those concerns were reiterated and expanded in the full Scott Schedule filed on 2 September 2025, which expressly stated under the relevant heading that “as per planning permission, there should be an operational CHP unit producing 75,840 kWh annually”. The Respondent has never produced any contemporaneous evidence to demonstrate that the CHP has in fact been operated in that way.</w:t>
      </w:r>
    </w:p>
    <w:p w14:paraId="522EC807" w14:textId="7F9DC28D" w:rsidR="002C3FB0" w:rsidRPr="00B31D40" w:rsidRDefault="002C3FB0" w:rsidP="00B31D40">
      <w:pPr>
        <w:pStyle w:val="ListParagraph"/>
        <w:numPr>
          <w:ilvl w:val="0"/>
          <w:numId w:val="7"/>
        </w:numPr>
        <w:spacing w:before="100" w:beforeAutospacing="1" w:after="100" w:afterAutospacing="1" w:line="240" w:lineRule="auto"/>
        <w:rPr>
          <w:rFonts w:ascii="Arial" w:eastAsia="Times New Roman" w:hAnsi="Arial" w:cs="Arial"/>
          <w:kern w:val="0"/>
          <w:sz w:val="22"/>
          <w:szCs w:val="22"/>
          <w14:ligatures w14:val="none"/>
        </w:rPr>
      </w:pPr>
      <w:r w:rsidRPr="002C3FB0">
        <w:rPr>
          <w:rFonts w:ascii="Arial" w:eastAsia="Times New Roman" w:hAnsi="Arial" w:cs="Arial"/>
          <w:kern w:val="0"/>
          <w:sz w:val="22"/>
          <w:szCs w:val="22"/>
          <w14:ligatures w14:val="none"/>
        </w:rPr>
        <w:t>Despite this clear and repeated flagging of the issue within the Tribunal process, no meaningful steps were taken by the Respondent to investigate, reinstate or evidence the operation of the CHP until after leaseholders made a formal complaint to Westminster City Council alleging breach of the relevant planning condition. In my submission, that is not consistent with a landlord acting promptly and reasonably to address serious plant and efficiency concerns which go to the heart of both energy costs and compliance.</w:t>
      </w:r>
    </w:p>
    <w:p w14:paraId="3D922875" w14:textId="152797B8"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I say that this is not reasonable within the meaning of section 19 of the Landlord and Tenant Act 1985. A landlord who elects not to operate key efficiency plant that formed part of the original design and planning justification should not be entitled to pass the resulting avoidable extra costs on to leaseholders. At the very least, the Tribunal should treat a material portion of the elevated communal electricity costs, boiler/pump maintenance costs and any claimed “inefficiency” margin on Clever Energy tariffs as not reasonably incurred to the extent that they flow from the Respondent’s decision not to run the CHP.</w:t>
      </w:r>
    </w:p>
    <w:p w14:paraId="2B26EDCB" w14:textId="04D2CB3D" w:rsidR="008C7E3C" w:rsidRPr="00B43F33" w:rsidRDefault="008C7E3C" w:rsidP="00B43F33">
      <w:pPr>
        <w:pStyle w:val="ListParagraph"/>
        <w:numPr>
          <w:ilvl w:val="0"/>
          <w:numId w:val="7"/>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I therefore invite the Tribunal to:</w:t>
      </w:r>
    </w:p>
    <w:p w14:paraId="0F7D3DB2" w14:textId="09590485" w:rsidR="008C7E3C" w:rsidRPr="00B43F33" w:rsidRDefault="008C7E3C" w:rsidP="00CF6145">
      <w:pPr>
        <w:pStyle w:val="ListParagraph"/>
        <w:numPr>
          <w:ilvl w:val="0"/>
          <w:numId w:val="14"/>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 xml:space="preserve">Find that the CHP has not been operated as envisaged in the planning and design documents since at least </w:t>
      </w:r>
      <w:proofErr w:type="gramStart"/>
      <w:r w:rsidRPr="00B43F33">
        <w:rPr>
          <w:rFonts w:ascii="Arial" w:hAnsi="Arial" w:cs="Arial"/>
          <w:kern w:val="0"/>
          <w:sz w:val="22"/>
          <w:szCs w:val="22"/>
          <w14:ligatures w14:val="none"/>
        </w:rPr>
        <w:t>2017;</w:t>
      </w:r>
      <w:proofErr w:type="gramEnd"/>
    </w:p>
    <w:p w14:paraId="52B48AF0" w14:textId="3DA15505" w:rsidR="008C7E3C" w:rsidRPr="00B43F33" w:rsidRDefault="008C7E3C" w:rsidP="00CF6145">
      <w:pPr>
        <w:pStyle w:val="ListParagraph"/>
        <w:numPr>
          <w:ilvl w:val="0"/>
          <w:numId w:val="14"/>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Treat the additional electricity and plant-maintenance costs attributable to that non-operation as not reasonably incurred and disallow an appropriate proportion of those costs from the service charge; and</w:t>
      </w:r>
    </w:p>
    <w:p w14:paraId="7342F8A5" w14:textId="0B9C358D" w:rsidR="008C7E3C" w:rsidRPr="00B43F33" w:rsidRDefault="008C7E3C" w:rsidP="00CF6145">
      <w:pPr>
        <w:pStyle w:val="ListParagraph"/>
        <w:numPr>
          <w:ilvl w:val="0"/>
          <w:numId w:val="14"/>
        </w:numPr>
        <w:spacing w:after="0" w:line="240" w:lineRule="auto"/>
        <w:jc w:val="both"/>
        <w:rPr>
          <w:rFonts w:ascii="Arial" w:hAnsi="Arial" w:cs="Arial"/>
          <w:kern w:val="0"/>
          <w:sz w:val="22"/>
          <w:szCs w:val="22"/>
          <w14:ligatures w14:val="none"/>
        </w:rPr>
      </w:pPr>
      <w:r w:rsidRPr="00B43F33">
        <w:rPr>
          <w:rFonts w:ascii="Arial" w:hAnsi="Arial" w:cs="Arial"/>
          <w:kern w:val="0"/>
          <w:sz w:val="22"/>
          <w:szCs w:val="22"/>
          <w14:ligatures w14:val="none"/>
        </w:rPr>
        <w:t>Direct that the Respondent, at its own expense, either brings the CHP back into proper operation in accordance with the original energy strategy and planning commitments, or, if it chooses not to do so, bears the cost of the additional electricity and plant wear itself rather than passing it on to leaseholders.</w:t>
      </w:r>
    </w:p>
    <w:p w14:paraId="6E061805" w14:textId="77777777" w:rsidR="006B53AC" w:rsidRPr="006B53AC" w:rsidRDefault="006B53AC" w:rsidP="006B53AC">
      <w:p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HIU AND FCU SERVICING – DEMISED EQUIPMENT AND LACK OF CONSULTATION</w:t>
      </w:r>
    </w:p>
    <w:p w14:paraId="7AD47505" w14:textId="468C33F2" w:rsidR="006B53AC" w:rsidRPr="006B53AC" w:rsidRDefault="006B53AC" w:rsidP="006B53AC">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Each flat at 8 Artillery Row is served by a Heat Interface Unit (“HIU”) for heating and domestic hot water and by one or more Fan Coil Units (“FCUs”</w:t>
      </w:r>
      <w:r w:rsidR="00024E89">
        <w:rPr>
          <w:rFonts w:ascii="Arial" w:eastAsia="Times New Roman" w:hAnsi="Arial" w:cs="Arial"/>
          <w:kern w:val="0"/>
          <w:sz w:val="22"/>
          <w:szCs w:val="22"/>
          <w14:ligatures w14:val="none"/>
        </w:rPr>
        <w:t>, also referred to as CIU – Cooling Interface Unit</w:t>
      </w:r>
      <w:r w:rsidRPr="006B53AC">
        <w:rPr>
          <w:rFonts w:ascii="Arial" w:eastAsia="Times New Roman" w:hAnsi="Arial" w:cs="Arial"/>
          <w:kern w:val="0"/>
          <w:sz w:val="22"/>
          <w:szCs w:val="22"/>
          <w14:ligatures w14:val="none"/>
        </w:rPr>
        <w:t>) providing cooling</w:t>
      </w:r>
      <w:r w:rsidR="00B10D2D">
        <w:rPr>
          <w:rFonts w:ascii="Arial" w:eastAsia="Times New Roman" w:hAnsi="Arial" w:cs="Arial"/>
          <w:kern w:val="0"/>
          <w:sz w:val="22"/>
          <w:szCs w:val="22"/>
          <w14:ligatures w14:val="none"/>
        </w:rPr>
        <w:t xml:space="preserve"> as described at Section 8.1 and 8.2 in the Resident</w:t>
      </w:r>
      <w:r w:rsidR="0012034A">
        <w:rPr>
          <w:rFonts w:ascii="Arial" w:eastAsia="Times New Roman" w:hAnsi="Arial" w:cs="Arial"/>
          <w:kern w:val="0"/>
          <w:sz w:val="22"/>
          <w:szCs w:val="22"/>
          <w14:ligatures w14:val="none"/>
        </w:rPr>
        <w:t>’</w:t>
      </w:r>
      <w:r w:rsidR="00B10D2D">
        <w:rPr>
          <w:rFonts w:ascii="Arial" w:eastAsia="Times New Roman" w:hAnsi="Arial" w:cs="Arial"/>
          <w:kern w:val="0"/>
          <w:sz w:val="22"/>
          <w:szCs w:val="22"/>
          <w14:ligatures w14:val="none"/>
        </w:rPr>
        <w:t>s Guide</w:t>
      </w:r>
      <w:r w:rsidRPr="006B53AC">
        <w:rPr>
          <w:rFonts w:ascii="Arial" w:eastAsia="Times New Roman" w:hAnsi="Arial" w:cs="Arial"/>
          <w:kern w:val="0"/>
          <w:sz w:val="22"/>
          <w:szCs w:val="22"/>
          <w14:ligatures w14:val="none"/>
        </w:rPr>
        <w:t>.</w:t>
      </w:r>
      <w:r w:rsidR="00B10D2D">
        <w:rPr>
          <w:rFonts w:ascii="Arial" w:eastAsia="Times New Roman" w:hAnsi="Arial" w:cs="Arial"/>
          <w:kern w:val="0"/>
          <w:sz w:val="22"/>
          <w:szCs w:val="22"/>
          <w14:ligatures w14:val="none"/>
        </w:rPr>
        <w:t xml:space="preserve"> </w:t>
      </w:r>
      <w:r w:rsidR="00B10D2D" w:rsidRPr="006175E3">
        <w:rPr>
          <w:rFonts w:ascii="Arial" w:hAnsi="Arial" w:cs="Arial"/>
          <w:b/>
          <w:bCs/>
          <w:kern w:val="0"/>
          <w:sz w:val="22"/>
          <w:szCs w:val="22"/>
          <w14:ligatures w14:val="none"/>
        </w:rPr>
        <w:t>(exhibit KH2 page</w:t>
      </w:r>
      <w:r w:rsidR="00B10D2D">
        <w:rPr>
          <w:rFonts w:ascii="Arial" w:hAnsi="Arial" w:cs="Arial"/>
          <w:b/>
          <w:bCs/>
          <w:kern w:val="0"/>
          <w:sz w:val="22"/>
          <w:szCs w:val="22"/>
          <w14:ligatures w14:val="none"/>
        </w:rPr>
        <w:t xml:space="preserve"> 500-543</w:t>
      </w:r>
      <w:r w:rsidR="00B10D2D" w:rsidRPr="006175E3">
        <w:rPr>
          <w:rFonts w:ascii="Arial" w:hAnsi="Arial" w:cs="Arial"/>
          <w:b/>
          <w:bCs/>
          <w:kern w:val="0"/>
          <w:sz w:val="22"/>
          <w:szCs w:val="22"/>
          <w14:ligatures w14:val="none"/>
        </w:rPr>
        <w:t>)</w:t>
      </w:r>
      <w:r w:rsidRPr="006B53AC">
        <w:rPr>
          <w:rFonts w:ascii="Arial" w:eastAsia="Times New Roman" w:hAnsi="Arial" w:cs="Arial"/>
          <w:kern w:val="0"/>
          <w:sz w:val="22"/>
          <w:szCs w:val="22"/>
          <w14:ligatures w14:val="none"/>
        </w:rPr>
        <w:t xml:space="preserve"> In simple terms, an HIU is a boxed unit within the flat which takes hot water from the communal primary circuit and transfers heat into the flat’s own secondary heating and hot-water pipework; an FCU</w:t>
      </w:r>
      <w:r w:rsidR="00024E89">
        <w:rPr>
          <w:rFonts w:ascii="Arial" w:eastAsia="Times New Roman" w:hAnsi="Arial" w:cs="Arial"/>
          <w:kern w:val="0"/>
          <w:sz w:val="22"/>
          <w:szCs w:val="22"/>
          <w14:ligatures w14:val="none"/>
        </w:rPr>
        <w:t xml:space="preserve"> </w:t>
      </w:r>
      <w:r w:rsidRPr="006B53AC">
        <w:rPr>
          <w:rFonts w:ascii="Arial" w:eastAsia="Times New Roman" w:hAnsi="Arial" w:cs="Arial"/>
          <w:kern w:val="0"/>
          <w:sz w:val="22"/>
          <w:szCs w:val="22"/>
          <w14:ligatures w14:val="none"/>
        </w:rPr>
        <w:t>is a small fan-assisted heat-exchanger which uses chilled water from the communal system to provide cooling to individual rooms. Both the HIU and FCUs are located wholly within the demised premises and serve only the individual flat</w:t>
      </w:r>
      <w:r w:rsidR="007E20B3">
        <w:rPr>
          <w:rFonts w:ascii="Arial" w:eastAsia="Times New Roman" w:hAnsi="Arial" w:cs="Arial"/>
          <w:kern w:val="0"/>
          <w:sz w:val="22"/>
          <w:szCs w:val="22"/>
          <w14:ligatures w14:val="none"/>
        </w:rPr>
        <w:t xml:space="preserve"> </w:t>
      </w:r>
      <w:r w:rsidR="0012034A">
        <w:rPr>
          <w:rFonts w:ascii="Arial" w:hAnsi="Arial" w:cs="Arial"/>
          <w:kern w:val="0"/>
          <w:sz w:val="22"/>
          <w:szCs w:val="22"/>
          <w14:ligatures w14:val="none"/>
        </w:rPr>
        <w:t>as described in the Resident’s Guide</w:t>
      </w:r>
    </w:p>
    <w:p w14:paraId="1EFE556A" w14:textId="0D3544DE" w:rsidR="005268AA" w:rsidRDefault="006B53AC" w:rsidP="005268AA">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 xml:space="preserve">The lease treats the HIU and FCUs as part of the demised premises, with the leaseholder responsible for keeping them in good repair and condition. </w:t>
      </w:r>
      <w:r w:rsidR="00697233" w:rsidRPr="00697233">
        <w:rPr>
          <w:rFonts w:ascii="Arial" w:eastAsia="Times New Roman" w:hAnsi="Arial" w:cs="Arial"/>
          <w:b/>
          <w:bCs/>
          <w:kern w:val="0"/>
          <w:sz w:val="22"/>
          <w:szCs w:val="22"/>
          <w14:ligatures w14:val="none"/>
        </w:rPr>
        <w:t xml:space="preserve">STATE CLAUSES IN LEASE </w:t>
      </w:r>
      <w:r w:rsidRPr="006B53AC">
        <w:rPr>
          <w:rFonts w:ascii="Arial" w:eastAsia="Times New Roman" w:hAnsi="Arial" w:cs="Arial"/>
          <w:kern w:val="0"/>
          <w:sz w:val="22"/>
          <w:szCs w:val="22"/>
          <w14:ligatures w14:val="none"/>
        </w:rPr>
        <w:t xml:space="preserve">The 8 Artillery Row Residents’ Guide, at sections 8.2 and 8.3, also states in clear terms that the maintenance of in-flat mechanical equipment, including HIUs and FCUs, is the responsibility of the apartment owner. That was the understanding when I first moved into Apartment 101 in April 2016. My landlady told me she was responsible for arranging the servicing of the HIU and FCU, and I </w:t>
      </w:r>
      <w:r w:rsidRPr="006B53AC">
        <w:rPr>
          <w:rFonts w:ascii="Arial" w:eastAsia="Times New Roman" w:hAnsi="Arial" w:cs="Arial"/>
          <w:kern w:val="0"/>
          <w:sz w:val="22"/>
          <w:szCs w:val="22"/>
          <w14:ligatures w14:val="none"/>
        </w:rPr>
        <w:lastRenderedPageBreak/>
        <w:t>assisted her in finding a contractor because it was difficult to locate firms familiar with the system.</w:t>
      </w:r>
    </w:p>
    <w:p w14:paraId="491DD156" w14:textId="3827F288" w:rsidR="005268AA" w:rsidRPr="00B31D40" w:rsidRDefault="005268AA" w:rsidP="005268AA">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B31D40">
        <w:rPr>
          <w:rFonts w:ascii="Arial" w:hAnsi="Arial" w:cs="Arial"/>
          <w:kern w:val="0"/>
          <w:sz w:val="22"/>
          <w:szCs w:val="22"/>
        </w:rPr>
        <w:t xml:space="preserve">Mr Raymond Gubbay CBE, one of the Applicants, has retained copies of HIU/FCU servicing records over </w:t>
      </w:r>
      <w:proofErr w:type="gramStart"/>
      <w:r w:rsidRPr="00B31D40">
        <w:rPr>
          <w:rFonts w:ascii="Arial" w:hAnsi="Arial" w:cs="Arial"/>
          <w:kern w:val="0"/>
          <w:sz w:val="22"/>
          <w:szCs w:val="22"/>
        </w:rPr>
        <w:t>a number of</w:t>
      </w:r>
      <w:proofErr w:type="gramEnd"/>
      <w:r w:rsidRPr="00B31D40">
        <w:rPr>
          <w:rFonts w:ascii="Arial" w:hAnsi="Arial" w:cs="Arial"/>
          <w:kern w:val="0"/>
          <w:sz w:val="22"/>
          <w:szCs w:val="22"/>
        </w:rPr>
        <w:t xml:space="preserve"> years, demonstrating that he arranged such servicing himself in the belief that the leases required leaseholders to do so</w:t>
      </w:r>
      <w:r w:rsidR="004F385F">
        <w:rPr>
          <w:rFonts w:ascii="Arial" w:hAnsi="Arial" w:cs="Arial"/>
          <w:kern w:val="0"/>
          <w:sz w:val="22"/>
          <w:szCs w:val="22"/>
        </w:rPr>
        <w:t>. A sample of those are in</w:t>
      </w:r>
      <w:r w:rsidRPr="00B31D40">
        <w:rPr>
          <w:rFonts w:ascii="Arial" w:hAnsi="Arial" w:cs="Arial"/>
          <w:kern w:val="0"/>
          <w:sz w:val="22"/>
          <w:szCs w:val="22"/>
        </w:rPr>
        <w:t xml:space="preserve"> </w:t>
      </w:r>
      <w:r w:rsidRPr="004F385F">
        <w:rPr>
          <w:rFonts w:ascii="Arial" w:hAnsi="Arial" w:cs="Arial"/>
          <w:b/>
          <w:bCs/>
          <w:kern w:val="0"/>
          <w:sz w:val="22"/>
          <w:szCs w:val="22"/>
        </w:rPr>
        <w:t xml:space="preserve">exhibit KH2 pages </w:t>
      </w:r>
      <w:r w:rsidR="004F385F">
        <w:rPr>
          <w:rFonts w:ascii="Arial" w:hAnsi="Arial" w:cs="Arial"/>
          <w:b/>
          <w:bCs/>
          <w:kern w:val="0"/>
          <w:sz w:val="22"/>
          <w:szCs w:val="22"/>
        </w:rPr>
        <w:t>1057-1062</w:t>
      </w:r>
      <w:r w:rsidRPr="00B31D40">
        <w:rPr>
          <w:rFonts w:ascii="Arial" w:hAnsi="Arial" w:cs="Arial"/>
          <w:kern w:val="0"/>
          <w:sz w:val="22"/>
          <w:szCs w:val="22"/>
        </w:rPr>
        <w:t>.</w:t>
      </w:r>
    </w:p>
    <w:p w14:paraId="0CFFCE1F" w14:textId="5BEE679D" w:rsidR="006B53AC" w:rsidRPr="006B53AC" w:rsidRDefault="006B53AC" w:rsidP="00697233">
      <w:pPr>
        <w:numPr>
          <w:ilvl w:val="0"/>
          <w:numId w:val="15"/>
        </w:numPr>
        <w:spacing w:before="100" w:beforeAutospacing="1" w:after="100" w:afterAutospacing="1" w:line="240" w:lineRule="auto"/>
        <w:ind w:hanging="294"/>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 xml:space="preserve">Contemporaneous documents reinforce this position. A 2017 </w:t>
      </w:r>
      <w:r w:rsidR="0012034A">
        <w:rPr>
          <w:rFonts w:ascii="Arial" w:eastAsia="Times New Roman" w:hAnsi="Arial" w:cs="Arial"/>
          <w:kern w:val="0"/>
          <w:sz w:val="22"/>
          <w:szCs w:val="22"/>
          <w14:ligatures w14:val="none"/>
        </w:rPr>
        <w:t>email</w:t>
      </w:r>
      <w:r w:rsidRPr="006B53AC">
        <w:rPr>
          <w:rFonts w:ascii="Arial" w:eastAsia="Times New Roman" w:hAnsi="Arial" w:cs="Arial"/>
          <w:kern w:val="0"/>
          <w:sz w:val="22"/>
          <w:szCs w:val="22"/>
          <w14:ligatures w14:val="none"/>
        </w:rPr>
        <w:t xml:space="preserve"> for Apartment 101 shows a one-off FCU service </w:t>
      </w:r>
      <w:r w:rsidR="00024E89">
        <w:rPr>
          <w:rFonts w:ascii="Arial" w:eastAsia="Times New Roman" w:hAnsi="Arial" w:cs="Arial"/>
          <w:kern w:val="0"/>
          <w:sz w:val="22"/>
          <w:szCs w:val="22"/>
          <w14:ligatures w14:val="none"/>
        </w:rPr>
        <w:t xml:space="preserve">by Acorn Engineering Ltd </w:t>
      </w:r>
      <w:r w:rsidRPr="006B53AC">
        <w:rPr>
          <w:rFonts w:ascii="Arial" w:eastAsia="Times New Roman" w:hAnsi="Arial" w:cs="Arial"/>
          <w:kern w:val="0"/>
          <w:sz w:val="22"/>
          <w:szCs w:val="22"/>
          <w14:ligatures w14:val="none"/>
        </w:rPr>
        <w:t>ordered by the flat owner</w:t>
      </w:r>
      <w:r w:rsidR="0012034A">
        <w:rPr>
          <w:rFonts w:ascii="Arial" w:eastAsia="Times New Roman" w:hAnsi="Arial" w:cs="Arial"/>
          <w:kern w:val="0"/>
          <w:sz w:val="22"/>
          <w:szCs w:val="22"/>
          <w14:ligatures w14:val="none"/>
        </w:rPr>
        <w:t xml:space="preserve"> </w:t>
      </w:r>
      <w:r w:rsidR="0012034A" w:rsidRPr="006175E3">
        <w:rPr>
          <w:rFonts w:ascii="Arial" w:hAnsi="Arial" w:cs="Arial"/>
          <w:b/>
          <w:bCs/>
          <w:kern w:val="0"/>
          <w:sz w:val="22"/>
          <w:szCs w:val="22"/>
          <w14:ligatures w14:val="none"/>
        </w:rPr>
        <w:t>(exhibit KH2 page</w:t>
      </w:r>
      <w:r w:rsidR="00E02B1B">
        <w:rPr>
          <w:rFonts w:ascii="Arial" w:hAnsi="Arial" w:cs="Arial"/>
          <w:b/>
          <w:bCs/>
          <w:kern w:val="0"/>
          <w:sz w:val="22"/>
          <w:szCs w:val="22"/>
          <w14:ligatures w14:val="none"/>
        </w:rPr>
        <w:t xml:space="preserve"> 1063</w:t>
      </w:r>
      <w:r w:rsidR="0012034A" w:rsidRPr="006175E3">
        <w:rPr>
          <w:rFonts w:ascii="Arial" w:hAnsi="Arial" w:cs="Arial"/>
          <w:b/>
          <w:bCs/>
          <w:kern w:val="0"/>
          <w:sz w:val="22"/>
          <w:szCs w:val="22"/>
          <w14:ligatures w14:val="none"/>
        </w:rPr>
        <w:t>)</w:t>
      </w:r>
      <w:r w:rsidRPr="006B53AC">
        <w:rPr>
          <w:rFonts w:ascii="Arial" w:eastAsia="Times New Roman" w:hAnsi="Arial" w:cs="Arial"/>
          <w:kern w:val="0"/>
          <w:sz w:val="22"/>
          <w:szCs w:val="22"/>
          <w14:ligatures w14:val="none"/>
        </w:rPr>
        <w:t xml:space="preserve">, and an email from </w:t>
      </w:r>
      <w:r w:rsidR="00024E89">
        <w:rPr>
          <w:rFonts w:ascii="Arial" w:eastAsia="Times New Roman" w:hAnsi="Arial" w:cs="Arial"/>
          <w:kern w:val="0"/>
          <w:sz w:val="22"/>
          <w:szCs w:val="22"/>
          <w14:ligatures w14:val="none"/>
        </w:rPr>
        <w:t xml:space="preserve">Y&amp;Y’s building </w:t>
      </w:r>
      <w:proofErr w:type="gramStart"/>
      <w:r w:rsidR="00024E89">
        <w:rPr>
          <w:rFonts w:ascii="Arial" w:eastAsia="Times New Roman" w:hAnsi="Arial" w:cs="Arial"/>
          <w:kern w:val="0"/>
          <w:sz w:val="22"/>
          <w:szCs w:val="22"/>
          <w14:ligatures w14:val="none"/>
        </w:rPr>
        <w:t xml:space="preserve">manager </w:t>
      </w:r>
      <w:r w:rsidRPr="006B53AC">
        <w:rPr>
          <w:rFonts w:ascii="Arial" w:eastAsia="Times New Roman" w:hAnsi="Arial" w:cs="Arial"/>
          <w:kern w:val="0"/>
          <w:sz w:val="22"/>
          <w:szCs w:val="22"/>
          <w14:ligatures w14:val="none"/>
        </w:rPr>
        <w:t xml:space="preserve"> in</w:t>
      </w:r>
      <w:proofErr w:type="gramEnd"/>
      <w:r w:rsidRPr="006B53AC">
        <w:rPr>
          <w:rFonts w:ascii="Arial" w:eastAsia="Times New Roman" w:hAnsi="Arial" w:cs="Arial"/>
          <w:kern w:val="0"/>
          <w:sz w:val="22"/>
          <w:szCs w:val="22"/>
          <w14:ligatures w14:val="none"/>
        </w:rPr>
        <w:t xml:space="preserve"> </w:t>
      </w:r>
      <w:r w:rsidR="00024E89">
        <w:rPr>
          <w:rFonts w:ascii="Arial" w:eastAsia="Times New Roman" w:hAnsi="Arial" w:cs="Arial"/>
          <w:kern w:val="0"/>
          <w:sz w:val="22"/>
          <w:szCs w:val="22"/>
          <w14:ligatures w14:val="none"/>
        </w:rPr>
        <w:t xml:space="preserve">May 2017 confirming </w:t>
      </w:r>
      <w:r w:rsidRPr="006B53AC">
        <w:rPr>
          <w:rFonts w:ascii="Arial" w:eastAsia="Times New Roman" w:hAnsi="Arial" w:cs="Arial"/>
          <w:kern w:val="0"/>
          <w:sz w:val="22"/>
          <w:szCs w:val="22"/>
          <w14:ligatures w14:val="none"/>
        </w:rPr>
        <w:t>that leaseholders are expected to arrange their own maintenance</w:t>
      </w:r>
      <w:r w:rsidR="00024E89">
        <w:rPr>
          <w:rFonts w:ascii="Arial" w:eastAsia="Times New Roman" w:hAnsi="Arial" w:cs="Arial"/>
          <w:kern w:val="0"/>
          <w:sz w:val="22"/>
          <w:szCs w:val="22"/>
          <w14:ligatures w14:val="none"/>
        </w:rPr>
        <w:t xml:space="preserve"> and recommending Acorn Engineering </w:t>
      </w:r>
      <w:r w:rsidR="00024E89" w:rsidRPr="006175E3">
        <w:rPr>
          <w:rFonts w:ascii="Arial" w:hAnsi="Arial" w:cs="Arial"/>
          <w:b/>
          <w:bCs/>
          <w:kern w:val="0"/>
          <w:sz w:val="22"/>
          <w:szCs w:val="22"/>
          <w14:ligatures w14:val="none"/>
        </w:rPr>
        <w:t>(exhibit KH2 page</w:t>
      </w:r>
      <w:r w:rsidR="006936FD">
        <w:rPr>
          <w:rFonts w:ascii="Arial" w:hAnsi="Arial" w:cs="Arial"/>
          <w:b/>
          <w:bCs/>
          <w:kern w:val="0"/>
          <w:sz w:val="22"/>
          <w:szCs w:val="22"/>
          <w14:ligatures w14:val="none"/>
        </w:rPr>
        <w:t xml:space="preserve"> 1065</w:t>
      </w:r>
      <w:r w:rsidR="00024E89" w:rsidRPr="006175E3">
        <w:rPr>
          <w:rFonts w:ascii="Arial" w:hAnsi="Arial" w:cs="Arial"/>
          <w:b/>
          <w:bCs/>
          <w:kern w:val="0"/>
          <w:sz w:val="22"/>
          <w:szCs w:val="22"/>
          <w14:ligatures w14:val="none"/>
        </w:rPr>
        <w:t>)</w:t>
      </w:r>
      <w:r w:rsidRPr="006B53AC">
        <w:rPr>
          <w:rFonts w:ascii="Arial" w:eastAsia="Times New Roman" w:hAnsi="Arial" w:cs="Arial"/>
          <w:kern w:val="0"/>
          <w:sz w:val="22"/>
          <w:szCs w:val="22"/>
          <w14:ligatures w14:val="none"/>
        </w:rPr>
        <w:t>. The original practice was therefore that these units were privately serviced by, and at the cost of, individual leaseholders.</w:t>
      </w:r>
      <w:r w:rsidR="0012034A">
        <w:rPr>
          <w:rFonts w:ascii="Arial" w:eastAsia="Times New Roman" w:hAnsi="Arial" w:cs="Arial"/>
          <w:kern w:val="0"/>
          <w:sz w:val="22"/>
          <w:szCs w:val="22"/>
          <w14:ligatures w14:val="none"/>
        </w:rPr>
        <w:t xml:space="preserve">  </w:t>
      </w:r>
    </w:p>
    <w:p w14:paraId="4C933D59" w14:textId="5441E471" w:rsidR="006B53AC" w:rsidRPr="006B53AC" w:rsidRDefault="006B53AC" w:rsidP="006B53AC">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 xml:space="preserve">On 27 November 2018, Y&amp;Y sent a circular letter suggesting that HIU servicing would in future be organised collectively and recharged through the service charge, apparently via Heat Interface Team Ltd. </w:t>
      </w:r>
      <w:r w:rsidR="00024E89" w:rsidRPr="006175E3">
        <w:rPr>
          <w:rFonts w:ascii="Arial" w:hAnsi="Arial" w:cs="Arial"/>
          <w:b/>
          <w:bCs/>
          <w:kern w:val="0"/>
          <w:sz w:val="22"/>
          <w:szCs w:val="22"/>
          <w14:ligatures w14:val="none"/>
        </w:rPr>
        <w:t>(exhibit KH2 page</w:t>
      </w:r>
      <w:r w:rsidR="00024E89">
        <w:rPr>
          <w:rFonts w:ascii="Arial" w:hAnsi="Arial" w:cs="Arial"/>
          <w:b/>
          <w:bCs/>
          <w:kern w:val="0"/>
          <w:sz w:val="22"/>
          <w:szCs w:val="22"/>
          <w14:ligatures w14:val="none"/>
        </w:rPr>
        <w:t xml:space="preserve"> </w:t>
      </w:r>
      <w:r w:rsidR="006936FD">
        <w:rPr>
          <w:rFonts w:ascii="Arial" w:hAnsi="Arial" w:cs="Arial"/>
          <w:b/>
          <w:bCs/>
          <w:kern w:val="0"/>
          <w:sz w:val="22"/>
          <w:szCs w:val="22"/>
          <w14:ligatures w14:val="none"/>
        </w:rPr>
        <w:t>1067</w:t>
      </w:r>
      <w:r w:rsidR="00024E89" w:rsidRPr="006175E3">
        <w:rPr>
          <w:rFonts w:ascii="Arial" w:hAnsi="Arial" w:cs="Arial"/>
          <w:b/>
          <w:bCs/>
          <w:kern w:val="0"/>
          <w:sz w:val="22"/>
          <w:szCs w:val="22"/>
          <w14:ligatures w14:val="none"/>
        </w:rPr>
        <w:t>)</w:t>
      </w:r>
      <w:r w:rsidR="006936FD">
        <w:rPr>
          <w:rFonts w:ascii="Arial" w:hAnsi="Arial" w:cs="Arial"/>
          <w:b/>
          <w:bCs/>
          <w:kern w:val="0"/>
          <w:sz w:val="22"/>
          <w:szCs w:val="22"/>
          <w14:ligatures w14:val="none"/>
        </w:rPr>
        <w:t xml:space="preserve">. </w:t>
      </w:r>
      <w:r w:rsidRPr="006B53AC">
        <w:rPr>
          <w:rFonts w:ascii="Arial" w:eastAsia="Times New Roman" w:hAnsi="Arial" w:cs="Arial"/>
          <w:kern w:val="0"/>
          <w:sz w:val="22"/>
          <w:szCs w:val="22"/>
          <w14:ligatures w14:val="none"/>
        </w:rPr>
        <w:t>That letter followed a residents’ meeting attended by only a small number of leaseholders</w:t>
      </w:r>
      <w:r w:rsidR="006936FD">
        <w:rPr>
          <w:rFonts w:ascii="Arial" w:eastAsia="Times New Roman" w:hAnsi="Arial" w:cs="Arial"/>
          <w:kern w:val="0"/>
          <w:sz w:val="22"/>
          <w:szCs w:val="22"/>
          <w14:ligatures w14:val="none"/>
        </w:rPr>
        <w:t xml:space="preserve">. </w:t>
      </w:r>
      <w:r w:rsidRPr="006B53AC">
        <w:rPr>
          <w:rFonts w:ascii="Arial" w:eastAsia="Times New Roman" w:hAnsi="Arial" w:cs="Arial"/>
          <w:kern w:val="0"/>
          <w:sz w:val="22"/>
          <w:szCs w:val="22"/>
          <w14:ligatures w14:val="none"/>
        </w:rPr>
        <w:t>There was no formal vote, no minutes recording any resolution to vary the leases, no explanation of long-term costs, and no reference to statutory consultation. In my submission, such a letter and informal discussion cannot amount to a variation of the leases or create a contractual right for the landlord to treat the servicing of demised HIUs/FCUs as a communal service-charge item.</w:t>
      </w:r>
    </w:p>
    <w:p w14:paraId="47A5611D" w14:textId="77777777" w:rsidR="006B53AC" w:rsidRPr="006B53AC" w:rsidRDefault="006B53AC" w:rsidP="006B53AC">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Even if a number of leaseholders were content in principle for the managing agent to recommend or coordinate a contractor, that is a very different thing from agreeing that the landlord may (a) procure a long-term servicing arrangement on behalf of all flats, (b) recharge all costs through the service charge, and (c) override the clear lease provisions that place maintenance of the HIUs and FCUs on the individual flat owners. A meeting with a small, undefined group of residents, without any formal procedure, cannot lawfully bind all leaseholders or change their contractual obligations.</w:t>
      </w:r>
    </w:p>
    <w:p w14:paraId="2E8B70F3" w14:textId="77777777" w:rsidR="006B53AC" w:rsidRPr="006B53AC" w:rsidRDefault="006B53AC" w:rsidP="006B53AC">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No section 20 Landlord and Tenant Act 1985 consultation has ever been carried out in relation to any long-term HIU/FCU servicing agreement or plant-room maintenance contract with Heat Interface. The yearly totals for Heat Interface work are well above the £250 per-flat threshold, so any such agreement would plainly be a “qualifying long term agreement”. The 27 November 2018 letter is not a section 20 notice, does not describe proposed costs or alternative tenders, and was not followed by any formal consultation stages.</w:t>
      </w:r>
    </w:p>
    <w:p w14:paraId="3678E4D5" w14:textId="505F3850" w:rsidR="006B53AC" w:rsidRPr="005C37CD" w:rsidRDefault="006B53AC" w:rsidP="006B53AC">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 xml:space="preserve">The reconciliation accounts for 2018–2024 list substantial and sometimes quarterly-patterned payments to Heat Interface under “Mech &amp; Plant Maintenance” and related headings, with yearly totals ranging from roughly £22,000 to over £34,000. On their face, those entries suggest an intensive regime of both </w:t>
      </w:r>
      <w:proofErr w:type="gramStart"/>
      <w:r w:rsidRPr="006B53AC">
        <w:rPr>
          <w:rFonts w:ascii="Arial" w:eastAsia="Times New Roman" w:hAnsi="Arial" w:cs="Arial"/>
          <w:kern w:val="0"/>
          <w:sz w:val="22"/>
          <w:szCs w:val="22"/>
          <w14:ligatures w14:val="none"/>
        </w:rPr>
        <w:t>plant-room</w:t>
      </w:r>
      <w:proofErr w:type="gramEnd"/>
      <w:r w:rsidRPr="006B53AC">
        <w:rPr>
          <w:rFonts w:ascii="Arial" w:eastAsia="Times New Roman" w:hAnsi="Arial" w:cs="Arial"/>
          <w:kern w:val="0"/>
          <w:sz w:val="22"/>
          <w:szCs w:val="22"/>
          <w14:ligatures w14:val="none"/>
        </w:rPr>
        <w:t xml:space="preserve"> and in-flat servicing, in some years appearing to involve four quarterly programmes and, in 2024, as many as six equal “maintenance” charges.</w:t>
      </w:r>
      <w:r w:rsidR="006936FD">
        <w:rPr>
          <w:rFonts w:ascii="Arial" w:eastAsia="Times New Roman" w:hAnsi="Arial" w:cs="Arial"/>
          <w:kern w:val="0"/>
          <w:sz w:val="22"/>
          <w:szCs w:val="22"/>
          <w14:ligatures w14:val="none"/>
        </w:rPr>
        <w:t xml:space="preserve"> I have prepared a spreadsheet showing such </w:t>
      </w:r>
      <w:r w:rsidR="00765193">
        <w:rPr>
          <w:rFonts w:ascii="Arial" w:eastAsia="Times New Roman" w:hAnsi="Arial" w:cs="Arial"/>
          <w:kern w:val="0"/>
          <w:sz w:val="22"/>
          <w:szCs w:val="22"/>
          <w14:ligatures w14:val="none"/>
        </w:rPr>
        <w:t xml:space="preserve">a clear account of the charges for Plant Room, Boiler &amp; HIU maintenance </w:t>
      </w:r>
      <w:r w:rsidR="00765193">
        <w:rPr>
          <w:rFonts w:ascii="Arial" w:eastAsia="Times New Roman" w:hAnsi="Arial" w:cs="Arial"/>
          <w:b/>
          <w:bCs/>
          <w:kern w:val="0"/>
          <w:sz w:val="22"/>
          <w:szCs w:val="22"/>
          <w14:ligatures w14:val="none"/>
        </w:rPr>
        <w:t>exhibit KH2 page 1097.</w:t>
      </w:r>
    </w:p>
    <w:p w14:paraId="0F23F735" w14:textId="20FB1104" w:rsidR="005C37CD" w:rsidRPr="005C37CD" w:rsidRDefault="005C37CD" w:rsidP="006B53AC">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5C37CD">
        <w:rPr>
          <w:rFonts w:ascii="Arial" w:hAnsi="Arial" w:cs="Arial"/>
          <w:kern w:val="0"/>
          <w:sz w:val="22"/>
          <w:szCs w:val="22"/>
        </w:rPr>
        <w:t>Despite repeated requests, the Respondent has not disclosed any contracts specifying what maintenance is included for the HIUs/FCUs or for the main boilers. However, the Applicants have obtained a quarterly invoice dated 28 February 2023 which expressly breaks down the charges between apartment HIU/FCU servicing and main boiler/plant-room maintenance</w:t>
      </w:r>
      <w:r>
        <w:rPr>
          <w:rFonts w:ascii="Arial" w:hAnsi="Arial" w:cs="Arial"/>
          <w:kern w:val="0"/>
          <w:sz w:val="22"/>
          <w:szCs w:val="22"/>
        </w:rPr>
        <w:t xml:space="preserve"> (</w:t>
      </w:r>
      <w:r>
        <w:rPr>
          <w:rFonts w:ascii="Arial" w:eastAsia="Times New Roman" w:hAnsi="Arial" w:cs="Arial"/>
          <w:b/>
          <w:bCs/>
          <w:kern w:val="0"/>
          <w:sz w:val="22"/>
          <w:szCs w:val="22"/>
          <w14:ligatures w14:val="none"/>
        </w:rPr>
        <w:t>exhibit KH2 page 1098)</w:t>
      </w:r>
      <w:r w:rsidRPr="005C37CD">
        <w:rPr>
          <w:rFonts w:ascii="Arial" w:hAnsi="Arial" w:cs="Arial"/>
          <w:kern w:val="0"/>
          <w:sz w:val="22"/>
          <w:szCs w:val="22"/>
        </w:rPr>
        <w:t xml:space="preserve">. As can be seen from this invoice, approximately 50% of the costs relate to apartment-level maintenance. If, as the Respondent asserts in its letter of 27 November 2018, HIU maintenance had already been brought into the service charge by that date, it is difficult to reconcile this with the fact that the Heat Interface contract sums were broadly the same before and after 2018, only rising significantly from 2022 onwards; </w:t>
      </w:r>
      <w:r w:rsidRPr="005C37CD">
        <w:rPr>
          <w:rFonts w:ascii="Arial" w:hAnsi="Arial" w:cs="Arial"/>
          <w:kern w:val="0"/>
          <w:sz w:val="22"/>
          <w:szCs w:val="22"/>
        </w:rPr>
        <w:lastRenderedPageBreak/>
        <w:t xml:space="preserve">indeed, in 2020 the contract value was approximately 20% lower than in earlier years. In my submission, this pattern is inconsistent with the Respondent’s account and reinforces our concern that (a) demised HIU/FCU servicing has been run through the communal accounts without proper contractual authority or consultation and (b) </w:t>
      </w:r>
      <w:proofErr w:type="gramStart"/>
      <w:r w:rsidRPr="005C37CD">
        <w:rPr>
          <w:rFonts w:ascii="Arial" w:hAnsi="Arial" w:cs="Arial"/>
          <w:kern w:val="0"/>
          <w:sz w:val="22"/>
          <w:szCs w:val="22"/>
        </w:rPr>
        <w:t>plant-room</w:t>
      </w:r>
      <w:proofErr w:type="gramEnd"/>
      <w:r w:rsidRPr="005C37CD">
        <w:rPr>
          <w:rFonts w:ascii="Arial" w:hAnsi="Arial" w:cs="Arial"/>
          <w:kern w:val="0"/>
          <w:sz w:val="22"/>
          <w:szCs w:val="22"/>
        </w:rPr>
        <w:t>/boiler maintenance costs have not been transparently identified or allocated.</w:t>
      </w:r>
      <w:r>
        <w:rPr>
          <w:rFonts w:ascii="Arial" w:hAnsi="Arial" w:cs="Arial"/>
          <w:kern w:val="0"/>
          <w:sz w:val="22"/>
          <w:szCs w:val="22"/>
        </w:rPr>
        <w:t xml:space="preserve"> I refer to </w:t>
      </w:r>
      <w:r>
        <w:rPr>
          <w:rFonts w:ascii="Arial" w:eastAsia="Times New Roman" w:hAnsi="Arial" w:cs="Arial"/>
          <w:b/>
          <w:bCs/>
          <w:kern w:val="0"/>
          <w:sz w:val="22"/>
          <w:szCs w:val="22"/>
          <w14:ligatures w14:val="none"/>
        </w:rPr>
        <w:t xml:space="preserve">exhibit KH2 page 1097 </w:t>
      </w:r>
      <w:r>
        <w:rPr>
          <w:rFonts w:ascii="Arial" w:eastAsia="Times New Roman" w:hAnsi="Arial" w:cs="Arial"/>
          <w:kern w:val="0"/>
          <w:sz w:val="22"/>
          <w:szCs w:val="22"/>
          <w14:ligatures w14:val="none"/>
        </w:rPr>
        <w:t>showing annual contract sums.</w:t>
      </w:r>
    </w:p>
    <w:p w14:paraId="55888890" w14:textId="72A9F3A9" w:rsidR="0057483E" w:rsidRDefault="006B53AC" w:rsidP="009017CB">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Th</w:t>
      </w:r>
      <w:r w:rsidR="005C37CD">
        <w:rPr>
          <w:rFonts w:ascii="Arial" w:eastAsia="Times New Roman" w:hAnsi="Arial" w:cs="Arial"/>
          <w:kern w:val="0"/>
          <w:sz w:val="22"/>
          <w:szCs w:val="22"/>
          <w14:ligatures w14:val="none"/>
        </w:rPr>
        <w:t xml:space="preserve">e reconciliation accounts suggest </w:t>
      </w:r>
      <w:proofErr w:type="gramStart"/>
      <w:r w:rsidR="005C37CD">
        <w:rPr>
          <w:rFonts w:ascii="Arial" w:eastAsia="Times New Roman" w:hAnsi="Arial" w:cs="Arial"/>
          <w:kern w:val="0"/>
          <w:sz w:val="22"/>
          <w:szCs w:val="22"/>
          <w14:ligatures w14:val="none"/>
        </w:rPr>
        <w:t xml:space="preserve">a </w:t>
      </w:r>
      <w:r w:rsidRPr="006B53AC">
        <w:rPr>
          <w:rFonts w:ascii="Arial" w:eastAsia="Times New Roman" w:hAnsi="Arial" w:cs="Arial"/>
          <w:kern w:val="0"/>
          <w:sz w:val="22"/>
          <w:szCs w:val="22"/>
          <w14:ligatures w14:val="none"/>
        </w:rPr>
        <w:t xml:space="preserve"> pattern</w:t>
      </w:r>
      <w:proofErr w:type="gramEnd"/>
      <w:r w:rsidRPr="006B53AC">
        <w:rPr>
          <w:rFonts w:ascii="Arial" w:eastAsia="Times New Roman" w:hAnsi="Arial" w:cs="Arial"/>
          <w:kern w:val="0"/>
          <w:sz w:val="22"/>
          <w:szCs w:val="22"/>
          <w14:ligatures w14:val="none"/>
        </w:rPr>
        <w:t xml:space="preserve"> </w:t>
      </w:r>
      <w:r w:rsidR="005C37CD">
        <w:rPr>
          <w:rFonts w:ascii="Arial" w:eastAsia="Times New Roman" w:hAnsi="Arial" w:cs="Arial"/>
          <w:kern w:val="0"/>
          <w:sz w:val="22"/>
          <w:szCs w:val="22"/>
          <w14:ligatures w14:val="none"/>
        </w:rPr>
        <w:t xml:space="preserve">that </w:t>
      </w:r>
      <w:r w:rsidRPr="006B53AC">
        <w:rPr>
          <w:rFonts w:ascii="Arial" w:eastAsia="Times New Roman" w:hAnsi="Arial" w:cs="Arial"/>
          <w:kern w:val="0"/>
          <w:sz w:val="22"/>
          <w:szCs w:val="22"/>
          <w14:ligatures w14:val="none"/>
        </w:rPr>
        <w:t>is inconsistent with what the building manager, Bernard, has repeatedly told residents, namely that HIU/FCU maintenance is carried out only once per year</w:t>
      </w:r>
      <w:r w:rsidR="00C84BE4">
        <w:rPr>
          <w:rFonts w:ascii="Arial" w:eastAsia="Times New Roman" w:hAnsi="Arial" w:cs="Arial"/>
          <w:kern w:val="0"/>
          <w:sz w:val="22"/>
          <w:szCs w:val="22"/>
          <w14:ligatures w14:val="none"/>
        </w:rPr>
        <w:t xml:space="preserve"> </w:t>
      </w:r>
      <w:r w:rsidR="00024E89" w:rsidRPr="006175E3">
        <w:rPr>
          <w:rFonts w:ascii="Arial" w:hAnsi="Arial" w:cs="Arial"/>
          <w:b/>
          <w:bCs/>
          <w:kern w:val="0"/>
          <w:sz w:val="22"/>
          <w:szCs w:val="22"/>
          <w14:ligatures w14:val="none"/>
        </w:rPr>
        <w:t>(exhibit KH2 page</w:t>
      </w:r>
      <w:r w:rsidR="00024E89">
        <w:rPr>
          <w:rFonts w:ascii="Arial" w:hAnsi="Arial" w:cs="Arial"/>
          <w:b/>
          <w:bCs/>
          <w:kern w:val="0"/>
          <w:sz w:val="22"/>
          <w:szCs w:val="22"/>
          <w14:ligatures w14:val="none"/>
        </w:rPr>
        <w:t xml:space="preserve"> </w:t>
      </w:r>
      <w:r w:rsidR="00C84BE4">
        <w:rPr>
          <w:rFonts w:ascii="Arial" w:hAnsi="Arial" w:cs="Arial"/>
          <w:b/>
          <w:bCs/>
          <w:kern w:val="0"/>
          <w:sz w:val="22"/>
          <w:szCs w:val="22"/>
          <w14:ligatures w14:val="none"/>
        </w:rPr>
        <w:t>1068-1069</w:t>
      </w:r>
      <w:r w:rsidR="00024E89" w:rsidRPr="006175E3">
        <w:rPr>
          <w:rFonts w:ascii="Arial" w:hAnsi="Arial" w:cs="Arial"/>
          <w:b/>
          <w:bCs/>
          <w:kern w:val="0"/>
          <w:sz w:val="22"/>
          <w:szCs w:val="22"/>
          <w14:ligatures w14:val="none"/>
        </w:rPr>
        <w:t>)</w:t>
      </w:r>
      <w:r w:rsidR="00C84BE4">
        <w:rPr>
          <w:rFonts w:ascii="Arial" w:hAnsi="Arial" w:cs="Arial"/>
          <w:b/>
          <w:bCs/>
          <w:kern w:val="0"/>
          <w:sz w:val="22"/>
          <w:szCs w:val="22"/>
          <w14:ligatures w14:val="none"/>
        </w:rPr>
        <w:t xml:space="preserve">. </w:t>
      </w:r>
      <w:r w:rsidRPr="006B53AC">
        <w:rPr>
          <w:rFonts w:ascii="Arial" w:eastAsia="Times New Roman" w:hAnsi="Arial" w:cs="Arial"/>
          <w:kern w:val="0"/>
          <w:sz w:val="22"/>
          <w:szCs w:val="22"/>
          <w14:ligatures w14:val="none"/>
        </w:rPr>
        <w:t>It is also inconsistent with the documents disclosed by the Respondent. Despite specific requests, the Respondent has not produced</w:t>
      </w:r>
      <w:r w:rsidR="0057483E">
        <w:rPr>
          <w:rFonts w:ascii="Arial" w:eastAsia="Times New Roman" w:hAnsi="Arial" w:cs="Arial"/>
          <w:kern w:val="0"/>
          <w:sz w:val="22"/>
          <w:szCs w:val="22"/>
          <w14:ligatures w14:val="none"/>
        </w:rPr>
        <w:t xml:space="preserve"> </w:t>
      </w:r>
      <w:r w:rsidRPr="0057483E">
        <w:rPr>
          <w:rFonts w:ascii="Arial" w:eastAsia="Times New Roman" w:hAnsi="Arial" w:cs="Arial"/>
          <w:kern w:val="0"/>
          <w:sz w:val="22"/>
          <w:szCs w:val="22"/>
          <w14:ligatures w14:val="none"/>
        </w:rPr>
        <w:t>any formal maintenance contract with Heat Interface</w:t>
      </w:r>
      <w:r w:rsidR="0057483E">
        <w:rPr>
          <w:rFonts w:ascii="Arial" w:eastAsia="Times New Roman" w:hAnsi="Arial" w:cs="Arial"/>
          <w:kern w:val="0"/>
          <w:sz w:val="22"/>
          <w:szCs w:val="22"/>
          <w14:ligatures w14:val="none"/>
        </w:rPr>
        <w:t>, any</w:t>
      </w:r>
      <w:r w:rsidRPr="006B53AC">
        <w:rPr>
          <w:rFonts w:ascii="Arial" w:eastAsia="Times New Roman" w:hAnsi="Arial" w:cs="Arial"/>
          <w:kern w:val="0"/>
          <w:sz w:val="22"/>
          <w:szCs w:val="22"/>
          <w14:ligatures w14:val="none"/>
        </w:rPr>
        <w:t xml:space="preserve"> schedule of service visits matching the quarterly charges shown in the reconciliation accounts</w:t>
      </w:r>
      <w:r w:rsidR="0057483E">
        <w:rPr>
          <w:rFonts w:ascii="Arial" w:eastAsia="Times New Roman" w:hAnsi="Arial" w:cs="Arial"/>
          <w:kern w:val="0"/>
          <w:sz w:val="22"/>
          <w:szCs w:val="22"/>
          <w14:ligatures w14:val="none"/>
        </w:rPr>
        <w:t xml:space="preserve"> </w:t>
      </w:r>
      <w:r w:rsidRPr="006B53AC">
        <w:rPr>
          <w:rFonts w:ascii="Arial" w:eastAsia="Times New Roman" w:hAnsi="Arial" w:cs="Arial"/>
          <w:kern w:val="0"/>
          <w:sz w:val="22"/>
          <w:szCs w:val="22"/>
          <w14:ligatures w14:val="none"/>
        </w:rPr>
        <w:t>or</w:t>
      </w:r>
      <w:r w:rsidR="0057483E">
        <w:rPr>
          <w:rFonts w:ascii="Arial" w:eastAsia="Times New Roman" w:hAnsi="Arial" w:cs="Arial"/>
          <w:kern w:val="0"/>
          <w:sz w:val="22"/>
          <w:szCs w:val="22"/>
          <w14:ligatures w14:val="none"/>
        </w:rPr>
        <w:t xml:space="preserve"> </w:t>
      </w:r>
      <w:r w:rsidR="0057483E" w:rsidRPr="0057483E">
        <w:rPr>
          <w:rFonts w:ascii="Arial" w:eastAsia="Times New Roman" w:hAnsi="Arial" w:cs="Arial"/>
          <w:kern w:val="0"/>
          <w:sz w:val="22"/>
          <w:szCs w:val="22"/>
          <w14:ligatures w14:val="none"/>
        </w:rPr>
        <w:t xml:space="preserve">any </w:t>
      </w:r>
      <w:r w:rsidRPr="0057483E">
        <w:rPr>
          <w:rFonts w:ascii="Arial" w:eastAsia="Times New Roman" w:hAnsi="Arial" w:cs="Arial"/>
          <w:kern w:val="0"/>
          <w:sz w:val="22"/>
          <w:szCs w:val="22"/>
          <w14:ligatures w14:val="none"/>
        </w:rPr>
        <w:t xml:space="preserve">boiler-service sheets or </w:t>
      </w:r>
      <w:proofErr w:type="gramStart"/>
      <w:r w:rsidRPr="0057483E">
        <w:rPr>
          <w:rFonts w:ascii="Arial" w:eastAsia="Times New Roman" w:hAnsi="Arial" w:cs="Arial"/>
          <w:kern w:val="0"/>
          <w:sz w:val="22"/>
          <w:szCs w:val="22"/>
          <w14:ligatures w14:val="none"/>
        </w:rPr>
        <w:t>plant-room</w:t>
      </w:r>
      <w:proofErr w:type="gramEnd"/>
      <w:r w:rsidRPr="0057483E">
        <w:rPr>
          <w:rFonts w:ascii="Arial" w:eastAsia="Times New Roman" w:hAnsi="Arial" w:cs="Arial"/>
          <w:kern w:val="0"/>
          <w:sz w:val="22"/>
          <w:szCs w:val="22"/>
          <w14:ligatures w14:val="none"/>
        </w:rPr>
        <w:t xml:space="preserve"> reports corresponding to the sums said to have been spent.</w:t>
      </w:r>
    </w:p>
    <w:p w14:paraId="7782ABDC" w14:textId="737AE940" w:rsidR="006B53AC" w:rsidRPr="006B53AC" w:rsidRDefault="006B53AC" w:rsidP="006B53AC">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 xml:space="preserve">In practice, the HIU and FCU reports provided start only from 2022 and relate largely to fault-finding within individual flats rather than routine quarterly servicing of all equipment. </w:t>
      </w:r>
      <w:r w:rsidR="00F71A28">
        <w:rPr>
          <w:rFonts w:ascii="Arial" w:eastAsia="Times New Roman" w:hAnsi="Arial" w:cs="Arial"/>
          <w:kern w:val="0"/>
          <w:sz w:val="22"/>
          <w:szCs w:val="22"/>
          <w14:ligatures w14:val="none"/>
        </w:rPr>
        <w:t xml:space="preserve">They also show that maintenance visits are carried out annually. </w:t>
      </w:r>
      <w:r w:rsidRPr="006B53AC">
        <w:rPr>
          <w:rFonts w:ascii="Arial" w:eastAsia="Times New Roman" w:hAnsi="Arial" w:cs="Arial"/>
          <w:kern w:val="0"/>
          <w:sz w:val="22"/>
          <w:szCs w:val="22"/>
          <w14:ligatures w14:val="none"/>
        </w:rPr>
        <w:t xml:space="preserve">They show sporadic attendance addressing specific problems (seized pumps, stuck valves, low pressures, leaks) rather than a regular, building-wide planned-maintenance regime going back to 2018. When I discussed the plant with </w:t>
      </w:r>
      <w:proofErr w:type="gramStart"/>
      <w:r w:rsidRPr="006B53AC">
        <w:rPr>
          <w:rFonts w:ascii="Arial" w:eastAsia="Times New Roman" w:hAnsi="Arial" w:cs="Arial"/>
          <w:kern w:val="0"/>
          <w:sz w:val="22"/>
          <w:szCs w:val="22"/>
          <w14:ligatures w14:val="none"/>
        </w:rPr>
        <w:t xml:space="preserve">Bernard </w:t>
      </w:r>
      <w:r w:rsidR="0057483E">
        <w:rPr>
          <w:rFonts w:ascii="Arial" w:eastAsia="Times New Roman" w:hAnsi="Arial" w:cs="Arial"/>
          <w:kern w:val="0"/>
          <w:sz w:val="22"/>
          <w:szCs w:val="22"/>
          <w14:ligatures w14:val="none"/>
        </w:rPr>
        <w:t>,</w:t>
      </w:r>
      <w:proofErr w:type="gramEnd"/>
      <w:r w:rsidR="0057483E">
        <w:rPr>
          <w:rFonts w:ascii="Arial" w:eastAsia="Times New Roman" w:hAnsi="Arial" w:cs="Arial"/>
          <w:kern w:val="0"/>
          <w:sz w:val="22"/>
          <w:szCs w:val="22"/>
          <w14:ligatures w14:val="none"/>
        </w:rPr>
        <w:t xml:space="preserve"> Y&amp;Y’s building manager, </w:t>
      </w:r>
      <w:r w:rsidRPr="006B53AC">
        <w:rPr>
          <w:rFonts w:ascii="Arial" w:eastAsia="Times New Roman" w:hAnsi="Arial" w:cs="Arial"/>
          <w:kern w:val="0"/>
          <w:sz w:val="22"/>
          <w:szCs w:val="22"/>
          <w14:ligatures w14:val="none"/>
        </w:rPr>
        <w:t>he indicated that he is, in fact, wary of allowing Heat Interface into the plant room</w:t>
      </w:r>
      <w:r w:rsidR="0057483E">
        <w:rPr>
          <w:rFonts w:ascii="Arial" w:eastAsia="Times New Roman" w:hAnsi="Arial" w:cs="Arial"/>
          <w:kern w:val="0"/>
          <w:sz w:val="22"/>
          <w:szCs w:val="22"/>
          <w14:ligatures w14:val="none"/>
        </w:rPr>
        <w:t xml:space="preserve"> and only calls them out when there is a problem. </w:t>
      </w:r>
      <w:r w:rsidRPr="006B53AC">
        <w:rPr>
          <w:rFonts w:ascii="Arial" w:eastAsia="Times New Roman" w:hAnsi="Arial" w:cs="Arial"/>
          <w:kern w:val="0"/>
          <w:sz w:val="22"/>
          <w:szCs w:val="22"/>
          <w14:ligatures w14:val="none"/>
        </w:rPr>
        <w:t>This again sits badly with the notion that they have been attending quarterly over many years to service the main boilers and communal plant.</w:t>
      </w:r>
    </w:p>
    <w:p w14:paraId="54DC7800" w14:textId="77777777" w:rsidR="005C37CD" w:rsidRDefault="006B53AC" w:rsidP="005C37CD">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 xml:space="preserve">The boilers’ own control panel </w:t>
      </w:r>
      <w:proofErr w:type="gramStart"/>
      <w:r w:rsidRPr="006B53AC">
        <w:rPr>
          <w:rFonts w:ascii="Arial" w:eastAsia="Times New Roman" w:hAnsi="Arial" w:cs="Arial"/>
          <w:kern w:val="0"/>
          <w:sz w:val="22"/>
          <w:szCs w:val="22"/>
          <w14:ligatures w14:val="none"/>
        </w:rPr>
        <w:t>print-outs</w:t>
      </w:r>
      <w:proofErr w:type="gramEnd"/>
      <w:r w:rsidRPr="006B53AC">
        <w:rPr>
          <w:rFonts w:ascii="Arial" w:eastAsia="Times New Roman" w:hAnsi="Arial" w:cs="Arial"/>
          <w:kern w:val="0"/>
          <w:sz w:val="22"/>
          <w:szCs w:val="22"/>
          <w14:ligatures w14:val="none"/>
        </w:rPr>
        <w:t xml:space="preserve"> in the plant room, as seen by me</w:t>
      </w:r>
      <w:r w:rsidR="0057483E">
        <w:rPr>
          <w:rFonts w:ascii="Arial" w:eastAsia="Times New Roman" w:hAnsi="Arial" w:cs="Arial"/>
          <w:kern w:val="0"/>
          <w:sz w:val="22"/>
          <w:szCs w:val="22"/>
          <w14:ligatures w14:val="none"/>
        </w:rPr>
        <w:t xml:space="preserve"> on 29 August 2025</w:t>
      </w:r>
      <w:r w:rsidRPr="006B53AC">
        <w:rPr>
          <w:rFonts w:ascii="Arial" w:eastAsia="Times New Roman" w:hAnsi="Arial" w:cs="Arial"/>
          <w:kern w:val="0"/>
          <w:sz w:val="22"/>
          <w:szCs w:val="22"/>
          <w14:ligatures w14:val="none"/>
        </w:rPr>
        <w:t xml:space="preserve">, record the last </w:t>
      </w:r>
      <w:r w:rsidR="0057483E">
        <w:rPr>
          <w:rFonts w:ascii="Arial" w:eastAsia="Times New Roman" w:hAnsi="Arial" w:cs="Arial"/>
          <w:kern w:val="0"/>
          <w:sz w:val="22"/>
          <w:szCs w:val="22"/>
          <w14:ligatures w14:val="none"/>
        </w:rPr>
        <w:t xml:space="preserve">Heat Interface </w:t>
      </w:r>
      <w:r w:rsidRPr="006B53AC">
        <w:rPr>
          <w:rFonts w:ascii="Arial" w:eastAsia="Times New Roman" w:hAnsi="Arial" w:cs="Arial"/>
          <w:kern w:val="0"/>
          <w:sz w:val="22"/>
          <w:szCs w:val="22"/>
          <w14:ligatures w14:val="none"/>
        </w:rPr>
        <w:t xml:space="preserve">maintenance visit as having taken place </w:t>
      </w:r>
      <w:r w:rsidR="0057483E">
        <w:rPr>
          <w:rFonts w:ascii="Arial" w:eastAsia="Times New Roman" w:hAnsi="Arial" w:cs="Arial"/>
          <w:kern w:val="0"/>
          <w:sz w:val="22"/>
          <w:szCs w:val="22"/>
          <w14:ligatures w14:val="none"/>
        </w:rPr>
        <w:t>on 7 November</w:t>
      </w:r>
      <w:r w:rsidRPr="006B53AC">
        <w:rPr>
          <w:rFonts w:ascii="Arial" w:eastAsia="Times New Roman" w:hAnsi="Arial" w:cs="Arial"/>
          <w:kern w:val="0"/>
          <w:sz w:val="22"/>
          <w:szCs w:val="22"/>
          <w14:ligatures w14:val="none"/>
        </w:rPr>
        <w:t xml:space="preserve"> 2023</w:t>
      </w:r>
      <w:r w:rsidR="0057483E">
        <w:rPr>
          <w:rFonts w:ascii="Arial" w:eastAsia="Times New Roman" w:hAnsi="Arial" w:cs="Arial"/>
          <w:kern w:val="0"/>
          <w:sz w:val="22"/>
          <w:szCs w:val="22"/>
          <w14:ligatures w14:val="none"/>
        </w:rPr>
        <w:t xml:space="preserve"> </w:t>
      </w:r>
      <w:r w:rsidR="009017CB" w:rsidRPr="006175E3">
        <w:rPr>
          <w:rFonts w:ascii="Arial" w:hAnsi="Arial" w:cs="Arial"/>
          <w:b/>
          <w:bCs/>
          <w:kern w:val="0"/>
          <w:sz w:val="22"/>
          <w:szCs w:val="22"/>
          <w14:ligatures w14:val="none"/>
        </w:rPr>
        <w:t>(exhibit KH2 page</w:t>
      </w:r>
      <w:r w:rsidR="009017CB">
        <w:rPr>
          <w:rFonts w:ascii="Arial" w:hAnsi="Arial" w:cs="Arial"/>
          <w:b/>
          <w:bCs/>
          <w:kern w:val="0"/>
          <w:sz w:val="22"/>
          <w:szCs w:val="22"/>
          <w14:ligatures w14:val="none"/>
        </w:rPr>
        <w:t xml:space="preserve"> 1070-1071</w:t>
      </w:r>
      <w:r w:rsidR="009017CB" w:rsidRPr="006175E3">
        <w:rPr>
          <w:rFonts w:ascii="Arial" w:hAnsi="Arial" w:cs="Arial"/>
          <w:b/>
          <w:bCs/>
          <w:kern w:val="0"/>
          <w:sz w:val="22"/>
          <w:szCs w:val="22"/>
          <w14:ligatures w14:val="none"/>
        </w:rPr>
        <w:t>)</w:t>
      </w:r>
      <w:r w:rsidRPr="006B53AC">
        <w:rPr>
          <w:rFonts w:ascii="Arial" w:eastAsia="Times New Roman" w:hAnsi="Arial" w:cs="Arial"/>
          <w:kern w:val="0"/>
          <w:sz w:val="22"/>
          <w:szCs w:val="22"/>
          <w14:ligatures w14:val="none"/>
        </w:rPr>
        <w:t xml:space="preserve">. Yet the 2024 accounts contain multiple entries described as “boiler maintenance” or “plant room maintenance” attributed to Heat Interface and charged to leaseholders. </w:t>
      </w:r>
      <w:r w:rsidR="0057483E">
        <w:rPr>
          <w:rFonts w:ascii="Arial" w:eastAsia="Times New Roman" w:hAnsi="Arial" w:cs="Arial"/>
          <w:kern w:val="0"/>
          <w:sz w:val="22"/>
          <w:szCs w:val="22"/>
          <w14:ligatures w14:val="none"/>
        </w:rPr>
        <w:t xml:space="preserve">The Respondent has not disclosed any evidence of such maintenance reports, </w:t>
      </w:r>
      <w:r w:rsidR="0064666E" w:rsidRPr="006B53AC">
        <w:rPr>
          <w:rFonts w:ascii="Arial" w:eastAsia="Times New Roman" w:hAnsi="Arial" w:cs="Arial"/>
          <w:kern w:val="0"/>
          <w:sz w:val="22"/>
          <w:szCs w:val="22"/>
          <w14:ligatures w14:val="none"/>
        </w:rPr>
        <w:t>visit logs or engineer reports</w:t>
      </w:r>
      <w:r w:rsidR="0064666E">
        <w:rPr>
          <w:rFonts w:ascii="Arial" w:eastAsia="Times New Roman" w:hAnsi="Arial" w:cs="Arial"/>
          <w:kern w:val="0"/>
          <w:sz w:val="22"/>
          <w:szCs w:val="22"/>
          <w14:ligatures w14:val="none"/>
        </w:rPr>
        <w:t xml:space="preserve">, without which </w:t>
      </w:r>
      <w:r w:rsidRPr="006B53AC">
        <w:rPr>
          <w:rFonts w:ascii="Arial" w:eastAsia="Times New Roman" w:hAnsi="Arial" w:cs="Arial"/>
          <w:kern w:val="0"/>
          <w:sz w:val="22"/>
          <w:szCs w:val="22"/>
          <w14:ligatures w14:val="none"/>
        </w:rPr>
        <w:t>it is simply not possible to see what, if anything, was done in return for these charges.</w:t>
      </w:r>
    </w:p>
    <w:p w14:paraId="300957F1" w14:textId="45AB39FD" w:rsidR="005268AA" w:rsidRPr="005C37CD" w:rsidRDefault="005268AA" w:rsidP="005C37CD">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5C37CD">
        <w:rPr>
          <w:rFonts w:ascii="Arial" w:hAnsi="Arial" w:cs="Arial"/>
          <w:kern w:val="0"/>
          <w:sz w:val="22"/>
          <w:szCs w:val="22"/>
        </w:rPr>
        <w:t xml:space="preserve">The HIU/FCU reports that have been disclosed show a pattern of significant faults being recorded repeatedly, with no evidence of timely follow-up or repair. There is no corresponding trail of contractor invoices or follow-up reports showing that these items were systematically remedied. In my submission, this demonstrates that HIU/FCU “servicing” has too often been treated as a box-ticking and filing exercise, rather than a managed process aimed at maintaining the </w:t>
      </w:r>
      <w:r w:rsidRPr="005C37CD">
        <w:rPr>
          <w:rFonts w:ascii="Arial" w:hAnsi="Arial" w:cs="Arial"/>
          <w:kern w:val="0"/>
          <w:sz w:val="22"/>
          <w:szCs w:val="22"/>
        </w:rPr>
        <w:tab/>
        <w:t xml:space="preserve">system in good, efficient order. By way of example, </w:t>
      </w:r>
      <w:r w:rsidRPr="005C37CD">
        <w:rPr>
          <w:rFonts w:ascii="Arial" w:hAnsi="Arial" w:cs="Arial"/>
          <w:b/>
          <w:bCs/>
          <w:kern w:val="0"/>
          <w:sz w:val="22"/>
          <w:szCs w:val="22"/>
        </w:rPr>
        <w:t>exhibit KH2 pages</w:t>
      </w:r>
      <w:r w:rsidR="00271C10" w:rsidRPr="005C37CD">
        <w:rPr>
          <w:rFonts w:ascii="Arial" w:hAnsi="Arial" w:cs="Arial"/>
          <w:kern w:val="0"/>
          <w:sz w:val="22"/>
          <w:szCs w:val="22"/>
        </w:rPr>
        <w:t xml:space="preserve"> </w:t>
      </w:r>
      <w:r w:rsidR="00271C10" w:rsidRPr="005C37CD">
        <w:rPr>
          <w:rFonts w:ascii="Arial" w:hAnsi="Arial" w:cs="Arial"/>
          <w:b/>
          <w:bCs/>
          <w:kern w:val="0"/>
          <w:sz w:val="22"/>
          <w:szCs w:val="22"/>
        </w:rPr>
        <w:t xml:space="preserve">1072- </w:t>
      </w:r>
      <w:proofErr w:type="gramStart"/>
      <w:r w:rsidR="00271C10" w:rsidRPr="005C37CD">
        <w:rPr>
          <w:rFonts w:ascii="Arial" w:hAnsi="Arial" w:cs="Arial"/>
          <w:b/>
          <w:bCs/>
          <w:kern w:val="0"/>
          <w:sz w:val="22"/>
          <w:szCs w:val="22"/>
        </w:rPr>
        <w:t>1096</w:t>
      </w:r>
      <w:r w:rsidRPr="005C37CD">
        <w:rPr>
          <w:rFonts w:ascii="Arial" w:hAnsi="Arial" w:cs="Arial"/>
          <w:kern w:val="0"/>
          <w:sz w:val="22"/>
          <w:szCs w:val="22"/>
        </w:rPr>
        <w:t xml:space="preserve"> :</w:t>
      </w:r>
      <w:proofErr w:type="gramEnd"/>
      <w:r w:rsidRPr="005C37CD">
        <w:rPr>
          <w:rFonts w:ascii="Arial" w:eastAsia="Times New Roman" w:hAnsi="Arial" w:cs="Arial"/>
          <w:kern w:val="0"/>
          <w:sz w:val="22"/>
          <w:szCs w:val="22"/>
          <w14:ligatures w14:val="none"/>
        </w:rPr>
        <w:t xml:space="preserve"> </w:t>
      </w:r>
    </w:p>
    <w:p w14:paraId="547F5C7B" w14:textId="2DD0912A" w:rsidR="006B53AC" w:rsidRPr="002E6001" w:rsidRDefault="005268AA" w:rsidP="005268AA">
      <w:pPr>
        <w:pStyle w:val="ListParagraph"/>
        <w:numPr>
          <w:ilvl w:val="1"/>
          <w:numId w:val="15"/>
        </w:numPr>
        <w:spacing w:before="100" w:beforeAutospacing="1" w:after="100" w:afterAutospacing="1" w:line="240" w:lineRule="auto"/>
        <w:rPr>
          <w:rFonts w:ascii="Arial" w:hAnsi="Arial" w:cs="Arial"/>
          <w:kern w:val="0"/>
          <w:sz w:val="22"/>
          <w:szCs w:val="22"/>
        </w:rPr>
      </w:pPr>
      <w:r w:rsidRPr="002E6001">
        <w:rPr>
          <w:rFonts w:ascii="Arial" w:hAnsi="Arial" w:cs="Arial"/>
          <w:kern w:val="0"/>
          <w:sz w:val="22"/>
          <w:szCs w:val="22"/>
        </w:rPr>
        <w:t>Flat 103 – FCU controls reported on 11 May 2023 as not working and providing no cool air, with similar issues again recorded on 20 March 2024 and 3 June 2025.</w:t>
      </w:r>
    </w:p>
    <w:p w14:paraId="567B68E4" w14:textId="77777777" w:rsidR="005268AA" w:rsidRPr="002E6001" w:rsidRDefault="005268AA" w:rsidP="005268AA">
      <w:pPr>
        <w:pStyle w:val="ListParagraph"/>
        <w:numPr>
          <w:ilvl w:val="1"/>
          <w:numId w:val="15"/>
        </w:numPr>
        <w:spacing w:before="100" w:beforeAutospacing="1" w:after="100" w:afterAutospacing="1" w:line="240" w:lineRule="auto"/>
        <w:rPr>
          <w:rFonts w:ascii="Arial" w:eastAsia="Times New Roman" w:hAnsi="Arial" w:cs="Arial"/>
          <w:kern w:val="0"/>
          <w:sz w:val="22"/>
          <w:szCs w:val="22"/>
          <w14:ligatures w14:val="none"/>
        </w:rPr>
      </w:pPr>
      <w:r w:rsidRPr="002E6001">
        <w:rPr>
          <w:rFonts w:ascii="Arial" w:hAnsi="Arial" w:cs="Arial"/>
          <w:kern w:val="0"/>
          <w:sz w:val="22"/>
          <w:szCs w:val="22"/>
        </w:rPr>
        <w:t>Flat 201 – HIU report dated 3 June 2025 records that the system pressure needed topping up, but the hose was not long enough to connect, so the issue could not be remedied at the visit.</w:t>
      </w:r>
    </w:p>
    <w:p w14:paraId="0A40204F" w14:textId="77777777" w:rsidR="005268AA" w:rsidRPr="002E6001" w:rsidRDefault="005268AA" w:rsidP="005268AA">
      <w:pPr>
        <w:pStyle w:val="ListParagraph"/>
        <w:numPr>
          <w:ilvl w:val="1"/>
          <w:numId w:val="15"/>
        </w:numPr>
        <w:spacing w:before="100" w:beforeAutospacing="1" w:after="100" w:afterAutospacing="1" w:line="240" w:lineRule="auto"/>
        <w:rPr>
          <w:rFonts w:ascii="Arial" w:eastAsia="Times New Roman" w:hAnsi="Arial" w:cs="Arial"/>
          <w:kern w:val="0"/>
          <w:sz w:val="22"/>
          <w:szCs w:val="22"/>
          <w14:ligatures w14:val="none"/>
        </w:rPr>
      </w:pPr>
      <w:r w:rsidRPr="002E6001">
        <w:rPr>
          <w:rFonts w:ascii="Arial" w:hAnsi="Arial" w:cs="Arial"/>
          <w:kern w:val="0"/>
          <w:sz w:val="22"/>
          <w:szCs w:val="22"/>
        </w:rPr>
        <w:t>Flat 203 – FCU thermostat recorded on 20 March 2024 as faulty, so cooling and fans could not be properly tested; similar problems are still recorded on 29 May 2025.</w:t>
      </w:r>
    </w:p>
    <w:p w14:paraId="5AC09A09" w14:textId="6770C9E8" w:rsidR="005268AA" w:rsidRPr="002E6001" w:rsidRDefault="005268AA" w:rsidP="005268AA">
      <w:pPr>
        <w:pStyle w:val="ListParagraph"/>
        <w:numPr>
          <w:ilvl w:val="1"/>
          <w:numId w:val="15"/>
        </w:numPr>
        <w:spacing w:before="100" w:beforeAutospacing="1" w:after="100" w:afterAutospacing="1" w:line="240" w:lineRule="auto"/>
        <w:rPr>
          <w:rFonts w:ascii="Arial" w:eastAsia="Times New Roman" w:hAnsi="Arial" w:cs="Arial"/>
          <w:kern w:val="0"/>
          <w:sz w:val="22"/>
          <w:szCs w:val="22"/>
          <w14:ligatures w14:val="none"/>
        </w:rPr>
      </w:pPr>
      <w:r w:rsidRPr="002E6001">
        <w:rPr>
          <w:rFonts w:ascii="Arial" w:hAnsi="Arial" w:cs="Arial"/>
          <w:kern w:val="0"/>
          <w:sz w:val="22"/>
          <w:szCs w:val="22"/>
        </w:rPr>
        <w:t>Flat 302 – HIU secondary pump recorded on 21 March 2024 as seized and unable to be freed manually, with “replacement required” noted.</w:t>
      </w:r>
    </w:p>
    <w:p w14:paraId="07C37B04" w14:textId="15DFDEEC" w:rsidR="005268AA" w:rsidRPr="002E6001" w:rsidRDefault="005268AA" w:rsidP="005268AA">
      <w:pPr>
        <w:pStyle w:val="ListParagraph"/>
        <w:numPr>
          <w:ilvl w:val="1"/>
          <w:numId w:val="15"/>
        </w:numPr>
        <w:spacing w:before="100" w:beforeAutospacing="1" w:after="100" w:afterAutospacing="1" w:line="240" w:lineRule="auto"/>
        <w:rPr>
          <w:rFonts w:ascii="Arial" w:eastAsia="Times New Roman" w:hAnsi="Arial" w:cs="Arial"/>
          <w:kern w:val="0"/>
          <w:sz w:val="22"/>
          <w:szCs w:val="22"/>
          <w14:ligatures w14:val="none"/>
        </w:rPr>
      </w:pPr>
      <w:r w:rsidRPr="002E6001">
        <w:rPr>
          <w:rFonts w:ascii="Arial" w:hAnsi="Arial" w:cs="Arial"/>
          <w:kern w:val="0"/>
          <w:sz w:val="22"/>
          <w:szCs w:val="22"/>
        </w:rPr>
        <w:t xml:space="preserve">Flat 403 – living-room thermostat recorded as broken on 11 May 2023 and again on 21 March 2024 and 29 May 2025, meaning the FCU could not be </w:t>
      </w:r>
      <w:proofErr w:type="gramStart"/>
      <w:r w:rsidRPr="002E6001">
        <w:rPr>
          <w:rFonts w:ascii="Arial" w:hAnsi="Arial" w:cs="Arial"/>
          <w:kern w:val="0"/>
          <w:sz w:val="22"/>
          <w:szCs w:val="22"/>
        </w:rPr>
        <w:t>tested</w:t>
      </w:r>
      <w:proofErr w:type="gramEnd"/>
      <w:r w:rsidRPr="002E6001">
        <w:rPr>
          <w:rFonts w:ascii="Arial" w:hAnsi="Arial" w:cs="Arial"/>
          <w:kern w:val="0"/>
          <w:sz w:val="22"/>
          <w:szCs w:val="22"/>
        </w:rPr>
        <w:t xml:space="preserve"> and fan operation could not be confirmed.</w:t>
      </w:r>
    </w:p>
    <w:p w14:paraId="028DB3D4" w14:textId="3FE1920D" w:rsidR="005268AA" w:rsidRPr="002E6001" w:rsidRDefault="005268AA" w:rsidP="005268AA">
      <w:pPr>
        <w:pStyle w:val="ListParagraph"/>
        <w:numPr>
          <w:ilvl w:val="1"/>
          <w:numId w:val="15"/>
        </w:numPr>
        <w:spacing w:before="100" w:beforeAutospacing="1" w:after="100" w:afterAutospacing="1" w:line="240" w:lineRule="auto"/>
        <w:rPr>
          <w:rFonts w:ascii="Arial" w:eastAsia="Times New Roman" w:hAnsi="Arial" w:cs="Arial"/>
          <w:kern w:val="0"/>
          <w:sz w:val="22"/>
          <w:szCs w:val="22"/>
          <w14:ligatures w14:val="none"/>
        </w:rPr>
      </w:pPr>
      <w:r w:rsidRPr="002E6001">
        <w:rPr>
          <w:rFonts w:ascii="Arial" w:hAnsi="Arial" w:cs="Arial"/>
          <w:kern w:val="0"/>
          <w:sz w:val="22"/>
          <w:szCs w:val="22"/>
        </w:rPr>
        <w:t>Across multiple flats and years, the reports also record cooling probes left disconnected, high temperatures and, in some cases, exposed wiring.</w:t>
      </w:r>
    </w:p>
    <w:p w14:paraId="27BE7707" w14:textId="5B877745" w:rsidR="002E6001" w:rsidRPr="002E6001" w:rsidRDefault="005268AA" w:rsidP="002E6001">
      <w:pPr>
        <w:pStyle w:val="ListParagraph"/>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2E6001">
        <w:rPr>
          <w:rFonts w:ascii="Arial" w:hAnsi="Arial" w:cs="Arial"/>
          <w:kern w:val="0"/>
          <w:sz w:val="22"/>
          <w:szCs w:val="22"/>
        </w:rPr>
        <w:lastRenderedPageBreak/>
        <w:t>The Respondent has disclosed no subsequent service reports or correspondence showing that this temporary bypass was ever rectified, so we do not know whether this HIU has been running in this compromised state on a 24-hour basis ever since. It is particularly concerning that the report itself does not recommend a follow-up visit or permanent repair, but simply records this crude workaround, which increases heat consumption and costs and undermines the proper operation and efficiency of the communal network.</w:t>
      </w:r>
      <w:r w:rsidRPr="002E6001">
        <w:rPr>
          <w:rFonts w:ascii="Arial" w:eastAsia="Times New Roman" w:hAnsi="Arial" w:cs="Arial"/>
          <w:kern w:val="0"/>
          <w:sz w:val="22"/>
          <w:szCs w:val="22"/>
          <w14:ligatures w14:val="none"/>
        </w:rPr>
        <w:t xml:space="preserve"> </w:t>
      </w:r>
    </w:p>
    <w:p w14:paraId="0132F754" w14:textId="2C9C4A3F" w:rsidR="006B53AC" w:rsidRPr="006B53AC" w:rsidRDefault="006B53AC" w:rsidP="006B53AC">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 xml:space="preserve">The Respondent has produced no evidence that the retail unit has its own separate HIU/FCU or gas boiler. On the contrary, the wider evidence suggests that the café also benefits from the communal plant. Yet the </w:t>
      </w:r>
      <w:r w:rsidR="00271C10">
        <w:rPr>
          <w:rFonts w:ascii="Arial" w:eastAsia="Times New Roman" w:hAnsi="Arial" w:cs="Arial"/>
          <w:kern w:val="0"/>
          <w:sz w:val="22"/>
          <w:szCs w:val="22"/>
          <w14:ligatures w14:val="none"/>
        </w:rPr>
        <w:t xml:space="preserve">Plant &amp; </w:t>
      </w:r>
      <w:r w:rsidRPr="006B53AC">
        <w:rPr>
          <w:rFonts w:ascii="Arial" w:eastAsia="Times New Roman" w:hAnsi="Arial" w:cs="Arial"/>
          <w:kern w:val="0"/>
          <w:sz w:val="22"/>
          <w:szCs w:val="22"/>
          <w14:ligatures w14:val="none"/>
        </w:rPr>
        <w:t>Heat Interface charges under the Apartments Service Charge appear to be split equally between the 22 flats only, at 4.55% each, with no consistent contribution shown from the commercial unit. If HIU/FCU or related plant-room maintenance is genuinely communal, it ought to be apportioned in accordance with the lease so that the retail unit bears its proper share.</w:t>
      </w:r>
    </w:p>
    <w:p w14:paraId="1B471195" w14:textId="77777777" w:rsidR="006B53AC" w:rsidRPr="006B53AC" w:rsidRDefault="006B53AC" w:rsidP="006B53AC">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Against that background, I say the Respondent has failed to show that:</w:t>
      </w:r>
    </w:p>
    <w:p w14:paraId="107A4039" w14:textId="77777777" w:rsidR="006B53AC" w:rsidRPr="006B53AC" w:rsidRDefault="006B53AC" w:rsidP="006B53AC">
      <w:pPr>
        <w:spacing w:before="100" w:beforeAutospacing="1" w:after="100" w:afterAutospacing="1" w:line="240" w:lineRule="auto"/>
        <w:ind w:left="720"/>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 xml:space="preserve">a. it is contractually entitled under the leases to recover the cost of servicing demised HIUs and FCUs through the service </w:t>
      </w:r>
      <w:proofErr w:type="gramStart"/>
      <w:r w:rsidRPr="006B53AC">
        <w:rPr>
          <w:rFonts w:ascii="Arial" w:eastAsia="Times New Roman" w:hAnsi="Arial" w:cs="Arial"/>
          <w:kern w:val="0"/>
          <w:sz w:val="22"/>
          <w:szCs w:val="22"/>
          <w14:ligatures w14:val="none"/>
        </w:rPr>
        <w:t>charge;</w:t>
      </w:r>
      <w:proofErr w:type="gramEnd"/>
    </w:p>
    <w:p w14:paraId="3CFE8770" w14:textId="77777777" w:rsidR="006B53AC" w:rsidRPr="006B53AC" w:rsidRDefault="006B53AC" w:rsidP="006B53AC">
      <w:pPr>
        <w:spacing w:before="100" w:beforeAutospacing="1" w:after="100" w:afterAutospacing="1" w:line="240" w:lineRule="auto"/>
        <w:ind w:left="720"/>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 xml:space="preserve">b. any long-term arrangement with Heat Interface complies with the section 20 consultation </w:t>
      </w:r>
      <w:proofErr w:type="gramStart"/>
      <w:r w:rsidRPr="006B53AC">
        <w:rPr>
          <w:rFonts w:ascii="Arial" w:eastAsia="Times New Roman" w:hAnsi="Arial" w:cs="Arial"/>
          <w:kern w:val="0"/>
          <w:sz w:val="22"/>
          <w:szCs w:val="22"/>
          <w14:ligatures w14:val="none"/>
        </w:rPr>
        <w:t>requirements;</w:t>
      </w:r>
      <w:proofErr w:type="gramEnd"/>
      <w:r w:rsidRPr="006B53AC">
        <w:rPr>
          <w:rFonts w:ascii="Arial" w:eastAsia="Times New Roman" w:hAnsi="Arial" w:cs="Arial"/>
          <w:kern w:val="0"/>
          <w:sz w:val="22"/>
          <w:szCs w:val="22"/>
          <w14:ligatures w14:val="none"/>
        </w:rPr>
        <w:t xml:space="preserve"> or</w:t>
      </w:r>
    </w:p>
    <w:p w14:paraId="0B9EA2C7" w14:textId="77777777" w:rsidR="006B53AC" w:rsidRPr="006B53AC" w:rsidRDefault="006B53AC" w:rsidP="006B53AC">
      <w:pPr>
        <w:spacing w:before="100" w:beforeAutospacing="1" w:after="100" w:afterAutospacing="1" w:line="240" w:lineRule="auto"/>
        <w:ind w:left="720"/>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c. the large and at times “quarterly” Heat Interface charges shown in the reconciliation accounts were actually incurred for genuine communal maintenance rather than flat-specific works.</w:t>
      </w:r>
    </w:p>
    <w:p w14:paraId="5FD7684F" w14:textId="73A7069C" w:rsidR="006B53AC" w:rsidRPr="006B53AC" w:rsidRDefault="006B53AC" w:rsidP="006B53AC">
      <w:pPr>
        <w:pStyle w:val="ListParagraph"/>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In these circumstances, I invite the Tribunal to:</w:t>
      </w:r>
    </w:p>
    <w:p w14:paraId="65C98B7E" w14:textId="3E5FDE9B" w:rsidR="006B53AC" w:rsidRPr="006B53AC" w:rsidRDefault="006B53AC" w:rsidP="006B53AC">
      <w:pPr>
        <w:pStyle w:val="ListParagraph"/>
        <w:numPr>
          <w:ilvl w:val="0"/>
          <w:numId w:val="16"/>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 xml:space="preserve">declare that the servicing, repair and replacement of in-flat HIUs and FCUs are, under the leases, the responsibility of individual leaseholders and not a recoverable communal service-charge </w:t>
      </w:r>
      <w:proofErr w:type="gramStart"/>
      <w:r w:rsidRPr="006B53AC">
        <w:rPr>
          <w:rFonts w:ascii="Arial" w:eastAsia="Times New Roman" w:hAnsi="Arial" w:cs="Arial"/>
          <w:kern w:val="0"/>
          <w:sz w:val="22"/>
          <w:szCs w:val="22"/>
          <w14:ligatures w14:val="none"/>
        </w:rPr>
        <w:t>item;</w:t>
      </w:r>
      <w:proofErr w:type="gramEnd"/>
    </w:p>
    <w:p w14:paraId="7FF95715" w14:textId="13FD1781" w:rsidR="006B53AC" w:rsidRPr="006B53AC" w:rsidRDefault="006B53AC" w:rsidP="006B53AC">
      <w:pPr>
        <w:pStyle w:val="ListParagraph"/>
        <w:numPr>
          <w:ilvl w:val="0"/>
          <w:numId w:val="16"/>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 xml:space="preserve">disallow, as not reasonably incurred and/or not contractually recoverable, </w:t>
      </w:r>
      <w:proofErr w:type="gramStart"/>
      <w:r w:rsidRPr="006B53AC">
        <w:rPr>
          <w:rFonts w:ascii="Arial" w:eastAsia="Times New Roman" w:hAnsi="Arial" w:cs="Arial"/>
          <w:kern w:val="0"/>
          <w:sz w:val="22"/>
          <w:szCs w:val="22"/>
          <w14:ligatures w14:val="none"/>
        </w:rPr>
        <w:t>the majority of</w:t>
      </w:r>
      <w:proofErr w:type="gramEnd"/>
      <w:r w:rsidRPr="006B53AC">
        <w:rPr>
          <w:rFonts w:ascii="Arial" w:eastAsia="Times New Roman" w:hAnsi="Arial" w:cs="Arial"/>
          <w:kern w:val="0"/>
          <w:sz w:val="22"/>
          <w:szCs w:val="22"/>
          <w14:ligatures w14:val="none"/>
        </w:rPr>
        <w:t xml:space="preserve"> the Heat Interface charges shown under “Mech &amp; Plant Maintenance” to the extent that they relate to demised equipment or to unproven “quarterly” </w:t>
      </w:r>
      <w:proofErr w:type="gramStart"/>
      <w:r w:rsidRPr="006B53AC">
        <w:rPr>
          <w:rFonts w:ascii="Arial" w:eastAsia="Times New Roman" w:hAnsi="Arial" w:cs="Arial"/>
          <w:kern w:val="0"/>
          <w:sz w:val="22"/>
          <w:szCs w:val="22"/>
          <w14:ligatures w14:val="none"/>
        </w:rPr>
        <w:t>plant-room</w:t>
      </w:r>
      <w:proofErr w:type="gramEnd"/>
      <w:r w:rsidRPr="006B53AC">
        <w:rPr>
          <w:rFonts w:ascii="Arial" w:eastAsia="Times New Roman" w:hAnsi="Arial" w:cs="Arial"/>
          <w:kern w:val="0"/>
          <w:sz w:val="22"/>
          <w:szCs w:val="22"/>
          <w14:ligatures w14:val="none"/>
        </w:rPr>
        <w:t xml:space="preserve"> </w:t>
      </w:r>
      <w:proofErr w:type="gramStart"/>
      <w:r w:rsidRPr="006B53AC">
        <w:rPr>
          <w:rFonts w:ascii="Arial" w:eastAsia="Times New Roman" w:hAnsi="Arial" w:cs="Arial"/>
          <w:kern w:val="0"/>
          <w:sz w:val="22"/>
          <w:szCs w:val="22"/>
          <w14:ligatures w14:val="none"/>
        </w:rPr>
        <w:t>servicing;</w:t>
      </w:r>
      <w:proofErr w:type="gramEnd"/>
    </w:p>
    <w:p w14:paraId="1B8EB991" w14:textId="370E50A9" w:rsidR="006B53AC" w:rsidRPr="006B53AC" w:rsidRDefault="006B53AC" w:rsidP="006B53AC">
      <w:pPr>
        <w:pStyle w:val="ListParagraph"/>
        <w:numPr>
          <w:ilvl w:val="0"/>
          <w:numId w:val="16"/>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in the alternative, treat any servicing arrangement with Heat Interface as a qualifying long-term agreement and cap each leaseholder’s liability to £250 per year for the relevant years in which no valid section 20 consultation was carried out; and</w:t>
      </w:r>
    </w:p>
    <w:p w14:paraId="07C3FFF7" w14:textId="35F05245" w:rsidR="007252F7" w:rsidRDefault="006B53AC" w:rsidP="00D52F10">
      <w:pPr>
        <w:pStyle w:val="ListParagraph"/>
        <w:numPr>
          <w:ilvl w:val="0"/>
          <w:numId w:val="16"/>
        </w:numPr>
        <w:spacing w:before="100" w:beforeAutospacing="1" w:after="100" w:afterAutospacing="1" w:line="240" w:lineRule="auto"/>
        <w:rPr>
          <w:rFonts w:ascii="Arial" w:eastAsia="Times New Roman" w:hAnsi="Arial" w:cs="Arial"/>
          <w:kern w:val="0"/>
          <w:sz w:val="22"/>
          <w:szCs w:val="22"/>
          <w14:ligatures w14:val="none"/>
        </w:rPr>
      </w:pPr>
      <w:r w:rsidRPr="006B53AC">
        <w:rPr>
          <w:rFonts w:ascii="Arial" w:eastAsia="Times New Roman" w:hAnsi="Arial" w:cs="Arial"/>
          <w:kern w:val="0"/>
          <w:sz w:val="22"/>
          <w:szCs w:val="22"/>
          <w14:ligatures w14:val="none"/>
        </w:rPr>
        <w:t>require the Respondent, going forward, either to leave HIU/FCU maintenance to the leaseholders as originally intended or, if it wishes to offer a communal servicing scheme, to do so on an opt-in basis with costs recharged only to participating flats and not through the general Apartments or Building Service Charge.</w:t>
      </w:r>
      <w:r w:rsidR="000F00C3">
        <w:rPr>
          <w:rFonts w:ascii="Arial" w:eastAsia="Times New Roman" w:hAnsi="Arial" w:cs="Arial"/>
          <w:kern w:val="0"/>
          <w:sz w:val="22"/>
          <w:szCs w:val="22"/>
          <w14:ligatures w14:val="none"/>
        </w:rPr>
        <w:t xml:space="preserve"> </w:t>
      </w:r>
    </w:p>
    <w:p w14:paraId="12E76D3C" w14:textId="01CCBC9E" w:rsidR="00085A9C" w:rsidRPr="00085A9C" w:rsidRDefault="00085A9C" w:rsidP="00085A9C">
      <w:p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MAINTENANCE </w:t>
      </w:r>
      <w:r w:rsidR="0077032E">
        <w:rPr>
          <w:rFonts w:ascii="Arial" w:eastAsia="Times New Roman" w:hAnsi="Arial" w:cs="Arial"/>
          <w:kern w:val="0"/>
          <w:sz w:val="22"/>
          <w:szCs w:val="22"/>
          <w14:ligatures w14:val="none"/>
        </w:rPr>
        <w:t>RECORDS AND INSURANCE CLAIMS</w:t>
      </w:r>
    </w:p>
    <w:p w14:paraId="6250FA46" w14:textId="3F460740" w:rsidR="00CA0C79" w:rsidRPr="00085A9C" w:rsidRDefault="00CA0C79" w:rsidP="00085A9C">
      <w:pPr>
        <w:pStyle w:val="ListParagraph"/>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085A9C">
        <w:rPr>
          <w:rFonts w:ascii="Arial" w:hAnsi="Arial" w:cs="Arial"/>
          <w:kern w:val="0"/>
          <w:sz w:val="22"/>
          <w:szCs w:val="22"/>
          <w14:ligatures w14:val="none"/>
        </w:rPr>
        <w:t xml:space="preserve">This section addresses the Respondent’s approach to maintenance and repair of the communal plant, pumps, heating and cooling systems, intercom and fire systems and roof, as reflected in the “Mech &amp; Plant Maintenance”, “BMS Maintenance”, “Repairs &amp; Maintenance”, “Roof Repairs” and related headings in the service-charge accounts and the Scott Schedule. In summary, the charges are high and volatile from year to year, not supported by coherent contracts or service </w:t>
      </w:r>
      <w:r w:rsidRPr="00085A9C">
        <w:rPr>
          <w:rFonts w:ascii="Arial" w:hAnsi="Arial" w:cs="Arial"/>
          <w:kern w:val="0"/>
          <w:sz w:val="22"/>
          <w:szCs w:val="22"/>
          <w14:ligatures w14:val="none"/>
        </w:rPr>
        <w:lastRenderedPageBreak/>
        <w:t>records, and in many instances appear to reflect reactive “</w:t>
      </w:r>
      <w:proofErr w:type="gramStart"/>
      <w:r w:rsidRPr="00085A9C">
        <w:rPr>
          <w:rFonts w:ascii="Arial" w:hAnsi="Arial" w:cs="Arial"/>
          <w:kern w:val="0"/>
          <w:sz w:val="22"/>
          <w:szCs w:val="22"/>
          <w14:ligatures w14:val="none"/>
        </w:rPr>
        <w:t>fire-fighting</w:t>
      </w:r>
      <w:proofErr w:type="gramEnd"/>
      <w:r w:rsidRPr="00085A9C">
        <w:rPr>
          <w:rFonts w:ascii="Arial" w:hAnsi="Arial" w:cs="Arial"/>
          <w:kern w:val="0"/>
          <w:sz w:val="22"/>
          <w:szCs w:val="22"/>
          <w14:ligatures w14:val="none"/>
        </w:rPr>
        <w:t>” rather than planned preventative maintenance.</w:t>
      </w:r>
    </w:p>
    <w:p w14:paraId="579E4691" w14:textId="77777777" w:rsidR="00CA0C79" w:rsidRPr="00085A9C" w:rsidRDefault="00CA0C79" w:rsidP="00085A9C">
      <w:pPr>
        <w:pStyle w:val="ListParagraph"/>
        <w:spacing w:after="0" w:line="240" w:lineRule="auto"/>
        <w:rPr>
          <w:rFonts w:ascii="Arial" w:hAnsi="Arial" w:cs="Arial"/>
          <w:kern w:val="0"/>
          <w:sz w:val="22"/>
          <w:szCs w:val="22"/>
          <w14:ligatures w14:val="none"/>
        </w:rPr>
      </w:pPr>
    </w:p>
    <w:p w14:paraId="7681A04C" w14:textId="57D8FDA0" w:rsidR="00CA0C79" w:rsidRDefault="00CA0C79" w:rsidP="00697233">
      <w:pPr>
        <w:pStyle w:val="ListParagraph"/>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Heat Interface Team – chaotic and opaque plant/HIU invoicing</w:t>
      </w:r>
    </w:p>
    <w:p w14:paraId="611C10B8" w14:textId="77777777" w:rsidR="00697233" w:rsidRPr="00085A9C" w:rsidRDefault="00697233" w:rsidP="00697233">
      <w:pPr>
        <w:pStyle w:val="ListParagraph"/>
        <w:spacing w:after="0" w:line="240" w:lineRule="auto"/>
        <w:rPr>
          <w:rFonts w:ascii="Arial" w:hAnsi="Arial" w:cs="Arial"/>
          <w:kern w:val="0"/>
          <w:sz w:val="22"/>
          <w:szCs w:val="22"/>
          <w14:ligatures w14:val="none"/>
        </w:rPr>
      </w:pPr>
    </w:p>
    <w:p w14:paraId="2DD7B462" w14:textId="0B41E056"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The “Mech &amp; Plant Maintenance” ledgers show multiple invoices each year from Acorn Maintenance in 2017 and from Heat Interface Team from 2018 onwards for plant-room maintenance, boiler servicing and HIU/FCU servicing. By my count there are at least five separate Heat Interface invoices in 2023 and six in 2024 alone, all coded to the same broad heading but with differing descriptions. Across the eight-year period the totals fluctuate markedly: in some years Heat Interface-related costs are in the region of £</w:t>
      </w:r>
      <w:r w:rsidR="001C6BC7">
        <w:rPr>
          <w:rFonts w:ascii="Arial" w:hAnsi="Arial" w:cs="Arial"/>
          <w:kern w:val="0"/>
          <w:sz w:val="22"/>
          <w:szCs w:val="22"/>
          <w14:ligatures w14:val="none"/>
        </w:rPr>
        <w:t>22</w:t>
      </w:r>
      <w:r w:rsidRPr="00085A9C">
        <w:rPr>
          <w:rFonts w:ascii="Arial" w:hAnsi="Arial" w:cs="Arial"/>
          <w:kern w:val="0"/>
          <w:sz w:val="22"/>
          <w:szCs w:val="22"/>
          <w14:ligatures w14:val="none"/>
        </w:rPr>
        <w:t>,000, while in others they rise above £</w:t>
      </w:r>
      <w:r w:rsidR="001C6BC7">
        <w:rPr>
          <w:rFonts w:ascii="Arial" w:hAnsi="Arial" w:cs="Arial"/>
          <w:kern w:val="0"/>
          <w:sz w:val="22"/>
          <w:szCs w:val="22"/>
          <w14:ligatures w14:val="none"/>
        </w:rPr>
        <w:t>4</w:t>
      </w:r>
      <w:r w:rsidRPr="00085A9C">
        <w:rPr>
          <w:rFonts w:ascii="Arial" w:hAnsi="Arial" w:cs="Arial"/>
          <w:kern w:val="0"/>
          <w:sz w:val="22"/>
          <w:szCs w:val="22"/>
          <w14:ligatures w14:val="none"/>
        </w:rPr>
        <w:t>0,000</w:t>
      </w:r>
      <w:r w:rsidR="001C6BC7">
        <w:rPr>
          <w:rFonts w:ascii="Arial" w:hAnsi="Arial" w:cs="Arial"/>
          <w:kern w:val="0"/>
          <w:sz w:val="22"/>
          <w:szCs w:val="22"/>
          <w14:ligatures w14:val="none"/>
        </w:rPr>
        <w:t xml:space="preserve">, </w:t>
      </w:r>
      <w:r w:rsidRPr="00085A9C">
        <w:rPr>
          <w:rFonts w:ascii="Arial" w:hAnsi="Arial" w:cs="Arial"/>
          <w:kern w:val="0"/>
          <w:sz w:val="22"/>
          <w:szCs w:val="22"/>
          <w14:ligatures w14:val="none"/>
        </w:rPr>
        <w:t>with no clear explanation of any change in scope, plant inventory or visit frequency.</w:t>
      </w:r>
      <w:r w:rsidR="001C6BC7">
        <w:rPr>
          <w:rFonts w:ascii="Arial" w:hAnsi="Arial" w:cs="Arial"/>
          <w:kern w:val="0"/>
          <w:sz w:val="22"/>
          <w:szCs w:val="22"/>
          <w14:ligatures w14:val="none"/>
        </w:rPr>
        <w:t xml:space="preserve">  These are clearly ongoing contracts, yet no Section 20 consultation was ever carried out.</w:t>
      </w:r>
    </w:p>
    <w:p w14:paraId="139E0645" w14:textId="17480F74"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 xml:space="preserve">Despite this, the Respondent has not disclosed any underlying term contract or schedule of rates with Heat Interface, nor any coherent maintenance plan showing what is to be done quarterly versus annually. There is a fundamental mismatch between what is being charged, what is said to be done, and the maintenance evidence </w:t>
      </w:r>
      <w:proofErr w:type="gramStart"/>
      <w:r w:rsidRPr="00085A9C">
        <w:rPr>
          <w:rFonts w:ascii="Arial" w:hAnsi="Arial" w:cs="Arial"/>
          <w:kern w:val="0"/>
          <w:sz w:val="22"/>
          <w:szCs w:val="22"/>
          <w14:ligatures w14:val="none"/>
        </w:rPr>
        <w:t>actually disclosed</w:t>
      </w:r>
      <w:proofErr w:type="gramEnd"/>
      <w:r w:rsidRPr="00085A9C">
        <w:rPr>
          <w:rFonts w:ascii="Arial" w:hAnsi="Arial" w:cs="Arial"/>
          <w:kern w:val="0"/>
          <w:sz w:val="22"/>
          <w:szCs w:val="22"/>
          <w14:ligatures w14:val="none"/>
        </w:rPr>
        <w:t>.</w:t>
      </w:r>
      <w:r w:rsidR="001C6BC7">
        <w:rPr>
          <w:rFonts w:ascii="Arial" w:hAnsi="Arial" w:cs="Arial"/>
          <w:kern w:val="0"/>
          <w:sz w:val="22"/>
          <w:szCs w:val="22"/>
          <w14:ligatures w14:val="none"/>
        </w:rPr>
        <w:t xml:space="preserve"> The Respondent has not even disclosed one single boiler maintenance report, despite repeated requests.</w:t>
      </w:r>
    </w:p>
    <w:p w14:paraId="6BD5C323" w14:textId="2145E09D" w:rsidR="00CA0C79"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There is also no evidence of any individual within Avon or Y&amp;Y taking ownership of these reports and ensuring that identified defects are followed up. The same plant has been on site throughout, yet the maintenance costs vary wildly from year to year. In my view this reflects a lack of accountability and of a structured, planned-preventative maintenance regime.</w:t>
      </w:r>
    </w:p>
    <w:p w14:paraId="4A022C9F" w14:textId="75B7018B" w:rsidR="00DE3D36" w:rsidRDefault="00DE3D36" w:rsidP="00697233">
      <w:pPr>
        <w:pStyle w:val="ListParagraph"/>
        <w:numPr>
          <w:ilvl w:val="0"/>
          <w:numId w:val="15"/>
        </w:numPr>
        <w:spacing w:after="0" w:line="240" w:lineRule="auto"/>
        <w:rPr>
          <w:rFonts w:ascii="Arial" w:hAnsi="Arial" w:cs="Arial"/>
          <w:kern w:val="0"/>
          <w:sz w:val="22"/>
          <w:szCs w:val="22"/>
          <w14:ligatures w14:val="none"/>
        </w:rPr>
      </w:pPr>
      <w:r>
        <w:rPr>
          <w:rFonts w:ascii="Arial" w:hAnsi="Arial" w:cs="Arial"/>
          <w:kern w:val="0"/>
          <w:sz w:val="22"/>
          <w:szCs w:val="22"/>
          <w14:ligatures w14:val="none"/>
        </w:rPr>
        <w:t>On 14 Apr 2019, there is an entry on the reconciliation accounts for an invoice of 5,220 pounds from DWP Services Ltd, with a description of “working with pipes”.  No other explanation and the Respondent has not disclosed any copies of this invoice or report.</w:t>
      </w:r>
    </w:p>
    <w:p w14:paraId="61493096" w14:textId="77777777" w:rsidR="00697233" w:rsidRPr="00697233" w:rsidRDefault="00697233" w:rsidP="00697233">
      <w:pPr>
        <w:spacing w:after="0" w:line="240" w:lineRule="auto"/>
        <w:ind w:left="360"/>
        <w:rPr>
          <w:rFonts w:ascii="Arial" w:hAnsi="Arial" w:cs="Arial"/>
          <w:kern w:val="0"/>
          <w:sz w:val="22"/>
          <w:szCs w:val="22"/>
          <w14:ligatures w14:val="none"/>
        </w:rPr>
      </w:pPr>
    </w:p>
    <w:p w14:paraId="02AC042A" w14:textId="77777777" w:rsidR="00CA0C79" w:rsidRPr="00085A9C" w:rsidRDefault="00CA0C79" w:rsidP="00697233">
      <w:pPr>
        <w:pStyle w:val="ListParagraph"/>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Boiler and pump servicing – missing reports and ignored recommendations</w:t>
      </w:r>
    </w:p>
    <w:p w14:paraId="1C2868B2" w14:textId="77777777" w:rsidR="00CA0C79" w:rsidRPr="00085A9C" w:rsidRDefault="00CA0C79" w:rsidP="00697233">
      <w:pPr>
        <w:pStyle w:val="ListParagraph"/>
        <w:spacing w:after="0" w:line="240" w:lineRule="auto"/>
        <w:rPr>
          <w:rFonts w:ascii="Arial" w:hAnsi="Arial" w:cs="Arial"/>
          <w:kern w:val="0"/>
          <w:sz w:val="22"/>
          <w:szCs w:val="22"/>
          <w14:ligatures w14:val="none"/>
        </w:rPr>
      </w:pPr>
    </w:p>
    <w:p w14:paraId="5BB41823" w14:textId="076F5775"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 xml:space="preserve">The plant-room equipment – boilers, pumps, pressurisation units, expansion vessels and associated controls – is critical to the safe and efficient operation of the communal heating and cooling system. The Respondent’s own descriptions and the charges coded to “Mech &amp; Plant Maintenance” suggest regular boiler maintenance and </w:t>
      </w:r>
      <w:proofErr w:type="gramStart"/>
      <w:r w:rsidRPr="00085A9C">
        <w:rPr>
          <w:rFonts w:ascii="Arial" w:hAnsi="Arial" w:cs="Arial"/>
          <w:kern w:val="0"/>
          <w:sz w:val="22"/>
          <w:szCs w:val="22"/>
          <w14:ligatures w14:val="none"/>
        </w:rPr>
        <w:t>plant-room</w:t>
      </w:r>
      <w:proofErr w:type="gramEnd"/>
      <w:r w:rsidRPr="00085A9C">
        <w:rPr>
          <w:rFonts w:ascii="Arial" w:hAnsi="Arial" w:cs="Arial"/>
          <w:kern w:val="0"/>
          <w:sz w:val="22"/>
          <w:szCs w:val="22"/>
          <w14:ligatures w14:val="none"/>
        </w:rPr>
        <w:t xml:space="preserve"> servicing throughout the period in dispute. </w:t>
      </w:r>
      <w:proofErr w:type="gramStart"/>
      <w:r w:rsidRPr="00085A9C">
        <w:rPr>
          <w:rFonts w:ascii="Arial" w:hAnsi="Arial" w:cs="Arial"/>
          <w:kern w:val="0"/>
          <w:sz w:val="22"/>
          <w:szCs w:val="22"/>
          <w14:ligatures w14:val="none"/>
        </w:rPr>
        <w:t>However</w:t>
      </w:r>
      <w:proofErr w:type="gramEnd"/>
      <w:r w:rsidR="00F54294">
        <w:rPr>
          <w:rFonts w:ascii="Arial" w:hAnsi="Arial" w:cs="Arial"/>
          <w:kern w:val="0"/>
          <w:sz w:val="22"/>
          <w:szCs w:val="22"/>
          <w14:ligatures w14:val="none"/>
        </w:rPr>
        <w:t xml:space="preserve"> based on the limited disclosure by the Respondent</w:t>
      </w:r>
      <w:r w:rsidRPr="00085A9C">
        <w:rPr>
          <w:rFonts w:ascii="Arial" w:hAnsi="Arial" w:cs="Arial"/>
          <w:kern w:val="0"/>
          <w:sz w:val="22"/>
          <w:szCs w:val="22"/>
          <w14:ligatures w14:val="none"/>
        </w:rPr>
        <w:t>:</w:t>
      </w:r>
    </w:p>
    <w:p w14:paraId="7F43DF2B" w14:textId="459FD45E" w:rsidR="00CA0C79" w:rsidRPr="00697233" w:rsidRDefault="00CA0C79" w:rsidP="00697233">
      <w:pPr>
        <w:pStyle w:val="ListParagraph"/>
        <w:numPr>
          <w:ilvl w:val="1"/>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The boiler control-panel print-out currently displayed in the plant room shows the last recorded boiler service as taking place in or around November 2023</w:t>
      </w:r>
      <w:r w:rsidR="00865232">
        <w:rPr>
          <w:rFonts w:ascii="Arial" w:hAnsi="Arial" w:cs="Arial"/>
          <w:kern w:val="0"/>
          <w:sz w:val="22"/>
          <w:szCs w:val="22"/>
          <w14:ligatures w14:val="none"/>
        </w:rPr>
        <w:t xml:space="preserve"> </w:t>
      </w:r>
      <w:r w:rsidR="00865232">
        <w:rPr>
          <w:rFonts w:ascii="Arial" w:hAnsi="Arial" w:cs="Arial"/>
          <w:b/>
          <w:bCs/>
          <w:kern w:val="0"/>
          <w:sz w:val="22"/>
          <w:szCs w:val="22"/>
          <w14:ligatures w14:val="none"/>
        </w:rPr>
        <w:t>(exhibit KH2 page 1070-1071</w:t>
      </w:r>
      <w:proofErr w:type="gramStart"/>
      <w:r w:rsidR="00865232">
        <w:rPr>
          <w:rFonts w:ascii="Arial" w:hAnsi="Arial" w:cs="Arial"/>
          <w:b/>
          <w:bCs/>
          <w:kern w:val="0"/>
          <w:sz w:val="22"/>
          <w:szCs w:val="22"/>
          <w14:ligatures w14:val="none"/>
        </w:rPr>
        <w:t xml:space="preserve">) </w:t>
      </w:r>
      <w:r w:rsidRPr="00085A9C">
        <w:rPr>
          <w:rFonts w:ascii="Arial" w:hAnsi="Arial" w:cs="Arial"/>
          <w:kern w:val="0"/>
          <w:sz w:val="22"/>
          <w:szCs w:val="22"/>
          <w14:ligatures w14:val="none"/>
        </w:rPr>
        <w:t>.</w:t>
      </w:r>
      <w:proofErr w:type="gramEnd"/>
      <w:r w:rsidRPr="00085A9C">
        <w:rPr>
          <w:rFonts w:ascii="Arial" w:hAnsi="Arial" w:cs="Arial"/>
          <w:kern w:val="0"/>
          <w:sz w:val="22"/>
          <w:szCs w:val="22"/>
          <w14:ligatures w14:val="none"/>
        </w:rPr>
        <w:t xml:space="preserve"> Despite this, substantial sums have been charged in 2024 and 2025 for “boiler maintenance” and “plant-room maintenance”, without any corresponding service sheets, Gas Safe certificates or commissioning reports being disclosed.</w:t>
      </w:r>
    </w:p>
    <w:p w14:paraId="268F0F4A" w14:textId="77777777" w:rsidR="00F54294" w:rsidRPr="00F54294" w:rsidRDefault="00CA0C79" w:rsidP="00697233">
      <w:pPr>
        <w:pStyle w:val="ListParagraph"/>
        <w:numPr>
          <w:ilvl w:val="1"/>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A report from AES dated 15 October 2020 recommends that a particular pump in the system be replaced rather than repeatedly repaired</w:t>
      </w:r>
      <w:r w:rsidR="00DA6B71">
        <w:rPr>
          <w:rFonts w:ascii="Arial" w:hAnsi="Arial" w:cs="Arial"/>
          <w:kern w:val="0"/>
          <w:sz w:val="22"/>
          <w:szCs w:val="22"/>
          <w14:ligatures w14:val="none"/>
        </w:rPr>
        <w:t xml:space="preserve"> </w:t>
      </w:r>
      <w:r w:rsidR="00DA6B71">
        <w:rPr>
          <w:rFonts w:ascii="Arial" w:hAnsi="Arial" w:cs="Arial"/>
          <w:b/>
          <w:bCs/>
          <w:kern w:val="0"/>
          <w:sz w:val="22"/>
          <w:szCs w:val="22"/>
          <w14:ligatures w14:val="none"/>
        </w:rPr>
        <w:t xml:space="preserve">(exhibit KH2 page </w:t>
      </w:r>
      <w:r w:rsidR="00F54294">
        <w:rPr>
          <w:rFonts w:ascii="Arial" w:hAnsi="Arial" w:cs="Arial"/>
          <w:b/>
          <w:bCs/>
          <w:kern w:val="0"/>
          <w:sz w:val="22"/>
          <w:szCs w:val="22"/>
          <w14:ligatures w14:val="none"/>
        </w:rPr>
        <w:t>1101)</w:t>
      </w:r>
      <w:r w:rsidRPr="00085A9C">
        <w:rPr>
          <w:rFonts w:ascii="Arial" w:hAnsi="Arial" w:cs="Arial"/>
          <w:kern w:val="0"/>
          <w:sz w:val="22"/>
          <w:szCs w:val="22"/>
          <w14:ligatures w14:val="none"/>
        </w:rPr>
        <w:t xml:space="preserve">. A later Heat Interface report </w:t>
      </w:r>
      <w:r w:rsidR="000C6769">
        <w:rPr>
          <w:rFonts w:ascii="Arial" w:hAnsi="Arial" w:cs="Arial"/>
          <w:kern w:val="0"/>
          <w:sz w:val="22"/>
          <w:szCs w:val="22"/>
          <w14:ligatures w14:val="none"/>
        </w:rPr>
        <w:t xml:space="preserve">over one year later, </w:t>
      </w:r>
      <w:r w:rsidRPr="00085A9C">
        <w:rPr>
          <w:rFonts w:ascii="Arial" w:hAnsi="Arial" w:cs="Arial"/>
          <w:kern w:val="0"/>
          <w:sz w:val="22"/>
          <w:szCs w:val="22"/>
          <w14:ligatures w14:val="none"/>
        </w:rPr>
        <w:t>dated 16 December 2021 records that a motor/pump has already been fixed twice and again recommends replacement</w:t>
      </w:r>
      <w:r w:rsidR="000C6769">
        <w:rPr>
          <w:rFonts w:ascii="Arial" w:hAnsi="Arial" w:cs="Arial"/>
          <w:kern w:val="0"/>
          <w:sz w:val="22"/>
          <w:szCs w:val="22"/>
          <w14:ligatures w14:val="none"/>
        </w:rPr>
        <w:t xml:space="preserve"> remarking: “Please be advised, the plant will fail again without these remedial works”</w:t>
      </w:r>
      <w:r w:rsidRPr="00085A9C">
        <w:rPr>
          <w:rFonts w:ascii="Arial" w:hAnsi="Arial" w:cs="Arial"/>
          <w:kern w:val="0"/>
          <w:sz w:val="22"/>
          <w:szCs w:val="22"/>
          <w14:ligatures w14:val="none"/>
        </w:rPr>
        <w:t xml:space="preserve"> </w:t>
      </w:r>
      <w:r w:rsidR="00F54294">
        <w:rPr>
          <w:rFonts w:ascii="Arial" w:hAnsi="Arial" w:cs="Arial"/>
          <w:b/>
          <w:bCs/>
          <w:kern w:val="0"/>
          <w:sz w:val="22"/>
          <w:szCs w:val="22"/>
          <w14:ligatures w14:val="none"/>
        </w:rPr>
        <w:t xml:space="preserve">(exhibit KH2 page 1102) </w:t>
      </w:r>
    </w:p>
    <w:p w14:paraId="3AB0AE44" w14:textId="3E98A79D" w:rsidR="00CA0C79" w:rsidRDefault="000C6769" w:rsidP="00697233">
      <w:pPr>
        <w:pStyle w:val="ListParagraph"/>
        <w:numPr>
          <w:ilvl w:val="1"/>
          <w:numId w:val="15"/>
        </w:numPr>
        <w:spacing w:after="0" w:line="240" w:lineRule="auto"/>
        <w:rPr>
          <w:rFonts w:ascii="Arial" w:hAnsi="Arial" w:cs="Arial"/>
          <w:kern w:val="0"/>
          <w:sz w:val="22"/>
          <w:szCs w:val="22"/>
          <w14:ligatures w14:val="none"/>
        </w:rPr>
      </w:pPr>
      <w:r>
        <w:rPr>
          <w:rFonts w:ascii="Arial" w:hAnsi="Arial" w:cs="Arial"/>
          <w:kern w:val="0"/>
          <w:sz w:val="22"/>
          <w:szCs w:val="22"/>
          <w14:ligatures w14:val="none"/>
        </w:rPr>
        <w:t>Around this time, the building went without heating and hot water for 8 days, then occurring again for 2 days</w:t>
      </w:r>
      <w:r w:rsidR="00F54294">
        <w:rPr>
          <w:rFonts w:ascii="Arial" w:hAnsi="Arial" w:cs="Arial"/>
          <w:kern w:val="0"/>
          <w:sz w:val="22"/>
          <w:szCs w:val="22"/>
          <w14:ligatures w14:val="none"/>
        </w:rPr>
        <w:t xml:space="preserve"> </w:t>
      </w:r>
      <w:r w:rsidR="00F54294">
        <w:rPr>
          <w:rFonts w:ascii="Arial" w:hAnsi="Arial" w:cs="Arial"/>
          <w:b/>
          <w:bCs/>
          <w:kern w:val="0"/>
          <w:sz w:val="22"/>
          <w:szCs w:val="22"/>
          <w14:ligatures w14:val="none"/>
        </w:rPr>
        <w:t>(exhibit KH2 pages</w:t>
      </w:r>
      <w:r w:rsidR="006A542E">
        <w:rPr>
          <w:rFonts w:ascii="Arial" w:hAnsi="Arial" w:cs="Arial"/>
          <w:b/>
          <w:bCs/>
          <w:kern w:val="0"/>
          <w:sz w:val="22"/>
          <w:szCs w:val="22"/>
          <w14:ligatures w14:val="none"/>
        </w:rPr>
        <w:t xml:space="preserve"> 546-556)</w:t>
      </w:r>
      <w:r>
        <w:rPr>
          <w:rFonts w:ascii="Arial" w:hAnsi="Arial" w:cs="Arial"/>
          <w:kern w:val="0"/>
          <w:sz w:val="22"/>
          <w:szCs w:val="22"/>
          <w14:ligatures w14:val="none"/>
        </w:rPr>
        <w:t xml:space="preserve">.  </w:t>
      </w:r>
      <w:r w:rsidR="00CA0C79" w:rsidRPr="00085A9C">
        <w:rPr>
          <w:rFonts w:ascii="Arial" w:hAnsi="Arial" w:cs="Arial"/>
          <w:kern w:val="0"/>
          <w:sz w:val="22"/>
          <w:szCs w:val="22"/>
          <w14:ligatures w14:val="none"/>
        </w:rPr>
        <w:t xml:space="preserve">There is no evidence that these recommendations were actioned. No later report has been disclosed confirming that the pump was replaced, and the Residents’ </w:t>
      </w:r>
      <w:r w:rsidR="00CA0C79" w:rsidRPr="00085A9C">
        <w:rPr>
          <w:rFonts w:ascii="Arial" w:hAnsi="Arial" w:cs="Arial"/>
          <w:kern w:val="0"/>
          <w:sz w:val="22"/>
          <w:szCs w:val="22"/>
          <w14:ligatures w14:val="none"/>
        </w:rPr>
        <w:lastRenderedPageBreak/>
        <w:t>Association has seen no section 20 consultation or competitive tender process for such works.</w:t>
      </w:r>
      <w:r w:rsidR="00865232">
        <w:rPr>
          <w:rFonts w:ascii="Arial" w:hAnsi="Arial" w:cs="Arial"/>
          <w:kern w:val="0"/>
          <w:sz w:val="22"/>
          <w:szCs w:val="22"/>
          <w14:ligatures w14:val="none"/>
        </w:rPr>
        <w:t xml:space="preserve">  </w:t>
      </w:r>
    </w:p>
    <w:p w14:paraId="77A0E530" w14:textId="0A69C251" w:rsidR="00107C2C" w:rsidRDefault="00107C2C" w:rsidP="00697233">
      <w:pPr>
        <w:pStyle w:val="ListParagraph"/>
        <w:numPr>
          <w:ilvl w:val="1"/>
          <w:numId w:val="15"/>
        </w:numPr>
        <w:spacing w:after="0" w:line="240" w:lineRule="auto"/>
        <w:rPr>
          <w:rFonts w:ascii="Arial" w:hAnsi="Arial" w:cs="Arial"/>
          <w:kern w:val="0"/>
          <w:sz w:val="22"/>
          <w:szCs w:val="22"/>
          <w14:ligatures w14:val="none"/>
        </w:rPr>
      </w:pPr>
      <w:r>
        <w:rPr>
          <w:rFonts w:ascii="Arial" w:hAnsi="Arial" w:cs="Arial"/>
          <w:kern w:val="0"/>
          <w:sz w:val="22"/>
          <w:szCs w:val="22"/>
          <w14:ligatures w14:val="none"/>
        </w:rPr>
        <w:t>2</w:t>
      </w:r>
      <w:r w:rsidR="000C6769">
        <w:rPr>
          <w:rFonts w:ascii="Arial" w:hAnsi="Arial" w:cs="Arial"/>
          <w:kern w:val="0"/>
          <w:sz w:val="22"/>
          <w:szCs w:val="22"/>
          <w14:ligatures w14:val="none"/>
        </w:rPr>
        <w:t xml:space="preserve"> years later, </w:t>
      </w:r>
      <w:r>
        <w:rPr>
          <w:rFonts w:ascii="Arial" w:hAnsi="Arial" w:cs="Arial"/>
          <w:kern w:val="0"/>
          <w:sz w:val="22"/>
          <w:szCs w:val="22"/>
          <w14:ligatures w14:val="none"/>
        </w:rPr>
        <w:t xml:space="preserve">AAM Maintenance attend site to find the basement and plant room flooded with the pumps needing resetting </w:t>
      </w:r>
      <w:r>
        <w:rPr>
          <w:rFonts w:ascii="Arial" w:hAnsi="Arial" w:cs="Arial"/>
          <w:b/>
          <w:bCs/>
          <w:kern w:val="0"/>
          <w:sz w:val="22"/>
          <w:szCs w:val="22"/>
          <w14:ligatures w14:val="none"/>
        </w:rPr>
        <w:t>(exhibit KH2 pages 1119)</w:t>
      </w:r>
      <w:r>
        <w:rPr>
          <w:rFonts w:ascii="Arial" w:hAnsi="Arial" w:cs="Arial"/>
          <w:kern w:val="0"/>
          <w:sz w:val="22"/>
          <w:szCs w:val="22"/>
          <w14:ligatures w14:val="none"/>
        </w:rPr>
        <w:t>.</w:t>
      </w:r>
    </w:p>
    <w:p w14:paraId="1FA9CBA9" w14:textId="329D9053" w:rsidR="000C6769" w:rsidRPr="00697233" w:rsidRDefault="00107C2C" w:rsidP="00697233">
      <w:pPr>
        <w:pStyle w:val="ListParagraph"/>
        <w:numPr>
          <w:ilvl w:val="1"/>
          <w:numId w:val="15"/>
        </w:numPr>
        <w:spacing w:after="0" w:line="240" w:lineRule="auto"/>
        <w:rPr>
          <w:rFonts w:ascii="Arial" w:hAnsi="Arial" w:cs="Arial"/>
          <w:kern w:val="0"/>
          <w:sz w:val="22"/>
          <w:szCs w:val="22"/>
          <w14:ligatures w14:val="none"/>
        </w:rPr>
      </w:pPr>
      <w:r>
        <w:rPr>
          <w:rFonts w:ascii="Arial" w:hAnsi="Arial" w:cs="Arial"/>
          <w:kern w:val="0"/>
          <w:sz w:val="22"/>
          <w:szCs w:val="22"/>
          <w14:ligatures w14:val="none"/>
        </w:rPr>
        <w:t xml:space="preserve">1 year later, on 24 May 2024, </w:t>
      </w:r>
      <w:r w:rsidR="000C6769">
        <w:rPr>
          <w:rFonts w:ascii="Arial" w:hAnsi="Arial" w:cs="Arial"/>
          <w:kern w:val="0"/>
          <w:sz w:val="22"/>
          <w:szCs w:val="22"/>
          <w14:ligatures w14:val="none"/>
        </w:rPr>
        <w:t>the Residents Association receives an email from Adam Azoulay to ask me to waive the Section 20 requirement and to authorise the replacement of pumps at a cost of 2</w:t>
      </w:r>
      <w:r w:rsidR="00DA6B71">
        <w:rPr>
          <w:rFonts w:ascii="Arial" w:hAnsi="Arial" w:cs="Arial"/>
          <w:kern w:val="0"/>
          <w:sz w:val="22"/>
          <w:szCs w:val="22"/>
          <w14:ligatures w14:val="none"/>
        </w:rPr>
        <w:t>5,000</w:t>
      </w:r>
      <w:r w:rsidR="000C6769">
        <w:rPr>
          <w:rFonts w:ascii="Arial" w:hAnsi="Arial" w:cs="Arial"/>
          <w:kern w:val="0"/>
          <w:sz w:val="22"/>
          <w:szCs w:val="22"/>
          <w14:ligatures w14:val="none"/>
        </w:rPr>
        <w:t xml:space="preserve"> pounds</w:t>
      </w:r>
      <w:r w:rsidR="006A542E">
        <w:rPr>
          <w:rFonts w:ascii="Arial" w:hAnsi="Arial" w:cs="Arial"/>
          <w:kern w:val="0"/>
          <w:sz w:val="22"/>
          <w:szCs w:val="22"/>
          <w14:ligatures w14:val="none"/>
        </w:rPr>
        <w:t xml:space="preserve"> </w:t>
      </w:r>
      <w:r w:rsidR="006A542E">
        <w:rPr>
          <w:rFonts w:ascii="Arial" w:hAnsi="Arial" w:cs="Arial"/>
          <w:b/>
          <w:bCs/>
          <w:kern w:val="0"/>
          <w:sz w:val="22"/>
          <w:szCs w:val="22"/>
          <w14:ligatures w14:val="none"/>
        </w:rPr>
        <w:t>(exhibit KH2 pages 355-358)</w:t>
      </w:r>
      <w:r w:rsidR="00DA6B71">
        <w:rPr>
          <w:rFonts w:ascii="Arial" w:hAnsi="Arial" w:cs="Arial"/>
          <w:kern w:val="0"/>
          <w:sz w:val="22"/>
          <w:szCs w:val="22"/>
          <w14:ligatures w14:val="none"/>
        </w:rPr>
        <w:t>.  I responded that I have no authority to waive a consultation process with Mr Raymond Gubbay asking for the relevant process to take place to replace such critical equipment</w:t>
      </w:r>
      <w:r w:rsidR="006A542E">
        <w:rPr>
          <w:rFonts w:ascii="Arial" w:hAnsi="Arial" w:cs="Arial"/>
          <w:kern w:val="0"/>
          <w:sz w:val="22"/>
          <w:szCs w:val="22"/>
          <w14:ligatures w14:val="none"/>
        </w:rPr>
        <w:t xml:space="preserve"> </w:t>
      </w:r>
      <w:r w:rsidR="006A542E">
        <w:rPr>
          <w:rFonts w:ascii="Arial" w:hAnsi="Arial" w:cs="Arial"/>
          <w:b/>
          <w:bCs/>
          <w:kern w:val="0"/>
          <w:sz w:val="22"/>
          <w:szCs w:val="22"/>
          <w14:ligatures w14:val="none"/>
        </w:rPr>
        <w:t>(exhibit KH2 pages 1036)</w:t>
      </w:r>
      <w:r w:rsidR="00DA6B71">
        <w:rPr>
          <w:rFonts w:ascii="Arial" w:hAnsi="Arial" w:cs="Arial"/>
          <w:kern w:val="0"/>
          <w:sz w:val="22"/>
          <w:szCs w:val="22"/>
          <w14:ligatures w14:val="none"/>
        </w:rPr>
        <w:t>.  No response was received to our emails.  1 year later, on 11 September 2025, I follow it up to remind Mr Azoulay that with winter approaching, it is important to have critical equipment in working order.  I follow it up with another reminder on 22 September 2025, with Mr Azoulay responding that they are reviewing the pump issue and will revert to the Applicants</w:t>
      </w:r>
      <w:r w:rsidR="006A542E">
        <w:rPr>
          <w:rFonts w:ascii="Arial" w:hAnsi="Arial" w:cs="Arial"/>
          <w:kern w:val="0"/>
          <w:sz w:val="22"/>
          <w:szCs w:val="22"/>
          <w14:ligatures w14:val="none"/>
        </w:rPr>
        <w:t xml:space="preserve"> </w:t>
      </w:r>
      <w:r w:rsidR="006A542E">
        <w:rPr>
          <w:rFonts w:ascii="Arial" w:hAnsi="Arial" w:cs="Arial"/>
          <w:b/>
          <w:bCs/>
          <w:kern w:val="0"/>
          <w:sz w:val="22"/>
          <w:szCs w:val="22"/>
          <w14:ligatures w14:val="none"/>
        </w:rPr>
        <w:t>(exhibit KH2 pages 1037-1040)</w:t>
      </w:r>
      <w:r w:rsidR="00DA6B71">
        <w:rPr>
          <w:rFonts w:ascii="Arial" w:hAnsi="Arial" w:cs="Arial"/>
          <w:kern w:val="0"/>
          <w:sz w:val="22"/>
          <w:szCs w:val="22"/>
          <w14:ligatures w14:val="none"/>
        </w:rPr>
        <w:t xml:space="preserve">.  To this date, nothing has happened, no update was sent and on my 2 October 2025 visit to the plant room the pumps still showed as critical </w:t>
      </w:r>
      <w:r w:rsidR="00DA6B71">
        <w:rPr>
          <w:rFonts w:ascii="Arial" w:hAnsi="Arial" w:cs="Arial"/>
          <w:b/>
          <w:bCs/>
          <w:kern w:val="0"/>
          <w:sz w:val="22"/>
          <w:szCs w:val="22"/>
          <w14:ligatures w14:val="none"/>
        </w:rPr>
        <w:t>(exhibit KH2 pages</w:t>
      </w:r>
      <w:r w:rsidR="006A542E">
        <w:rPr>
          <w:rFonts w:ascii="Arial" w:hAnsi="Arial" w:cs="Arial"/>
          <w:b/>
          <w:bCs/>
          <w:kern w:val="0"/>
          <w:sz w:val="22"/>
          <w:szCs w:val="22"/>
          <w14:ligatures w14:val="none"/>
        </w:rPr>
        <w:t xml:space="preserve"> 1105-1106</w:t>
      </w:r>
      <w:r w:rsidR="00DA6B71">
        <w:rPr>
          <w:rFonts w:ascii="Arial" w:hAnsi="Arial" w:cs="Arial"/>
          <w:b/>
          <w:bCs/>
          <w:kern w:val="0"/>
          <w:sz w:val="22"/>
          <w:szCs w:val="22"/>
          <w14:ligatures w14:val="none"/>
        </w:rPr>
        <w:t>)</w:t>
      </w:r>
      <w:r w:rsidR="000C6769">
        <w:rPr>
          <w:rFonts w:ascii="Arial" w:hAnsi="Arial" w:cs="Arial"/>
          <w:kern w:val="0"/>
          <w:sz w:val="22"/>
          <w:szCs w:val="22"/>
          <w14:ligatures w14:val="none"/>
        </w:rPr>
        <w:t xml:space="preserve"> </w:t>
      </w:r>
    </w:p>
    <w:p w14:paraId="332E1D0F" w14:textId="3D1E3ECD" w:rsidR="00CA0C79" w:rsidRPr="00697233" w:rsidRDefault="00CA0C79" w:rsidP="00697233">
      <w:pPr>
        <w:pStyle w:val="ListParagraph"/>
        <w:numPr>
          <w:ilvl w:val="1"/>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This pattern is repeated elsewhere. Reports flag failed or seizing pumps, low pressures, stuck valves and faulty thermostats, but there is either no follow-up invoice showing that the work was carried out or no subsequent service report confirming that the defect was closed out. The Respondent appears to be charging repeatedly for “maintenance” without demonstrating a proper end-to-end process from defect identification through to completed remedial works.</w:t>
      </w:r>
    </w:p>
    <w:p w14:paraId="59FCA694" w14:textId="6B151F09" w:rsidR="000C6769" w:rsidRPr="000C6769" w:rsidRDefault="000C6769" w:rsidP="000C6769">
      <w:pPr>
        <w:pStyle w:val="ListParagraph"/>
        <w:numPr>
          <w:ilvl w:val="0"/>
          <w:numId w:val="15"/>
        </w:numPr>
        <w:spacing w:after="0" w:line="240" w:lineRule="auto"/>
        <w:rPr>
          <w:rFonts w:ascii="Arial" w:hAnsi="Arial" w:cs="Arial"/>
          <w:kern w:val="0"/>
          <w:sz w:val="22"/>
          <w:szCs w:val="22"/>
          <w14:ligatures w14:val="none"/>
        </w:rPr>
      </w:pPr>
      <w:r>
        <w:rPr>
          <w:rFonts w:ascii="Arial" w:hAnsi="Arial" w:cs="Arial"/>
          <w:kern w:val="0"/>
          <w:sz w:val="22"/>
          <w:szCs w:val="22"/>
          <w14:ligatures w14:val="none"/>
        </w:rPr>
        <w:t xml:space="preserve">It appears from records that despite having a Heat Interface maintenance contract covering “regular routine maintenance to the main boilers and associated items of plant and control gear to the plant room” since 2018, the Respondent has engaged other companies to carry out repairs and maintenance on the plant room.  The AES Systems report </w:t>
      </w:r>
      <w:r w:rsidR="006A542E">
        <w:rPr>
          <w:rFonts w:ascii="Arial" w:hAnsi="Arial" w:cs="Arial"/>
          <w:kern w:val="0"/>
          <w:sz w:val="22"/>
          <w:szCs w:val="22"/>
          <w14:ligatures w14:val="none"/>
        </w:rPr>
        <w:t xml:space="preserve">refers to similar repairs and maintenance that Heat Interface refers to.  It appears that the Applicants are paying twice for the same service, unnecessarily. </w:t>
      </w:r>
      <w:r w:rsidR="00107C2C">
        <w:rPr>
          <w:rFonts w:ascii="Arial" w:hAnsi="Arial" w:cs="Arial"/>
          <w:kern w:val="0"/>
          <w:sz w:val="22"/>
          <w:szCs w:val="22"/>
          <w14:ligatures w14:val="none"/>
        </w:rPr>
        <w:t xml:space="preserve"> AAM Maintenance also attended on 3 May 2023 to fix the pumps in the plant room, yet it is my understanding that Heat Interface maintains these pumps.</w:t>
      </w:r>
    </w:p>
    <w:p w14:paraId="0AEAA26E" w14:textId="27F503F9"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Recent photographs of the MCC1 control panel and the building-management-system (“BMS”) screen taken in August 2025</w:t>
      </w:r>
      <w:r w:rsidR="008A773D">
        <w:rPr>
          <w:rFonts w:ascii="Arial" w:hAnsi="Arial" w:cs="Arial"/>
          <w:kern w:val="0"/>
          <w:sz w:val="22"/>
          <w:szCs w:val="22"/>
          <w14:ligatures w14:val="none"/>
        </w:rPr>
        <w:t xml:space="preserve"> and October 2025</w:t>
      </w:r>
      <w:r w:rsidRPr="00085A9C">
        <w:rPr>
          <w:rFonts w:ascii="Arial" w:hAnsi="Arial" w:cs="Arial"/>
          <w:kern w:val="0"/>
          <w:sz w:val="22"/>
          <w:szCs w:val="22"/>
          <w14:ligatures w14:val="none"/>
        </w:rPr>
        <w:t xml:space="preserve"> show persistent red alarm indicators for several primary and secondary pumps (including CHW and LTHW pumps 1 and 2) and associated plant. Some of these alarm lights had, according to the building manager, been illuminated for many months. In my view this is further evidence that the Respondent is not responding adequately to plant faults and is allowing critical equipment to operate in alarm condition for prolonged periods.</w:t>
      </w:r>
    </w:p>
    <w:p w14:paraId="72D5873F" w14:textId="417B030B"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 xml:space="preserve">An AAM Maintenance invoice dated 23 August 2023 records a call-out simply described as “switch on cooler unit” at a cost of £1,299.60. There is no evidence of any major repair, parts replacement or fault-finding that could justify such a high charge for what appears to be a basic operational task. This is symptomatic of a wider pattern of reactive and expensive </w:t>
      </w:r>
      <w:proofErr w:type="gramStart"/>
      <w:r w:rsidRPr="00085A9C">
        <w:rPr>
          <w:rFonts w:ascii="Arial" w:hAnsi="Arial" w:cs="Arial"/>
          <w:kern w:val="0"/>
          <w:sz w:val="22"/>
          <w:szCs w:val="22"/>
          <w14:ligatures w14:val="none"/>
        </w:rPr>
        <w:t>call-outs</w:t>
      </w:r>
      <w:proofErr w:type="gramEnd"/>
      <w:r w:rsidRPr="00085A9C">
        <w:rPr>
          <w:rFonts w:ascii="Arial" w:hAnsi="Arial" w:cs="Arial"/>
          <w:kern w:val="0"/>
          <w:sz w:val="22"/>
          <w:szCs w:val="22"/>
          <w14:ligatures w14:val="none"/>
        </w:rPr>
        <w:t xml:space="preserve"> rather than planned, </w:t>
      </w:r>
      <w:proofErr w:type="gramStart"/>
      <w:r w:rsidRPr="00085A9C">
        <w:rPr>
          <w:rFonts w:ascii="Arial" w:hAnsi="Arial" w:cs="Arial"/>
          <w:kern w:val="0"/>
          <w:sz w:val="22"/>
          <w:szCs w:val="22"/>
          <w14:ligatures w14:val="none"/>
        </w:rPr>
        <w:t>competitively-tendered</w:t>
      </w:r>
      <w:proofErr w:type="gramEnd"/>
      <w:r w:rsidRPr="00085A9C">
        <w:rPr>
          <w:rFonts w:ascii="Arial" w:hAnsi="Arial" w:cs="Arial"/>
          <w:kern w:val="0"/>
          <w:sz w:val="22"/>
          <w:szCs w:val="22"/>
          <w14:ligatures w14:val="none"/>
        </w:rPr>
        <w:t xml:space="preserve"> maintenance.</w:t>
      </w:r>
    </w:p>
    <w:p w14:paraId="4BABCE6B" w14:textId="624C73B0" w:rsidR="00CA0C79"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 xml:space="preserve">It is also relevant that the whole heating and hot-water system was designed on the assumption that the CHP would operate as the lead plant. Running the system without the CHP alters the duty on the boilers, pumps and other components. In my view, the combination of non-operation of the CHP and piecemeal, reactive attention to pumps and boilers has increased failures and premature wear, which in turn has driven up the “Mech &amp; Plant </w:t>
      </w:r>
      <w:r w:rsidR="00107C2C">
        <w:rPr>
          <w:rFonts w:ascii="Arial" w:hAnsi="Arial" w:cs="Arial"/>
          <w:kern w:val="0"/>
          <w:sz w:val="22"/>
          <w:szCs w:val="22"/>
          <w14:ligatures w14:val="none"/>
        </w:rPr>
        <w:t xml:space="preserve">and General </w:t>
      </w:r>
      <w:r w:rsidRPr="00085A9C">
        <w:rPr>
          <w:rFonts w:ascii="Arial" w:hAnsi="Arial" w:cs="Arial"/>
          <w:kern w:val="0"/>
          <w:sz w:val="22"/>
          <w:szCs w:val="22"/>
          <w14:ligatures w14:val="none"/>
        </w:rPr>
        <w:t>Maintenance” costs that are now being passed on to leaseholders.</w:t>
      </w:r>
      <w:r w:rsidR="008A773D">
        <w:rPr>
          <w:rFonts w:ascii="Arial" w:hAnsi="Arial" w:cs="Arial"/>
          <w:kern w:val="0"/>
          <w:sz w:val="22"/>
          <w:szCs w:val="22"/>
          <w14:ligatures w14:val="none"/>
        </w:rPr>
        <w:t xml:space="preserve"> </w:t>
      </w:r>
    </w:p>
    <w:p w14:paraId="0757C7E3" w14:textId="77777777" w:rsidR="00697233" w:rsidRPr="00697233" w:rsidRDefault="00697233" w:rsidP="00697233">
      <w:pPr>
        <w:spacing w:after="0" w:line="240" w:lineRule="auto"/>
        <w:ind w:left="360"/>
        <w:rPr>
          <w:rFonts w:ascii="Arial" w:hAnsi="Arial" w:cs="Arial"/>
          <w:kern w:val="0"/>
          <w:sz w:val="22"/>
          <w:szCs w:val="22"/>
          <w14:ligatures w14:val="none"/>
        </w:rPr>
      </w:pPr>
    </w:p>
    <w:p w14:paraId="191AC1A1" w14:textId="77777777" w:rsidR="00CA0C79" w:rsidRPr="00085A9C" w:rsidRDefault="00CA0C79" w:rsidP="00697233">
      <w:pPr>
        <w:pStyle w:val="ListParagraph"/>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lastRenderedPageBreak/>
        <w:t>Apartment HIU/FCU servicing and plant-room allocation</w:t>
      </w:r>
    </w:p>
    <w:p w14:paraId="32830067" w14:textId="77777777" w:rsidR="00CA0C79" w:rsidRPr="00697233" w:rsidRDefault="00CA0C79" w:rsidP="00697233">
      <w:pPr>
        <w:spacing w:after="0" w:line="240" w:lineRule="auto"/>
        <w:rPr>
          <w:rFonts w:ascii="Arial" w:hAnsi="Arial" w:cs="Arial"/>
          <w:kern w:val="0"/>
          <w:sz w:val="22"/>
          <w:szCs w:val="22"/>
          <w14:ligatures w14:val="none"/>
        </w:rPr>
      </w:pPr>
    </w:p>
    <w:p w14:paraId="027C4F4A" w14:textId="32741915"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As explained in the HIU/FCU section of this statement, the leases treat the HIU and FCU units within flats as part of the demised premises. The 8 Artillery Row Residents’ Guide (sections 8.2 and 8.3) confirms that the maintenance of these in-flat units is the responsibility of apartment owners. Mr Raymond Gubbay CBE, one of the Applicants, has kept contemporaneous records of in-flat HIU/FCU servicing over the years which he arranged himself on that understanding.</w:t>
      </w:r>
    </w:p>
    <w:p w14:paraId="10DD587C" w14:textId="23630D68"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697233">
        <w:rPr>
          <w:rFonts w:ascii="Arial" w:hAnsi="Arial" w:cs="Arial"/>
          <w:kern w:val="0"/>
          <w:sz w:val="22"/>
          <w:szCs w:val="22"/>
          <w14:ligatures w14:val="none"/>
        </w:rPr>
        <w:t>A quarterly Heat Interface invoice dated 28 February 2023, which we have obtained, shows that approximately half of the charge relates to in-flat HIU/FCU servicing and half to boiler/</w:t>
      </w:r>
      <w:proofErr w:type="gramStart"/>
      <w:r w:rsidRPr="00697233">
        <w:rPr>
          <w:rFonts w:ascii="Arial" w:hAnsi="Arial" w:cs="Arial"/>
          <w:kern w:val="0"/>
          <w:sz w:val="22"/>
          <w:szCs w:val="22"/>
          <w14:ligatures w14:val="none"/>
        </w:rPr>
        <w:t>plant-room</w:t>
      </w:r>
      <w:proofErr w:type="gramEnd"/>
      <w:r w:rsidRPr="00697233">
        <w:rPr>
          <w:rFonts w:ascii="Arial" w:hAnsi="Arial" w:cs="Arial"/>
          <w:kern w:val="0"/>
          <w:sz w:val="22"/>
          <w:szCs w:val="22"/>
          <w14:ligatures w14:val="none"/>
        </w:rPr>
        <w:t xml:space="preserve"> checks. If, as the Respondent asserts, HIU/FCU servicing had been added to the communal contract from 2018 onwards, it is difficult to reconcile this with the fact that the overall Heat Interface contract values are broadly similar before and after 2018, </w:t>
      </w:r>
      <w:proofErr w:type="gramStart"/>
      <w:r w:rsidRPr="00697233">
        <w:rPr>
          <w:rFonts w:ascii="Arial" w:hAnsi="Arial" w:cs="Arial"/>
          <w:kern w:val="0"/>
          <w:sz w:val="22"/>
          <w:szCs w:val="22"/>
          <w14:ligatures w14:val="none"/>
        </w:rPr>
        <w:t>actually dropping</w:t>
      </w:r>
      <w:proofErr w:type="gramEnd"/>
      <w:r w:rsidRPr="00697233">
        <w:rPr>
          <w:rFonts w:ascii="Arial" w:hAnsi="Arial" w:cs="Arial"/>
          <w:kern w:val="0"/>
          <w:sz w:val="22"/>
          <w:szCs w:val="22"/>
          <w14:ligatures w14:val="none"/>
        </w:rPr>
        <w:t xml:space="preserve"> by around 20% in 2020 and then increasing sharply only from 2022. The pattern does not support the Respondent’s suggestion that there is a clear, additional contract in place for demised-apparatus servicing.</w:t>
      </w:r>
    </w:p>
    <w:p w14:paraId="6BD8D05D" w14:textId="4DE8EB72"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In any event, even if some element of shared HIU/FCU work were capable of recovery through the service charge (which is not accepted), the Respondent has failed to disclose any contract, tender documentation or cost allocation showing that the present charges are reasonable or that any discount is applied to reflect the demised nature of much of the work.</w:t>
      </w:r>
    </w:p>
    <w:p w14:paraId="60AE70C3" w14:textId="5E02AED2" w:rsidR="00CA0C79"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Finally, I reiterate that the plant room itself is part of the Building and Common Parts as defined in the leases and serves both the residential flats and the ground-floor commercial unit. Any genuine plant-room maintenance that the Tribunal finds to be reasonably incurred should therefore be charged through the Building Service Charge and apportioned between all benefiting premises, including the retail unit, with appropriate credits under clause 4.2.9 for any contributions received. There is no justification for loading all such costs exclusively onto the residential Apartments Service Charge.</w:t>
      </w:r>
    </w:p>
    <w:p w14:paraId="2EF2FD1B" w14:textId="77777777" w:rsidR="00697233" w:rsidRPr="00697233" w:rsidRDefault="00697233" w:rsidP="00697233">
      <w:pPr>
        <w:pStyle w:val="ListParagraph"/>
        <w:spacing w:after="0" w:line="240" w:lineRule="auto"/>
        <w:rPr>
          <w:rFonts w:ascii="Arial" w:hAnsi="Arial" w:cs="Arial"/>
          <w:kern w:val="0"/>
          <w:sz w:val="22"/>
          <w:szCs w:val="22"/>
          <w14:ligatures w14:val="none"/>
        </w:rPr>
      </w:pPr>
    </w:p>
    <w:p w14:paraId="1F28CAC6" w14:textId="77777777" w:rsidR="00CA0C79" w:rsidRPr="00085A9C" w:rsidRDefault="00CA0C79" w:rsidP="00697233">
      <w:pPr>
        <w:pStyle w:val="ListParagraph"/>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Fire systems – multiple contractors and unclear allocation</w:t>
      </w:r>
    </w:p>
    <w:p w14:paraId="7AF7D0EA" w14:textId="77777777" w:rsidR="00CA0C79" w:rsidRPr="00085A9C" w:rsidRDefault="00CA0C79" w:rsidP="00697233">
      <w:pPr>
        <w:pStyle w:val="ListParagraph"/>
        <w:spacing w:after="0" w:line="240" w:lineRule="auto"/>
        <w:rPr>
          <w:rFonts w:ascii="Arial" w:hAnsi="Arial" w:cs="Arial"/>
          <w:kern w:val="0"/>
          <w:sz w:val="22"/>
          <w:szCs w:val="22"/>
          <w14:ligatures w14:val="none"/>
        </w:rPr>
      </w:pPr>
    </w:p>
    <w:p w14:paraId="4BACCEF9" w14:textId="218AE2ED"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 xml:space="preserve">The fire-safety systems (sprinklers, dry risers, alarms, controls) appear to be serviced and repaired by at least </w:t>
      </w:r>
      <w:r w:rsidR="008A773D">
        <w:rPr>
          <w:rFonts w:ascii="Arial" w:hAnsi="Arial" w:cs="Arial"/>
          <w:kern w:val="0"/>
          <w:sz w:val="22"/>
          <w:szCs w:val="22"/>
          <w14:ligatures w14:val="none"/>
        </w:rPr>
        <w:t>three</w:t>
      </w:r>
      <w:r w:rsidRPr="00085A9C">
        <w:rPr>
          <w:rFonts w:ascii="Arial" w:hAnsi="Arial" w:cs="Arial"/>
          <w:kern w:val="0"/>
          <w:sz w:val="22"/>
          <w:szCs w:val="22"/>
          <w14:ligatures w14:val="none"/>
        </w:rPr>
        <w:t xml:space="preserve"> different firms</w:t>
      </w:r>
      <w:r w:rsidR="008A773D">
        <w:rPr>
          <w:rFonts w:ascii="Arial" w:hAnsi="Arial" w:cs="Arial"/>
          <w:kern w:val="0"/>
          <w:sz w:val="22"/>
          <w:szCs w:val="22"/>
          <w14:ligatures w14:val="none"/>
        </w:rPr>
        <w:t xml:space="preserve">.  </w:t>
      </w:r>
      <w:r w:rsidR="0073151F">
        <w:rPr>
          <w:rFonts w:ascii="Arial" w:hAnsi="Arial" w:cs="Arial"/>
          <w:kern w:val="0"/>
          <w:sz w:val="22"/>
          <w:szCs w:val="22"/>
          <w14:ligatures w14:val="none"/>
        </w:rPr>
        <w:t xml:space="preserve">FAFS Ltd carry out the maintenance of the alarms, fire panels and related items. </w:t>
      </w:r>
      <w:r w:rsidR="008A773D">
        <w:rPr>
          <w:rFonts w:ascii="Arial" w:hAnsi="Arial" w:cs="Arial"/>
          <w:kern w:val="0"/>
          <w:sz w:val="22"/>
          <w:szCs w:val="22"/>
          <w14:ligatures w14:val="none"/>
        </w:rPr>
        <w:t xml:space="preserve">The sprinklers </w:t>
      </w:r>
      <w:proofErr w:type="gramStart"/>
      <w:r w:rsidR="008A773D">
        <w:rPr>
          <w:rFonts w:ascii="Arial" w:hAnsi="Arial" w:cs="Arial"/>
          <w:kern w:val="0"/>
          <w:sz w:val="22"/>
          <w:szCs w:val="22"/>
          <w14:ligatures w14:val="none"/>
        </w:rPr>
        <w:t>appears</w:t>
      </w:r>
      <w:proofErr w:type="gramEnd"/>
      <w:r w:rsidR="008A773D">
        <w:rPr>
          <w:rFonts w:ascii="Arial" w:hAnsi="Arial" w:cs="Arial"/>
          <w:kern w:val="0"/>
          <w:sz w:val="22"/>
          <w:szCs w:val="22"/>
          <w14:ligatures w14:val="none"/>
        </w:rPr>
        <w:t xml:space="preserve"> to be maintained by two companies: </w:t>
      </w:r>
      <w:r w:rsidRPr="00085A9C">
        <w:rPr>
          <w:rFonts w:ascii="Arial" w:hAnsi="Arial" w:cs="Arial"/>
          <w:kern w:val="0"/>
          <w:sz w:val="22"/>
          <w:szCs w:val="22"/>
          <w14:ligatures w14:val="none"/>
        </w:rPr>
        <w:t xml:space="preserve">Heat Interface carrying out </w:t>
      </w:r>
      <w:r w:rsidR="008A773D">
        <w:rPr>
          <w:rFonts w:ascii="Arial" w:hAnsi="Arial" w:cs="Arial"/>
          <w:kern w:val="0"/>
          <w:sz w:val="22"/>
          <w:szCs w:val="22"/>
          <w14:ligatures w14:val="none"/>
        </w:rPr>
        <w:t xml:space="preserve">brief </w:t>
      </w:r>
      <w:r w:rsidRPr="00085A9C">
        <w:rPr>
          <w:rFonts w:ascii="Arial" w:hAnsi="Arial" w:cs="Arial"/>
          <w:kern w:val="0"/>
          <w:sz w:val="22"/>
          <w:szCs w:val="22"/>
          <w14:ligatures w14:val="none"/>
        </w:rPr>
        <w:t>visual checks to sprinkler heads; Dry Risers Direct Ltd undertaking formal BS9251:2021 sprinkler testing and flow checks</w:t>
      </w:r>
      <w:r w:rsidR="008A773D">
        <w:rPr>
          <w:rFonts w:ascii="Arial" w:hAnsi="Arial" w:cs="Arial"/>
          <w:kern w:val="0"/>
          <w:sz w:val="22"/>
          <w:szCs w:val="22"/>
          <w14:ligatures w14:val="none"/>
        </w:rPr>
        <w:t xml:space="preserve">.  It is not clear how much does Heat Interface </w:t>
      </w:r>
      <w:r w:rsidR="00132A62">
        <w:rPr>
          <w:rFonts w:ascii="Arial" w:hAnsi="Arial" w:cs="Arial"/>
          <w:kern w:val="0"/>
          <w:sz w:val="22"/>
          <w:szCs w:val="22"/>
          <w14:ligatures w14:val="none"/>
        </w:rPr>
        <w:t xml:space="preserve">charge for this service, but it is the Applicants view that Dry Risers Direct carry out a thorough servicing of the sprinklers and any charges that Heat Interface invoice </w:t>
      </w:r>
      <w:proofErr w:type="gramStart"/>
      <w:r w:rsidR="00132A62">
        <w:rPr>
          <w:rFonts w:ascii="Arial" w:hAnsi="Arial" w:cs="Arial"/>
          <w:kern w:val="0"/>
          <w:sz w:val="22"/>
          <w:szCs w:val="22"/>
          <w14:ligatures w14:val="none"/>
        </w:rPr>
        <w:t>are</w:t>
      </w:r>
      <w:proofErr w:type="gramEnd"/>
      <w:r w:rsidR="00132A62">
        <w:rPr>
          <w:rFonts w:ascii="Arial" w:hAnsi="Arial" w:cs="Arial"/>
          <w:kern w:val="0"/>
          <w:sz w:val="22"/>
          <w:szCs w:val="22"/>
          <w14:ligatures w14:val="none"/>
        </w:rPr>
        <w:t xml:space="preserve"> not reasonable. </w:t>
      </w:r>
      <w:r w:rsidR="00132A62">
        <w:rPr>
          <w:rFonts w:ascii="Arial" w:hAnsi="Arial" w:cs="Arial"/>
          <w:b/>
          <w:bCs/>
          <w:kern w:val="0"/>
          <w:sz w:val="22"/>
          <w:szCs w:val="22"/>
          <w14:ligatures w14:val="none"/>
        </w:rPr>
        <w:t xml:space="preserve">(exhibit KH2 pages </w:t>
      </w:r>
      <w:r w:rsidR="0073151F">
        <w:rPr>
          <w:rFonts w:ascii="Arial" w:hAnsi="Arial" w:cs="Arial"/>
          <w:b/>
          <w:bCs/>
          <w:kern w:val="0"/>
          <w:sz w:val="22"/>
          <w:szCs w:val="22"/>
          <w14:ligatures w14:val="none"/>
        </w:rPr>
        <w:t>1107-1118)</w:t>
      </w:r>
    </w:p>
    <w:p w14:paraId="1EBE9BE1" w14:textId="38543FC3" w:rsidR="00CA0C79"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 xml:space="preserve">The Respondent has not provided a clear breakdown of which contractor is responsible for which element of the fire systems, how the scopes overlap, or how costs are allocated between “Mech &amp; Plant Maintenance”, “BMS Maintenance” and “H&amp;S/Fire” headings. It is not clear why one competent fire-systems firm could not perform </w:t>
      </w:r>
      <w:proofErr w:type="gramStart"/>
      <w:r w:rsidRPr="00085A9C">
        <w:rPr>
          <w:rFonts w:ascii="Arial" w:hAnsi="Arial" w:cs="Arial"/>
          <w:kern w:val="0"/>
          <w:sz w:val="22"/>
          <w:szCs w:val="22"/>
          <w14:ligatures w14:val="none"/>
        </w:rPr>
        <w:t>all of</w:t>
      </w:r>
      <w:proofErr w:type="gramEnd"/>
      <w:r w:rsidRPr="00085A9C">
        <w:rPr>
          <w:rFonts w:ascii="Arial" w:hAnsi="Arial" w:cs="Arial"/>
          <w:kern w:val="0"/>
          <w:sz w:val="22"/>
          <w:szCs w:val="22"/>
          <w14:ligatures w14:val="none"/>
        </w:rPr>
        <w:t xml:space="preserve"> these tasks, rather than paying three separate contractors. </w:t>
      </w:r>
      <w:r w:rsidR="0073151F">
        <w:rPr>
          <w:rFonts w:ascii="Arial" w:hAnsi="Arial" w:cs="Arial"/>
          <w:kern w:val="0"/>
          <w:sz w:val="22"/>
          <w:szCs w:val="22"/>
          <w14:ligatures w14:val="none"/>
        </w:rPr>
        <w:t xml:space="preserve">FAFS Limited can carry out all these tasks.  </w:t>
      </w:r>
      <w:proofErr w:type="gramStart"/>
      <w:r w:rsidRPr="00085A9C">
        <w:rPr>
          <w:rFonts w:ascii="Arial" w:hAnsi="Arial" w:cs="Arial"/>
          <w:kern w:val="0"/>
          <w:sz w:val="22"/>
          <w:szCs w:val="22"/>
          <w14:ligatures w14:val="none"/>
        </w:rPr>
        <w:t>In particular, there</w:t>
      </w:r>
      <w:proofErr w:type="gramEnd"/>
      <w:r w:rsidRPr="00085A9C">
        <w:rPr>
          <w:rFonts w:ascii="Arial" w:hAnsi="Arial" w:cs="Arial"/>
          <w:kern w:val="0"/>
          <w:sz w:val="22"/>
          <w:szCs w:val="22"/>
          <w14:ligatures w14:val="none"/>
        </w:rPr>
        <w:t xml:space="preserve"> is no explanation of why Heat Interface is paid to undertake annual visual sprinkler checks when Dry Risers Direct already inspects the same sprinkler system twice a year. In my view this fragmented and opaque approach increases the risk of duplication and makes it impossible for leaseholders – or the Tribunal – to see whether the overall cost of maintaining fire systems is reasonable and properly controlled.</w:t>
      </w:r>
    </w:p>
    <w:p w14:paraId="58AB6B65" w14:textId="77777777" w:rsidR="00697233" w:rsidRPr="00697233" w:rsidRDefault="00697233" w:rsidP="00697233">
      <w:pPr>
        <w:pStyle w:val="ListParagraph"/>
        <w:spacing w:after="0" w:line="240" w:lineRule="auto"/>
        <w:rPr>
          <w:rFonts w:ascii="Arial" w:hAnsi="Arial" w:cs="Arial"/>
          <w:kern w:val="0"/>
          <w:sz w:val="22"/>
          <w:szCs w:val="22"/>
          <w14:ligatures w14:val="none"/>
        </w:rPr>
      </w:pPr>
    </w:p>
    <w:p w14:paraId="6299A2BE" w14:textId="3F334F69" w:rsidR="00CA0C79" w:rsidRDefault="00CA0C79" w:rsidP="00697233">
      <w:pPr>
        <w:pStyle w:val="ListParagraph"/>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Roof and leak repairs; missing credits</w:t>
      </w:r>
    </w:p>
    <w:p w14:paraId="2639C095" w14:textId="77777777" w:rsidR="0073151F" w:rsidRPr="00697233" w:rsidRDefault="0073151F" w:rsidP="00697233">
      <w:pPr>
        <w:pStyle w:val="ListParagraph"/>
        <w:spacing w:after="0" w:line="240" w:lineRule="auto"/>
        <w:rPr>
          <w:rFonts w:ascii="Arial" w:hAnsi="Arial" w:cs="Arial"/>
          <w:kern w:val="0"/>
          <w:sz w:val="22"/>
          <w:szCs w:val="22"/>
          <w14:ligatures w14:val="none"/>
        </w:rPr>
      </w:pPr>
    </w:p>
    <w:p w14:paraId="5265B722" w14:textId="4052C59F"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The SCP reports show significant expenditure on roof works and leak investigation, including substantial payments to contractors such as Sandhurst Plumbing, Integra Technical, Simon Levy and AAM Maintenance for roof remedial works and water-ingress investigations affecting the Penthouse and other flats. For example, the accounts record Sandhurst Plumbing invoices of approximately £2,009 and £2,500, Simon Levy invoices of approximately £9,988 and £2,843.33 and a further “repairs” fee of £25,553, all coded under roof or leak-related headings.</w:t>
      </w:r>
      <w:r w:rsidR="0073151F">
        <w:rPr>
          <w:rFonts w:ascii="Arial" w:hAnsi="Arial" w:cs="Arial"/>
          <w:kern w:val="0"/>
          <w:sz w:val="22"/>
          <w:szCs w:val="22"/>
          <w14:ligatures w14:val="none"/>
        </w:rPr>
        <w:t xml:space="preserve"> SPREADSHEET ++++</w:t>
      </w:r>
    </w:p>
    <w:p w14:paraId="7179348F" w14:textId="654597BA"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At the same time, correspondence from the managing agents refers to: (a) a credit of around £5,500 said to have been received from the developer or building-defects process in respect of Penthouse leaks; and (b) an insurance claim payment relating to an expansion-vessel failure and major leak in winter 2021. Despite these assurances, I have been unable to identify either the alleged £5,500 defects credit or any clear insurance-claim receipts in the reconciliation accounts for 2021–2022. Substantial sums have plainly been paid out, but there is no transparent matching credit for defects or insurance recoveries. The Applicants are therefore being asked to meet the full cost of roof and leak remedials, contrary to what has been indicated in correspondence.</w:t>
      </w:r>
    </w:p>
    <w:p w14:paraId="719EDD89" w14:textId="330929DF"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The roof-repair saga itself has been prolonged and unsatisfactory. Various contractors have been sent out over a period of years to apply silicone sealants and similar “</w:t>
      </w:r>
      <w:proofErr w:type="gramStart"/>
      <w:r w:rsidRPr="00085A9C">
        <w:rPr>
          <w:rFonts w:ascii="Arial" w:hAnsi="Arial" w:cs="Arial"/>
          <w:kern w:val="0"/>
          <w:sz w:val="22"/>
          <w:szCs w:val="22"/>
          <w14:ligatures w14:val="none"/>
        </w:rPr>
        <w:t>sticking-plaster</w:t>
      </w:r>
      <w:proofErr w:type="gramEnd"/>
      <w:r w:rsidRPr="00085A9C">
        <w:rPr>
          <w:rFonts w:ascii="Arial" w:hAnsi="Arial" w:cs="Arial"/>
          <w:kern w:val="0"/>
          <w:sz w:val="22"/>
          <w:szCs w:val="22"/>
          <w14:ligatures w14:val="none"/>
        </w:rPr>
        <w:t>” solutions rather than undertaking a proper remedial scheme. The surveyor’s fees for overseeing these works are of a similar order to the builders’ costs, which in my view is disproportionate for repeated patch repairs. In the Scott Schedule the Respondent states that further details are being sought from insurers, yet this is now more than four years after the major leak event. This again suggests a lack of effective tracking of claims and recoveries.</w:t>
      </w:r>
    </w:p>
    <w:p w14:paraId="5290CF27" w14:textId="3868B834"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 xml:space="preserve">In addition, the SCP reports show that certain roof- and structure-related items are being coded entirely to the “Apartments” service-charge account, with no contribution from the ground-floor retail unit. By contrast, other building-wide items such as satellite-aerial maintenance, pest control, communal electricity and H&amp;S/fire expenditures are correctly treated as Building costs to which the retail space contributes. There is no logical reason why roof repairs and associated water-ingress works should be treated as apartments-only expenditure. Under the leases, the roof and structure are part of the </w:t>
      </w:r>
      <w:proofErr w:type="gramStart"/>
      <w:r w:rsidRPr="00085A9C">
        <w:rPr>
          <w:rFonts w:ascii="Arial" w:hAnsi="Arial" w:cs="Arial"/>
          <w:kern w:val="0"/>
          <w:sz w:val="22"/>
          <w:szCs w:val="22"/>
          <w14:ligatures w14:val="none"/>
        </w:rPr>
        <w:t>Building</w:t>
      </w:r>
      <w:proofErr w:type="gramEnd"/>
      <w:r w:rsidRPr="00085A9C">
        <w:rPr>
          <w:rFonts w:ascii="Arial" w:hAnsi="Arial" w:cs="Arial"/>
          <w:kern w:val="0"/>
          <w:sz w:val="22"/>
          <w:szCs w:val="22"/>
          <w14:ligatures w14:val="none"/>
        </w:rPr>
        <w:t>, and any repair costs should be apportioned in accordance with the Building Service Charge, with the retail unit paying its proper share.</w:t>
      </w:r>
    </w:p>
    <w:p w14:paraId="67C5ECFF" w14:textId="31B7AFF4" w:rsidR="00CA0C79" w:rsidRPr="00C2723C" w:rsidRDefault="00CA0C79" w:rsidP="00697233">
      <w:pPr>
        <w:pStyle w:val="ListParagraph"/>
        <w:numPr>
          <w:ilvl w:val="0"/>
          <w:numId w:val="15"/>
        </w:numPr>
        <w:spacing w:after="0" w:line="240" w:lineRule="auto"/>
        <w:rPr>
          <w:rFonts w:ascii="Arial" w:hAnsi="Arial" w:cs="Arial"/>
          <w:kern w:val="0"/>
          <w:sz w:val="22"/>
          <w:szCs w:val="22"/>
          <w14:ligatures w14:val="none"/>
        </w:rPr>
      </w:pPr>
      <w:r w:rsidRPr="00697233">
        <w:rPr>
          <w:rFonts w:ascii="Arial" w:hAnsi="Arial" w:cs="Arial"/>
          <w:kern w:val="0"/>
          <w:sz w:val="22"/>
          <w:szCs w:val="22"/>
          <w14:ligatures w14:val="none"/>
        </w:rPr>
        <w:t>Mr Raymond Gubbay CBE, one of the Applicants, has maintained contemporaneous records of roof-repair attendances and correspondence with surveyors and contractors, including his email of 12 January 2022 raising concerns about the quality of earlier roof repairs. Those records support the view that some of the roof works now being charged may in substance be repeat works to remedy earlier defective repairs, for which leaseholders should not be asked to pay again.</w:t>
      </w:r>
      <w:r w:rsidR="00C2723C">
        <w:rPr>
          <w:rFonts w:ascii="Arial" w:hAnsi="Arial" w:cs="Arial"/>
          <w:kern w:val="0"/>
          <w:sz w:val="22"/>
          <w:szCs w:val="22"/>
          <w14:ligatures w14:val="none"/>
        </w:rPr>
        <w:t xml:space="preserve"> (</w:t>
      </w:r>
      <w:r w:rsidR="00C2723C">
        <w:rPr>
          <w:rFonts w:ascii="Arial" w:hAnsi="Arial" w:cs="Arial"/>
          <w:b/>
          <w:bCs/>
          <w:kern w:val="0"/>
          <w:sz w:val="22"/>
          <w:szCs w:val="22"/>
          <w14:ligatures w14:val="none"/>
        </w:rPr>
        <w:t>Exhibit KH2 XXX and spreadsheet XXX)</w:t>
      </w:r>
      <w:r w:rsidR="0077032E">
        <w:rPr>
          <w:rFonts w:ascii="Arial" w:hAnsi="Arial" w:cs="Arial"/>
          <w:b/>
          <w:bCs/>
          <w:kern w:val="0"/>
          <w:sz w:val="22"/>
          <w:szCs w:val="22"/>
          <w14:ligatures w14:val="none"/>
        </w:rPr>
        <w:t xml:space="preserve"> EXPAND ON WHAT YOURE CLAIMING</w:t>
      </w:r>
    </w:p>
    <w:p w14:paraId="440A8839" w14:textId="07CE926E" w:rsidR="00C2723C" w:rsidRDefault="00C2723C" w:rsidP="00697233">
      <w:pPr>
        <w:pStyle w:val="ListParagraph"/>
        <w:numPr>
          <w:ilvl w:val="0"/>
          <w:numId w:val="15"/>
        </w:numPr>
        <w:spacing w:after="0" w:line="240" w:lineRule="auto"/>
        <w:rPr>
          <w:rFonts w:ascii="Arial" w:hAnsi="Arial" w:cs="Arial"/>
          <w:kern w:val="0"/>
          <w:sz w:val="22"/>
          <w:szCs w:val="22"/>
          <w14:ligatures w14:val="none"/>
        </w:rPr>
      </w:pPr>
      <w:r>
        <w:rPr>
          <w:rFonts w:ascii="Arial" w:hAnsi="Arial" w:cs="Arial"/>
          <w:kern w:val="0"/>
          <w:sz w:val="22"/>
          <w:szCs w:val="22"/>
          <w14:ligatures w14:val="none"/>
        </w:rPr>
        <w:t>To this date, there are still problems with the roof and Mr Gubbay has recently reported damage to the ceiling in the same area.</w:t>
      </w:r>
    </w:p>
    <w:p w14:paraId="005AF858" w14:textId="77777777" w:rsidR="00697233" w:rsidRPr="00697233" w:rsidRDefault="00697233" w:rsidP="00697233">
      <w:pPr>
        <w:pStyle w:val="ListParagraph"/>
        <w:spacing w:after="0" w:line="240" w:lineRule="auto"/>
        <w:rPr>
          <w:rFonts w:ascii="Arial" w:hAnsi="Arial" w:cs="Arial"/>
          <w:kern w:val="0"/>
          <w:sz w:val="22"/>
          <w:szCs w:val="22"/>
          <w14:ligatures w14:val="none"/>
        </w:rPr>
      </w:pPr>
    </w:p>
    <w:p w14:paraId="2F21DC5D" w14:textId="77777777" w:rsidR="00CA0C79" w:rsidRPr="00085A9C" w:rsidRDefault="00CA0C79" w:rsidP="00697233">
      <w:pPr>
        <w:pStyle w:val="ListParagraph"/>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Engineering insurance, BMS maintenance and the 2021 flood</w:t>
      </w:r>
    </w:p>
    <w:p w14:paraId="410F9A93" w14:textId="77777777" w:rsidR="00CA0C79" w:rsidRPr="00085A9C" w:rsidRDefault="00CA0C79" w:rsidP="00697233">
      <w:pPr>
        <w:pStyle w:val="ListParagraph"/>
        <w:spacing w:after="0" w:line="240" w:lineRule="auto"/>
        <w:rPr>
          <w:rFonts w:ascii="Arial" w:hAnsi="Arial" w:cs="Arial"/>
          <w:kern w:val="0"/>
          <w:sz w:val="22"/>
          <w:szCs w:val="22"/>
          <w14:ligatures w14:val="none"/>
        </w:rPr>
      </w:pPr>
    </w:p>
    <w:p w14:paraId="2555F4F9" w14:textId="1B84A7F1"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 xml:space="preserve">The service-charge accounts show that from around 2020 the Respondent decided to take out “engineering insurance” in addition to standard buildings cover. This change in scope and cost of insurance was not clearly notified to leaseholders or estimated in advance. More importantly, there is no evidence that major plant breakdowns and lift failures have </w:t>
      </w:r>
      <w:proofErr w:type="gramStart"/>
      <w:r w:rsidRPr="00085A9C">
        <w:rPr>
          <w:rFonts w:ascii="Arial" w:hAnsi="Arial" w:cs="Arial"/>
          <w:kern w:val="0"/>
          <w:sz w:val="22"/>
          <w:szCs w:val="22"/>
          <w14:ligatures w14:val="none"/>
        </w:rPr>
        <w:t>actually been</w:t>
      </w:r>
      <w:proofErr w:type="gramEnd"/>
      <w:r w:rsidRPr="00085A9C">
        <w:rPr>
          <w:rFonts w:ascii="Arial" w:hAnsi="Arial" w:cs="Arial"/>
          <w:kern w:val="0"/>
          <w:sz w:val="22"/>
          <w:szCs w:val="22"/>
          <w14:ligatures w14:val="none"/>
        </w:rPr>
        <w:t xml:space="preserve"> claimed under that policy. Instead, significant plant-failure costs have been charged directly to the service charge.</w:t>
      </w:r>
    </w:p>
    <w:p w14:paraId="3B6B421E" w14:textId="7CD4851B" w:rsidR="00CA0C79"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lastRenderedPageBreak/>
        <w:t>A notable example is the major flood in winter 2021. Leaseholders were charged for a “temporary expansion vessel” at a cost of £6,187.66, together with various consequential works and a new BMS panel associated with the incident. Market information indicates that a permanent replacement vessel of the same model costs in the region of £1,000</w:t>
      </w:r>
      <w:r w:rsidR="0073151F">
        <w:rPr>
          <w:rFonts w:ascii="Arial" w:hAnsi="Arial" w:cs="Arial"/>
          <w:kern w:val="0"/>
          <w:sz w:val="22"/>
          <w:szCs w:val="22"/>
          <w14:ligatures w14:val="none"/>
        </w:rPr>
        <w:t xml:space="preserve"> </w:t>
      </w:r>
      <w:r w:rsidR="0073151F">
        <w:rPr>
          <w:rFonts w:ascii="Arial" w:hAnsi="Arial" w:cs="Arial"/>
          <w:b/>
          <w:bCs/>
          <w:kern w:val="0"/>
          <w:sz w:val="22"/>
          <w:szCs w:val="22"/>
          <w14:ligatures w14:val="none"/>
        </w:rPr>
        <w:t xml:space="preserve">(exhibit KH2 pages </w:t>
      </w:r>
      <w:r w:rsidR="005A4763">
        <w:rPr>
          <w:rFonts w:ascii="Arial" w:hAnsi="Arial" w:cs="Arial"/>
          <w:b/>
          <w:bCs/>
          <w:kern w:val="0"/>
          <w:sz w:val="22"/>
          <w:szCs w:val="22"/>
          <w14:ligatures w14:val="none"/>
        </w:rPr>
        <w:t>1112)</w:t>
      </w:r>
      <w:r w:rsidRPr="00085A9C">
        <w:rPr>
          <w:rFonts w:ascii="Arial" w:hAnsi="Arial" w:cs="Arial"/>
          <w:kern w:val="0"/>
          <w:sz w:val="22"/>
          <w:szCs w:val="22"/>
          <w14:ligatures w14:val="none"/>
        </w:rPr>
        <w:t>. The so-called “temporary” vessel remains installed in the plant room and continues to be used; it was plainly bought and kept in situ as part of the permanent system</w:t>
      </w:r>
      <w:r w:rsidR="0073151F">
        <w:rPr>
          <w:rFonts w:ascii="Arial" w:hAnsi="Arial" w:cs="Arial"/>
          <w:kern w:val="0"/>
          <w:sz w:val="22"/>
          <w:szCs w:val="22"/>
          <w14:ligatures w14:val="none"/>
        </w:rPr>
        <w:t xml:space="preserve"> </w:t>
      </w:r>
      <w:r w:rsidR="0073151F">
        <w:rPr>
          <w:rFonts w:ascii="Arial" w:hAnsi="Arial" w:cs="Arial"/>
          <w:b/>
          <w:bCs/>
          <w:kern w:val="0"/>
          <w:sz w:val="22"/>
          <w:szCs w:val="22"/>
          <w14:ligatures w14:val="none"/>
        </w:rPr>
        <w:t>(exhibit KH2 pages 1</w:t>
      </w:r>
      <w:r w:rsidR="005A4763">
        <w:rPr>
          <w:rFonts w:ascii="Arial" w:hAnsi="Arial" w:cs="Arial"/>
          <w:b/>
          <w:bCs/>
          <w:kern w:val="0"/>
          <w:sz w:val="22"/>
          <w:szCs w:val="22"/>
          <w14:ligatures w14:val="none"/>
        </w:rPr>
        <w:t>120-1121</w:t>
      </w:r>
      <w:r w:rsidR="0073151F">
        <w:rPr>
          <w:rFonts w:ascii="Arial" w:hAnsi="Arial" w:cs="Arial"/>
          <w:b/>
          <w:bCs/>
          <w:kern w:val="0"/>
          <w:sz w:val="22"/>
          <w:szCs w:val="22"/>
          <w14:ligatures w14:val="none"/>
        </w:rPr>
        <w:t>)</w:t>
      </w:r>
      <w:r w:rsidRPr="00085A9C">
        <w:rPr>
          <w:rFonts w:ascii="Arial" w:hAnsi="Arial" w:cs="Arial"/>
          <w:kern w:val="0"/>
          <w:sz w:val="22"/>
          <w:szCs w:val="22"/>
          <w14:ligatures w14:val="none"/>
        </w:rPr>
        <w:t>. The Respondent has not disclosed any underlying invoices or a breakdown of how the £6,187.66 was calculated.</w:t>
      </w:r>
      <w:r w:rsidR="00C2723C">
        <w:rPr>
          <w:rFonts w:ascii="Arial" w:hAnsi="Arial" w:cs="Arial"/>
          <w:kern w:val="0"/>
          <w:sz w:val="22"/>
          <w:szCs w:val="22"/>
          <w14:ligatures w14:val="none"/>
        </w:rPr>
        <w:t xml:space="preserve">  </w:t>
      </w:r>
      <w:r w:rsidR="00C2723C">
        <w:rPr>
          <w:rFonts w:ascii="Arial" w:hAnsi="Arial" w:cs="Arial"/>
          <w:b/>
          <w:bCs/>
          <w:kern w:val="0"/>
          <w:sz w:val="22"/>
          <w:szCs w:val="22"/>
          <w14:ligatures w14:val="none"/>
        </w:rPr>
        <w:t>DO A SUMMARY HERE OF ALL COSTS; AS THEYRE across all 3 recon sheets</w:t>
      </w:r>
    </w:p>
    <w:p w14:paraId="4336D31F" w14:textId="453913ED" w:rsidR="00DE3D36" w:rsidRPr="00697233" w:rsidRDefault="00DE3D36" w:rsidP="00697233">
      <w:pPr>
        <w:pStyle w:val="ListParagraph"/>
        <w:numPr>
          <w:ilvl w:val="0"/>
          <w:numId w:val="15"/>
        </w:numPr>
        <w:spacing w:after="0" w:line="240" w:lineRule="auto"/>
        <w:rPr>
          <w:rFonts w:ascii="Arial" w:hAnsi="Arial" w:cs="Arial"/>
          <w:kern w:val="0"/>
          <w:sz w:val="22"/>
          <w:szCs w:val="22"/>
          <w14:ligatures w14:val="none"/>
        </w:rPr>
      </w:pPr>
      <w:r>
        <w:rPr>
          <w:rFonts w:ascii="Arial" w:hAnsi="Arial" w:cs="Arial"/>
          <w:kern w:val="0"/>
          <w:sz w:val="22"/>
          <w:szCs w:val="22"/>
          <w14:ligatures w14:val="none"/>
        </w:rPr>
        <w:t xml:space="preserve">On 30 December 2021, only a few weeks later, there is an entry on the reconciliation account for an invoice by Heat Interface for 3,672 pounds with a description “water tank servicing”.  It is not clear if this should be part of the maintenance contract for the plant room, or part of the larger insurance claim that the Respondent is seeking more details, or indeed a separate issue.  No invoices </w:t>
      </w:r>
      <w:proofErr w:type="gramStart"/>
      <w:r>
        <w:rPr>
          <w:rFonts w:ascii="Arial" w:hAnsi="Arial" w:cs="Arial"/>
          <w:kern w:val="0"/>
          <w:sz w:val="22"/>
          <w:szCs w:val="22"/>
          <w14:ligatures w14:val="none"/>
        </w:rPr>
        <w:t>has</w:t>
      </w:r>
      <w:proofErr w:type="gramEnd"/>
      <w:r>
        <w:rPr>
          <w:rFonts w:ascii="Arial" w:hAnsi="Arial" w:cs="Arial"/>
          <w:kern w:val="0"/>
          <w:sz w:val="22"/>
          <w:szCs w:val="22"/>
          <w14:ligatures w14:val="none"/>
        </w:rPr>
        <w:t xml:space="preserve"> been disclosed and no insurance reconciliation statement has been provided.</w:t>
      </w:r>
    </w:p>
    <w:p w14:paraId="15CACD1D" w14:textId="1E5BADD6"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In correspondence and in its Scott Schedule response, the Respondent states that a credit of £9,479 was received from Zurich Insurance in 2022 “to cover the temporary expansion vessel” and that the position is still being investigated several years later. No insurance schedule, claim form, loss adjuster’s report or remittance advice has been produced to show what the Zurich payment related to, whether it covered only the vessel or wider damage, and how (or whether) it has been credited through the service-charge accounts. Given the size of the claimed insurance credit, the continuing absence of clear evidence is troubling.</w:t>
      </w:r>
    </w:p>
    <w:p w14:paraId="43CAF109" w14:textId="67D2B31C"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Similarly, in relation to multiple leaks affecting the Penthouse and other areas in 2022, a letter from M</w:t>
      </w:r>
      <w:r w:rsidR="005A4763">
        <w:rPr>
          <w:rFonts w:ascii="Arial" w:hAnsi="Arial" w:cs="Arial"/>
          <w:kern w:val="0"/>
          <w:sz w:val="22"/>
          <w:szCs w:val="22"/>
          <w14:ligatures w14:val="none"/>
        </w:rPr>
        <w:t>r</w:t>
      </w:r>
      <w:r w:rsidRPr="00085A9C">
        <w:rPr>
          <w:rFonts w:ascii="Arial" w:hAnsi="Arial" w:cs="Arial"/>
          <w:kern w:val="0"/>
          <w:sz w:val="22"/>
          <w:szCs w:val="22"/>
          <w14:ligatures w14:val="none"/>
        </w:rPr>
        <w:t xml:space="preserve"> Mei</w:t>
      </w:r>
      <w:r w:rsidR="005A4763">
        <w:rPr>
          <w:rFonts w:ascii="Arial" w:hAnsi="Arial" w:cs="Arial"/>
          <w:kern w:val="0"/>
          <w:sz w:val="22"/>
          <w:szCs w:val="22"/>
          <w14:ligatures w14:val="none"/>
        </w:rPr>
        <w:t>r</w:t>
      </w:r>
      <w:r w:rsidRPr="00085A9C">
        <w:rPr>
          <w:rFonts w:ascii="Arial" w:hAnsi="Arial" w:cs="Arial"/>
          <w:kern w:val="0"/>
          <w:sz w:val="22"/>
          <w:szCs w:val="22"/>
          <w14:ligatures w14:val="none"/>
        </w:rPr>
        <w:t xml:space="preserve"> Dove dated 22 June 2022 stated that the insurers were expected to pay £5,500 towards remedial works and that any excess would be dealt with through the service charge. There is, however, no corresponding credit entry visible in the 2022 or 2023 reconciliations and no explanation in the Respondent’s evidence of how that £5,500 has been applied. The Respondent now says only that it is “liaising with insurers”. After more than three years, this again suggests a lack of proper tracking of insurance claims and of ensuring that any recoveries are credited back to leaseholders.</w:t>
      </w:r>
    </w:p>
    <w:p w14:paraId="6513263E" w14:textId="5FB33826"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 xml:space="preserve">A further example is the expenditure of £8,610 described as “BMS maintenance” in the 2020 Apartments Service Charge reconciliation. In the Scott Schedule </w:t>
      </w:r>
      <w:proofErr w:type="gramStart"/>
      <w:r w:rsidRPr="00085A9C">
        <w:rPr>
          <w:rFonts w:ascii="Arial" w:hAnsi="Arial" w:cs="Arial"/>
          <w:kern w:val="0"/>
          <w:sz w:val="22"/>
          <w:szCs w:val="22"/>
          <w14:ligatures w14:val="none"/>
        </w:rPr>
        <w:t>response</w:t>
      </w:r>
      <w:proofErr w:type="gramEnd"/>
      <w:r w:rsidRPr="00085A9C">
        <w:rPr>
          <w:rFonts w:ascii="Arial" w:hAnsi="Arial" w:cs="Arial"/>
          <w:kern w:val="0"/>
          <w:sz w:val="22"/>
          <w:szCs w:val="22"/>
          <w14:ligatures w14:val="none"/>
        </w:rPr>
        <w:t xml:space="preserve"> the Respondent’s solicitors state that “this contract does not exceed one year” and therefore say no consultation was required. However, no copy of the contract, specification, tender comparison or invoices has been disclosed, despite my specific request for “contracts, reconciliation statements, invoices and section 20 notices”. This appears to be a one-off high-value item in 2020, with no equivalent charges in other years, and I remain unclear why the Respondent </w:t>
      </w:r>
      <w:proofErr w:type="gramStart"/>
      <w:r w:rsidRPr="00085A9C">
        <w:rPr>
          <w:rFonts w:ascii="Arial" w:hAnsi="Arial" w:cs="Arial"/>
          <w:kern w:val="0"/>
          <w:sz w:val="22"/>
          <w:szCs w:val="22"/>
          <w14:ligatures w14:val="none"/>
        </w:rPr>
        <w:t>entered into</w:t>
      </w:r>
      <w:proofErr w:type="gramEnd"/>
      <w:r w:rsidRPr="00085A9C">
        <w:rPr>
          <w:rFonts w:ascii="Arial" w:hAnsi="Arial" w:cs="Arial"/>
          <w:kern w:val="0"/>
          <w:sz w:val="22"/>
          <w:szCs w:val="22"/>
          <w14:ligatures w14:val="none"/>
        </w:rPr>
        <w:t xml:space="preserve"> a single-year contract at that level of cost without consultation or explanation. In the absence of supporting documentation, the Applicants are simply asked to trust that the Respondent’s characterisation is accurate.</w:t>
      </w:r>
    </w:p>
    <w:p w14:paraId="2AAF07F2" w14:textId="2ADB09BC" w:rsidR="00CA0C79" w:rsidRPr="00085A9C" w:rsidRDefault="00CA0C79" w:rsidP="00CA0C79">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Taken together, the unexplained one-off BMS “maintenance” contract, the costly “temporary” expansion vessel and associated BMS works, and the missing or unexplained insurance credits reinforce my concern that there is no effective system of accountability or continuous checking of major maintenance expenditure. Significant sums are committed without clear justification, and when insurers do pay out, there is inadequate evidence that those monies are being passed back to the service-charge accounts for the benefit of leaseholders.</w:t>
      </w:r>
    </w:p>
    <w:p w14:paraId="17D08637" w14:textId="77777777" w:rsidR="00CA0C79" w:rsidRPr="00085A9C" w:rsidRDefault="00CA0C79" w:rsidP="00697233">
      <w:pPr>
        <w:pStyle w:val="ListParagraph"/>
        <w:spacing w:after="0" w:line="240" w:lineRule="auto"/>
        <w:rPr>
          <w:rFonts w:ascii="Arial" w:hAnsi="Arial" w:cs="Arial"/>
          <w:kern w:val="0"/>
          <w:sz w:val="22"/>
          <w:szCs w:val="22"/>
          <w14:ligatures w14:val="none"/>
        </w:rPr>
      </w:pPr>
    </w:p>
    <w:p w14:paraId="35B9A168" w14:textId="77777777" w:rsidR="00CA0C79" w:rsidRPr="00085A9C" w:rsidRDefault="00CA0C79" w:rsidP="00697233">
      <w:pPr>
        <w:pStyle w:val="ListParagraph"/>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Overall assessment</w:t>
      </w:r>
    </w:p>
    <w:p w14:paraId="2D71D9D1" w14:textId="77777777" w:rsidR="00CA0C79" w:rsidRPr="00085A9C" w:rsidRDefault="00CA0C79" w:rsidP="00697233">
      <w:pPr>
        <w:pStyle w:val="ListParagraph"/>
        <w:spacing w:after="0" w:line="240" w:lineRule="auto"/>
        <w:rPr>
          <w:rFonts w:ascii="Arial" w:hAnsi="Arial" w:cs="Arial"/>
          <w:kern w:val="0"/>
          <w:sz w:val="22"/>
          <w:szCs w:val="22"/>
          <w14:ligatures w14:val="none"/>
        </w:rPr>
      </w:pPr>
    </w:p>
    <w:p w14:paraId="268FE629" w14:textId="40F8D234" w:rsidR="00CA0C79" w:rsidRPr="00697233" w:rsidRDefault="00CA0C79" w:rsidP="00697233">
      <w:pPr>
        <w:pStyle w:val="ListParagraph"/>
        <w:numPr>
          <w:ilvl w:val="0"/>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lastRenderedPageBreak/>
        <w:t>When one looks across the various maintenance-related headings in the Scott Schedule – Mech &amp; Plant Maintenance, BMS Maintenance, Roof Repairs, Repairs &amp; Maintenance, Fire/H&amp;S and related items – a clear pattern emerges:</w:t>
      </w:r>
    </w:p>
    <w:p w14:paraId="3B2BD1A8" w14:textId="7F8C9D1A" w:rsidR="001F11FE" w:rsidRDefault="001F11FE" w:rsidP="00697233">
      <w:pPr>
        <w:pStyle w:val="ListParagraph"/>
        <w:numPr>
          <w:ilvl w:val="1"/>
          <w:numId w:val="15"/>
        </w:numPr>
        <w:spacing w:after="0" w:line="240" w:lineRule="auto"/>
        <w:rPr>
          <w:rFonts w:ascii="Arial" w:hAnsi="Arial" w:cs="Arial"/>
          <w:kern w:val="0"/>
          <w:sz w:val="22"/>
          <w:szCs w:val="22"/>
          <w14:ligatures w14:val="none"/>
        </w:rPr>
      </w:pPr>
      <w:r>
        <w:rPr>
          <w:rFonts w:ascii="Arial" w:hAnsi="Arial" w:cs="Arial"/>
          <w:kern w:val="0"/>
          <w:sz w:val="22"/>
          <w:szCs w:val="22"/>
          <w14:ligatures w14:val="none"/>
        </w:rPr>
        <w:t xml:space="preserve">An inconsistent charging </w:t>
      </w:r>
      <w:proofErr w:type="spellStart"/>
      <w:r>
        <w:rPr>
          <w:rFonts w:ascii="Arial" w:hAnsi="Arial" w:cs="Arial"/>
          <w:kern w:val="0"/>
          <w:sz w:val="22"/>
          <w:szCs w:val="22"/>
          <w14:ligatures w14:val="none"/>
        </w:rPr>
        <w:t>os</w:t>
      </w:r>
      <w:proofErr w:type="spellEnd"/>
      <w:r>
        <w:rPr>
          <w:rFonts w:ascii="Arial" w:hAnsi="Arial" w:cs="Arial"/>
          <w:kern w:val="0"/>
          <w:sz w:val="22"/>
          <w:szCs w:val="22"/>
          <w14:ligatures w14:val="none"/>
        </w:rPr>
        <w:t xml:space="preserve"> expenses across the various service charge headings.  Leaks, flood repairs and maintenance are charged across both Building and Apartment service charge accounts, with no clear demarcation as to why certain leaks are a matter for apartments whilst others are a matter for the whole </w:t>
      </w:r>
      <w:proofErr w:type="spellStart"/>
      <w:r>
        <w:rPr>
          <w:rFonts w:ascii="Arial" w:hAnsi="Arial" w:cs="Arial"/>
          <w:kern w:val="0"/>
          <w:sz w:val="22"/>
          <w:szCs w:val="22"/>
          <w14:ligatures w14:val="none"/>
        </w:rPr>
        <w:t>bulding</w:t>
      </w:r>
      <w:proofErr w:type="spellEnd"/>
      <w:r>
        <w:rPr>
          <w:rFonts w:ascii="Arial" w:hAnsi="Arial" w:cs="Arial"/>
          <w:kern w:val="0"/>
          <w:sz w:val="22"/>
          <w:szCs w:val="22"/>
          <w14:ligatures w14:val="none"/>
        </w:rPr>
        <w:t xml:space="preserve">.  </w:t>
      </w:r>
      <w:proofErr w:type="gramStart"/>
      <w:r>
        <w:rPr>
          <w:rFonts w:ascii="Arial" w:hAnsi="Arial" w:cs="Arial"/>
          <w:kern w:val="0"/>
          <w:sz w:val="22"/>
          <w:szCs w:val="22"/>
          <w14:ligatures w14:val="none"/>
        </w:rPr>
        <w:t>Indeed</w:t>
      </w:r>
      <w:proofErr w:type="gramEnd"/>
      <w:r>
        <w:rPr>
          <w:rFonts w:ascii="Arial" w:hAnsi="Arial" w:cs="Arial"/>
          <w:kern w:val="0"/>
          <w:sz w:val="22"/>
          <w:szCs w:val="22"/>
          <w14:ligatures w14:val="none"/>
        </w:rPr>
        <w:t xml:space="preserve"> the roof repairs are charged to the Apartment Service charge accounts when it is the Applicant view that these should be charged to the Building Service charge account.  To assist the Tribunal, I have prepared a summary of Plant, Mech and General Maintenance spreadsheet. </w:t>
      </w:r>
      <w:r>
        <w:rPr>
          <w:rFonts w:ascii="Arial" w:hAnsi="Arial" w:cs="Arial"/>
          <w:b/>
          <w:bCs/>
          <w:kern w:val="0"/>
          <w:sz w:val="22"/>
          <w:szCs w:val="22"/>
          <w14:ligatures w14:val="none"/>
        </w:rPr>
        <w:t>(see exhibit KH2 XXXXXX)</w:t>
      </w:r>
    </w:p>
    <w:p w14:paraId="5C374BE3" w14:textId="29FF1DED" w:rsidR="00CA0C79" w:rsidRPr="00697233" w:rsidRDefault="00CA0C79" w:rsidP="00697233">
      <w:pPr>
        <w:pStyle w:val="ListParagraph"/>
        <w:numPr>
          <w:ilvl w:val="1"/>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 xml:space="preserve">High and volatile annual spend, with no consistent planned-maintenance regime </w:t>
      </w:r>
      <w:proofErr w:type="gramStart"/>
      <w:r w:rsidRPr="00085A9C">
        <w:rPr>
          <w:rFonts w:ascii="Arial" w:hAnsi="Arial" w:cs="Arial"/>
          <w:kern w:val="0"/>
          <w:sz w:val="22"/>
          <w:szCs w:val="22"/>
          <w14:ligatures w14:val="none"/>
        </w:rPr>
        <w:t>demonstrated;</w:t>
      </w:r>
      <w:proofErr w:type="gramEnd"/>
    </w:p>
    <w:p w14:paraId="2176ED02" w14:textId="36FA604B" w:rsidR="00CA0C79" w:rsidRPr="00697233" w:rsidRDefault="00CA0C79" w:rsidP="00697233">
      <w:pPr>
        <w:pStyle w:val="ListParagraph"/>
        <w:numPr>
          <w:ilvl w:val="1"/>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 xml:space="preserve">Multiple overlapping contractors (particularly Heat Interface, AES, Dry Risers and fire-system firms) without clear demarcation of </w:t>
      </w:r>
      <w:proofErr w:type="gramStart"/>
      <w:r w:rsidRPr="00085A9C">
        <w:rPr>
          <w:rFonts w:ascii="Arial" w:hAnsi="Arial" w:cs="Arial"/>
          <w:kern w:val="0"/>
          <w:sz w:val="22"/>
          <w:szCs w:val="22"/>
          <w14:ligatures w14:val="none"/>
        </w:rPr>
        <w:t>responsibilities;</w:t>
      </w:r>
      <w:proofErr w:type="gramEnd"/>
    </w:p>
    <w:p w14:paraId="43886D2A" w14:textId="002277AD" w:rsidR="00CA0C79" w:rsidRPr="00697233" w:rsidRDefault="00CA0C79" w:rsidP="00697233">
      <w:pPr>
        <w:pStyle w:val="ListParagraph"/>
        <w:numPr>
          <w:ilvl w:val="1"/>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 xml:space="preserve">Service reports that repeatedly flag the same problems year after year, with no clear evidence of follow-up or </w:t>
      </w:r>
      <w:proofErr w:type="gramStart"/>
      <w:r w:rsidRPr="00085A9C">
        <w:rPr>
          <w:rFonts w:ascii="Arial" w:hAnsi="Arial" w:cs="Arial"/>
          <w:kern w:val="0"/>
          <w:sz w:val="22"/>
          <w:szCs w:val="22"/>
          <w14:ligatures w14:val="none"/>
        </w:rPr>
        <w:t>closure;</w:t>
      </w:r>
      <w:proofErr w:type="gramEnd"/>
    </w:p>
    <w:p w14:paraId="5C080082" w14:textId="5318B9DA" w:rsidR="00CA0C79" w:rsidRPr="00697233" w:rsidRDefault="00CA0C79" w:rsidP="00697233">
      <w:pPr>
        <w:pStyle w:val="ListParagraph"/>
        <w:numPr>
          <w:ilvl w:val="1"/>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Plant-room servicing that appears to be billed more frequently than the disclosed service records support; and</w:t>
      </w:r>
    </w:p>
    <w:p w14:paraId="6FA55CF6" w14:textId="6562032D" w:rsidR="00CA0C79" w:rsidRPr="00697233" w:rsidRDefault="00CA0C79" w:rsidP="00697233">
      <w:pPr>
        <w:pStyle w:val="ListParagraph"/>
        <w:numPr>
          <w:ilvl w:val="1"/>
          <w:numId w:val="15"/>
        </w:numPr>
        <w:spacing w:after="0" w:line="240" w:lineRule="auto"/>
        <w:rPr>
          <w:rFonts w:ascii="Arial" w:hAnsi="Arial" w:cs="Arial"/>
          <w:kern w:val="0"/>
          <w:sz w:val="22"/>
          <w:szCs w:val="22"/>
          <w14:ligatures w14:val="none"/>
        </w:rPr>
      </w:pPr>
      <w:r w:rsidRPr="00085A9C">
        <w:rPr>
          <w:rFonts w:ascii="Arial" w:hAnsi="Arial" w:cs="Arial"/>
          <w:kern w:val="0"/>
          <w:sz w:val="22"/>
          <w:szCs w:val="22"/>
          <w14:ligatures w14:val="none"/>
        </w:rPr>
        <w:t>A lack of transparency over defects and insurance credits, which appear to have been promised in correspondence but are not clearly reflected in the accounts.</w:t>
      </w:r>
    </w:p>
    <w:p w14:paraId="35EC4394" w14:textId="3D44D6A4" w:rsidR="00CA0C79" w:rsidRPr="00085A9C" w:rsidRDefault="00697233" w:rsidP="00CA0C79">
      <w:pPr>
        <w:pStyle w:val="ListParagraph"/>
        <w:numPr>
          <w:ilvl w:val="0"/>
          <w:numId w:val="15"/>
        </w:numPr>
        <w:spacing w:after="0" w:line="240" w:lineRule="auto"/>
        <w:rPr>
          <w:rFonts w:ascii="Arial" w:hAnsi="Arial" w:cs="Arial"/>
          <w:kern w:val="0"/>
          <w:sz w:val="22"/>
          <w:szCs w:val="22"/>
          <w14:ligatures w14:val="none"/>
        </w:rPr>
      </w:pPr>
      <w:r>
        <w:rPr>
          <w:rFonts w:ascii="Arial" w:hAnsi="Arial" w:cs="Arial"/>
          <w:kern w:val="0"/>
          <w:sz w:val="22"/>
          <w:szCs w:val="22"/>
          <w14:ligatures w14:val="none"/>
        </w:rPr>
        <w:t>I</w:t>
      </w:r>
      <w:r w:rsidR="00CA0C79" w:rsidRPr="00085A9C">
        <w:rPr>
          <w:rFonts w:ascii="Arial" w:hAnsi="Arial" w:cs="Arial"/>
          <w:kern w:val="0"/>
          <w:sz w:val="22"/>
          <w:szCs w:val="22"/>
          <w14:ligatures w14:val="none"/>
        </w:rPr>
        <w:t>n my submission, the Respondent has not shown that these maintenance and repair costs have been “reasonably incurred” within the meaning of section 19 of the Landlord and Tenant Act 1985. At the very least, I invite the Tribunal to scrutinise these headings closely, to disallow any elements that represent duplicated work, repeat repairs due to earlier poor workmanship, or costs that ought to have been met by defects/insurance recoveries, and to make such directions as are necessary to ensure that future maintenance is carried out on a planned, transparent and genuinely preventative basis rather than through expensive, ad hoc interventions.</w:t>
      </w:r>
    </w:p>
    <w:p w14:paraId="56D7B1B0" w14:textId="21DBBFCA" w:rsidR="00D52F10" w:rsidRPr="00085A9C" w:rsidRDefault="00D52F10" w:rsidP="00D52F10">
      <w:pPr>
        <w:pStyle w:val="ListParagraph"/>
        <w:numPr>
          <w:ilvl w:val="0"/>
          <w:numId w:val="15"/>
        </w:numPr>
        <w:spacing w:before="100" w:beforeAutospacing="1" w:after="100" w:afterAutospacing="1" w:line="240" w:lineRule="auto"/>
        <w:rPr>
          <w:rFonts w:ascii="Arial" w:eastAsia="Times New Roman" w:hAnsi="Arial" w:cs="Arial"/>
          <w:kern w:val="0"/>
          <w:sz w:val="22"/>
          <w:szCs w:val="22"/>
          <w14:ligatures w14:val="none"/>
        </w:rPr>
      </w:pPr>
    </w:p>
    <w:p w14:paraId="5F6C3D2A" w14:textId="0CAC018E" w:rsidR="00D52F10" w:rsidRPr="00085A9C" w:rsidRDefault="00D52F10" w:rsidP="00D52F10">
      <w:pPr>
        <w:pStyle w:val="ListParagraph"/>
        <w:numPr>
          <w:ilvl w:val="0"/>
          <w:numId w:val="15"/>
        </w:numPr>
        <w:spacing w:before="100" w:beforeAutospacing="1" w:after="100" w:afterAutospacing="1" w:line="240" w:lineRule="auto"/>
        <w:rPr>
          <w:rFonts w:ascii="Arial" w:eastAsia="Times New Roman" w:hAnsi="Arial" w:cs="Arial"/>
          <w:kern w:val="0"/>
          <w:sz w:val="22"/>
          <w:szCs w:val="22"/>
          <w14:ligatures w14:val="none"/>
        </w:rPr>
      </w:pPr>
      <w:proofErr w:type="spellStart"/>
      <w:r w:rsidRPr="00085A9C">
        <w:rPr>
          <w:rFonts w:ascii="Arial" w:eastAsia="Times New Roman" w:hAnsi="Arial" w:cs="Arial"/>
          <w:kern w:val="0"/>
          <w:sz w:val="22"/>
          <w:szCs w:val="22"/>
          <w14:ligatures w14:val="none"/>
        </w:rPr>
        <w:t>sdfkhsflkjashlkj</w:t>
      </w:r>
      <w:proofErr w:type="spellEnd"/>
    </w:p>
    <w:p w14:paraId="7A0A5F44" w14:textId="7470F0D5" w:rsidR="00786BB5" w:rsidRDefault="00786BB5" w:rsidP="00424FB5">
      <w:pPr>
        <w:spacing w:before="100" w:beforeAutospacing="1" w:after="100" w:afterAutospacing="1" w:line="240" w:lineRule="auto"/>
        <w:rPr>
          <w:rFonts w:ascii="Arial" w:eastAsia="Times New Roman" w:hAnsi="Arial" w:cs="Arial"/>
          <w:kern w:val="0"/>
          <w:sz w:val="22"/>
          <w:szCs w:val="22"/>
          <w14:ligatures w14:val="none"/>
        </w:rPr>
      </w:pPr>
    </w:p>
    <w:p w14:paraId="2B8A5A6A" w14:textId="77777777" w:rsidR="00424FB5" w:rsidRPr="00424FB5" w:rsidRDefault="00424FB5" w:rsidP="00424FB5">
      <w:pPr>
        <w:spacing w:before="100" w:beforeAutospacing="1" w:after="100" w:afterAutospacing="1" w:line="240" w:lineRule="auto"/>
        <w:rPr>
          <w:rFonts w:ascii="Arial" w:eastAsia="Times New Roman" w:hAnsi="Arial" w:cs="Arial"/>
          <w:kern w:val="0"/>
          <w:sz w:val="22"/>
          <w:szCs w:val="22"/>
          <w14:ligatures w14:val="none"/>
        </w:rPr>
      </w:pPr>
    </w:p>
    <w:p w14:paraId="171E0EDA" w14:textId="77777777" w:rsidR="0093715F" w:rsidRPr="0093715F" w:rsidRDefault="0093715F" w:rsidP="0093715F">
      <w:pPr>
        <w:spacing w:before="100" w:beforeAutospacing="1" w:after="100" w:afterAutospacing="1" w:line="240" w:lineRule="auto"/>
        <w:rPr>
          <w:rFonts w:ascii="Arial" w:eastAsia="Times New Roman" w:hAnsi="Arial" w:cs="Arial"/>
          <w:kern w:val="0"/>
          <w:sz w:val="22"/>
          <w:szCs w:val="22"/>
          <w14:ligatures w14:val="none"/>
        </w:rPr>
      </w:pPr>
    </w:p>
    <w:p w14:paraId="4E38E6E5" w14:textId="77777777" w:rsidR="00457806" w:rsidRPr="00786BB5" w:rsidRDefault="00457806" w:rsidP="00786BB5">
      <w:pPr>
        <w:spacing w:before="100" w:beforeAutospacing="1" w:after="100" w:afterAutospacing="1" w:line="240" w:lineRule="auto"/>
        <w:rPr>
          <w:rFonts w:ascii="Arial" w:eastAsia="Times New Roman" w:hAnsi="Arial" w:cs="Arial"/>
          <w:kern w:val="0"/>
          <w:sz w:val="22"/>
          <w:szCs w:val="22"/>
          <w14:ligatures w14:val="none"/>
        </w:rPr>
      </w:pPr>
    </w:p>
    <w:p w14:paraId="65B6E9B2" w14:textId="77777777" w:rsidR="00B15C55" w:rsidRPr="00B15C55" w:rsidRDefault="00B15C55" w:rsidP="00B15C55">
      <w:pPr>
        <w:spacing w:before="100" w:beforeAutospacing="1" w:after="100" w:afterAutospacing="1" w:line="240" w:lineRule="auto"/>
        <w:rPr>
          <w:rFonts w:ascii="Arial" w:eastAsia="Times New Roman" w:hAnsi="Arial" w:cs="Arial"/>
          <w:kern w:val="0"/>
          <w:sz w:val="22"/>
          <w:szCs w:val="22"/>
          <w14:ligatures w14:val="none"/>
        </w:rPr>
      </w:pPr>
    </w:p>
    <w:p w14:paraId="46F52DA0" w14:textId="77777777" w:rsidR="006B53AC" w:rsidRPr="006B53AC" w:rsidRDefault="006B53AC" w:rsidP="006B53AC">
      <w:pPr>
        <w:spacing w:before="100" w:beforeAutospacing="1" w:after="100" w:afterAutospacing="1" w:line="240" w:lineRule="auto"/>
        <w:ind w:left="720"/>
        <w:rPr>
          <w:rFonts w:ascii="Arial" w:eastAsia="Times New Roman" w:hAnsi="Arial" w:cs="Arial"/>
          <w:kern w:val="0"/>
          <w:sz w:val="22"/>
          <w:szCs w:val="22"/>
          <w14:ligatures w14:val="none"/>
        </w:rPr>
      </w:pPr>
    </w:p>
    <w:sectPr w:rsidR="006B53AC" w:rsidRPr="006B53AC">
      <w:footerReference w:type="even"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84413" w14:textId="77777777" w:rsidR="00A37255" w:rsidRDefault="00A37255" w:rsidP="00B375ED">
      <w:pPr>
        <w:spacing w:after="0" w:line="240" w:lineRule="auto"/>
      </w:pPr>
      <w:r>
        <w:separator/>
      </w:r>
    </w:p>
  </w:endnote>
  <w:endnote w:type="continuationSeparator" w:id="0">
    <w:p w14:paraId="03817D19" w14:textId="77777777" w:rsidR="00A37255" w:rsidRDefault="00A37255" w:rsidP="00B37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DD77" w14:textId="77777777" w:rsidR="002D5334" w:rsidRDefault="0090497A">
    <w:pPr>
      <w:pStyle w:val="Footer"/>
    </w:pPr>
    <w:fldSimple w:instr="DOCPROPERTY iManageFooter \* MERGEFORMAT">
      <w:r>
        <w:t>14748046v4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827C0" w14:textId="77777777" w:rsidR="002D5334" w:rsidRDefault="0090497A">
    <w:pPr>
      <w:pStyle w:val="Footer"/>
    </w:pPr>
    <w:fldSimple w:instr="DOCPROPERTY iManageFooter \* MERGEFORMAT">
      <w:r>
        <w:t>14748046v4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F6D27" w14:textId="77777777" w:rsidR="00A37255" w:rsidRDefault="00A37255" w:rsidP="00B375ED">
      <w:pPr>
        <w:spacing w:after="0" w:line="240" w:lineRule="auto"/>
      </w:pPr>
      <w:r>
        <w:separator/>
      </w:r>
    </w:p>
  </w:footnote>
  <w:footnote w:type="continuationSeparator" w:id="0">
    <w:p w14:paraId="0D218289" w14:textId="77777777" w:rsidR="00A37255" w:rsidRDefault="00A37255" w:rsidP="00B37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1707166"/>
    <w:name w:val="Level Numbering"/>
    <w:lvl w:ilvl="0">
      <w:start w:val="1"/>
      <w:numFmt w:val="decimal"/>
      <w:pStyle w:val="Level1Number"/>
      <w:lvlText w:val="%1."/>
      <w:lvlJc w:val="left"/>
      <w:pPr>
        <w:ind w:left="720" w:hanging="720"/>
      </w:pPr>
      <w:rPr>
        <w:rFonts w:ascii="Times New Roman" w:hAnsi="Times New Roman" w:hint="default"/>
        <w:b/>
        <w:i w:val="0"/>
        <w:sz w:val="22"/>
      </w:rPr>
    </w:lvl>
    <w:lvl w:ilvl="1">
      <w:start w:val="1"/>
      <w:numFmt w:val="decimal"/>
      <w:pStyle w:val="Level2Number"/>
      <w:lvlText w:val="%1.%2"/>
      <w:lvlJc w:val="left"/>
      <w:pPr>
        <w:ind w:left="720" w:hanging="720"/>
      </w:pPr>
      <w:rPr>
        <w:rFonts w:ascii="Times New Roman" w:hAnsi="Times New Roman" w:hint="default"/>
        <w:b/>
        <w:i w:val="0"/>
        <w:sz w:val="22"/>
      </w:rPr>
    </w:lvl>
    <w:lvl w:ilvl="2">
      <w:start w:val="1"/>
      <w:numFmt w:val="lowerLetter"/>
      <w:pStyle w:val="Level3Number"/>
      <w:lvlText w:val="(%3)"/>
      <w:lvlJc w:val="left"/>
      <w:pPr>
        <w:ind w:left="1440" w:hanging="720"/>
      </w:pPr>
      <w:rPr>
        <w:rFonts w:ascii="Times New Roman" w:hAnsi="Times New Roman" w:hint="default"/>
        <w:b/>
        <w:i w:val="0"/>
        <w:sz w:val="22"/>
      </w:rPr>
    </w:lvl>
    <w:lvl w:ilvl="3">
      <w:start w:val="1"/>
      <w:numFmt w:val="lowerRoman"/>
      <w:pStyle w:val="Level4Number"/>
      <w:lvlText w:val="(%4)"/>
      <w:lvlJc w:val="left"/>
      <w:pPr>
        <w:ind w:left="2160" w:hanging="720"/>
      </w:pPr>
      <w:rPr>
        <w:rFonts w:ascii="Times New Roman" w:hAnsi="Times New Roman" w:hint="default"/>
        <w:b/>
        <w:i w:val="0"/>
        <w:sz w:val="22"/>
      </w:rPr>
    </w:lvl>
    <w:lvl w:ilvl="4">
      <w:start w:val="1"/>
      <w:numFmt w:val="upperLetter"/>
      <w:pStyle w:val="Level5Number"/>
      <w:lvlText w:val="(%5)"/>
      <w:lvlJc w:val="left"/>
      <w:pPr>
        <w:ind w:left="2880" w:hanging="72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upperRoman"/>
      <w:pStyle w:val="Level6Number"/>
      <w:lvlText w:val="(%6)"/>
      <w:lvlJc w:val="left"/>
      <w:pPr>
        <w:ind w:left="3600" w:hanging="720"/>
      </w:pPr>
      <w:rPr>
        <w:rFonts w:ascii="Times New Roman" w:hAnsi="Times New Roman" w:hint="default"/>
        <w:b/>
        <w:i w:val="0"/>
        <w:sz w:val="22"/>
      </w:rPr>
    </w:lvl>
    <w:lvl w:ilvl="6">
      <w:start w:val="1"/>
      <w:numFmt w:val="none"/>
      <w:lvlRestart w:val="0"/>
      <w:lvlText w:val=""/>
      <w:lvlJc w:val="left"/>
      <w:pPr>
        <w:ind w:left="0" w:firstLine="0"/>
      </w:pPr>
      <w:rPr>
        <w:rFonts w:hint="default"/>
        <w:b w:val="0"/>
        <w:i w:val="0"/>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 w15:restartNumberingAfterBreak="0">
    <w:nsid w:val="04416880"/>
    <w:multiLevelType w:val="hybridMultilevel"/>
    <w:tmpl w:val="22B02A2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104A08"/>
    <w:multiLevelType w:val="multilevel"/>
    <w:tmpl w:val="FFFFFFFF"/>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378B2"/>
    <w:multiLevelType w:val="multilevel"/>
    <w:tmpl w:val="FFFFFFFF"/>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10CE2"/>
    <w:multiLevelType w:val="multilevel"/>
    <w:tmpl w:val="1FE63F16"/>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41B00FE"/>
    <w:multiLevelType w:val="multilevel"/>
    <w:tmpl w:val="CEDED20C"/>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ED8009E"/>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0258F2"/>
    <w:multiLevelType w:val="hybridMultilevel"/>
    <w:tmpl w:val="22B02A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735D8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0854E7"/>
    <w:multiLevelType w:val="hybridMultilevel"/>
    <w:tmpl w:val="DB225C3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3E9C1931"/>
    <w:multiLevelType w:val="multilevel"/>
    <w:tmpl w:val="FFFFFFFF"/>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BD2179"/>
    <w:multiLevelType w:val="hybridMultilevel"/>
    <w:tmpl w:val="DFD6D822"/>
    <w:lvl w:ilvl="0" w:tplc="4686D4E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37031B8"/>
    <w:multiLevelType w:val="multilevel"/>
    <w:tmpl w:val="FFFFFFFF"/>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5C6B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FF4CA8"/>
    <w:multiLevelType w:val="multilevel"/>
    <w:tmpl w:val="E2100FD0"/>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67E34ADD"/>
    <w:multiLevelType w:val="multilevel"/>
    <w:tmpl w:val="C28E688A"/>
    <w:lvl w:ilvl="0">
      <w:start w:val="161"/>
      <w:numFmt w:val="decimal"/>
      <w:lvlText w:val="%1."/>
      <w:lvlJc w:val="left"/>
      <w:pPr>
        <w:tabs>
          <w:tab w:val="num" w:pos="720"/>
        </w:tabs>
        <w:ind w:left="720" w:hanging="360"/>
      </w:pPr>
    </w:lvl>
    <w:lvl w:ilvl="1">
      <w:start w:val="1"/>
      <w:numFmt w:val="lowerLetter"/>
      <w:lvlText w:val="%2."/>
      <w:lvlJc w:val="left"/>
      <w:pPr>
        <w:ind w:left="1440" w:hanging="360"/>
      </w:pPr>
      <w:rPr>
        <w:rFonts w:ascii="Arial" w:eastAsia="Times New Roman" w:hAnsi="Arial" w:cs="Arial"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E060E3"/>
    <w:multiLevelType w:val="multilevel"/>
    <w:tmpl w:val="8EC462E2"/>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6EF90387"/>
    <w:multiLevelType w:val="hybridMultilevel"/>
    <w:tmpl w:val="FD00AF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BC63352"/>
    <w:multiLevelType w:val="hybridMultilevel"/>
    <w:tmpl w:val="210E5850"/>
    <w:lvl w:ilvl="0" w:tplc="08090019">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80439892">
    <w:abstractNumId w:val="17"/>
  </w:num>
  <w:num w:numId="2" w16cid:durableId="275987480">
    <w:abstractNumId w:val="0"/>
  </w:num>
  <w:num w:numId="3" w16cid:durableId="1462116554">
    <w:abstractNumId w:val="13"/>
  </w:num>
  <w:num w:numId="4" w16cid:durableId="1778675666">
    <w:abstractNumId w:val="6"/>
  </w:num>
  <w:num w:numId="5" w16cid:durableId="1205950109">
    <w:abstractNumId w:val="2"/>
  </w:num>
  <w:num w:numId="6" w16cid:durableId="74086329">
    <w:abstractNumId w:val="3"/>
  </w:num>
  <w:num w:numId="7" w16cid:durableId="399908694">
    <w:abstractNumId w:val="10"/>
  </w:num>
  <w:num w:numId="8" w16cid:durableId="1143352506">
    <w:abstractNumId w:val="1"/>
  </w:num>
  <w:num w:numId="9" w16cid:durableId="1972706837">
    <w:abstractNumId w:val="7"/>
  </w:num>
  <w:num w:numId="10" w16cid:durableId="2103793352">
    <w:abstractNumId w:val="4"/>
  </w:num>
  <w:num w:numId="11" w16cid:durableId="767627292">
    <w:abstractNumId w:val="16"/>
  </w:num>
  <w:num w:numId="12" w16cid:durableId="736823375">
    <w:abstractNumId w:val="5"/>
  </w:num>
  <w:num w:numId="13" w16cid:durableId="1796873547">
    <w:abstractNumId w:val="8"/>
  </w:num>
  <w:num w:numId="14" w16cid:durableId="377819739">
    <w:abstractNumId w:val="14"/>
  </w:num>
  <w:num w:numId="15" w16cid:durableId="1431008540">
    <w:abstractNumId w:val="15"/>
  </w:num>
  <w:num w:numId="16" w16cid:durableId="1924559665">
    <w:abstractNumId w:val="18"/>
  </w:num>
  <w:num w:numId="17" w16cid:durableId="1476335684">
    <w:abstractNumId w:val="11"/>
  </w:num>
  <w:num w:numId="18" w16cid:durableId="2143765739">
    <w:abstractNumId w:val="9"/>
  </w:num>
  <w:num w:numId="19" w16cid:durableId="7674314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493"/>
    <w:rsid w:val="00000CC2"/>
    <w:rsid w:val="000051CE"/>
    <w:rsid w:val="00011436"/>
    <w:rsid w:val="000133DD"/>
    <w:rsid w:val="000147BC"/>
    <w:rsid w:val="000234F1"/>
    <w:rsid w:val="00024E89"/>
    <w:rsid w:val="00033BD7"/>
    <w:rsid w:val="00034EC2"/>
    <w:rsid w:val="00035924"/>
    <w:rsid w:val="00037D0D"/>
    <w:rsid w:val="00042E4C"/>
    <w:rsid w:val="00045EE5"/>
    <w:rsid w:val="0006151D"/>
    <w:rsid w:val="000679D7"/>
    <w:rsid w:val="00070E1E"/>
    <w:rsid w:val="00071154"/>
    <w:rsid w:val="00077DF0"/>
    <w:rsid w:val="000834A8"/>
    <w:rsid w:val="00085A9C"/>
    <w:rsid w:val="0008612A"/>
    <w:rsid w:val="0008721E"/>
    <w:rsid w:val="000917BD"/>
    <w:rsid w:val="000A1A69"/>
    <w:rsid w:val="000B4EB4"/>
    <w:rsid w:val="000C066C"/>
    <w:rsid w:val="000C27EE"/>
    <w:rsid w:val="000C6769"/>
    <w:rsid w:val="000D0AF7"/>
    <w:rsid w:val="000D1B84"/>
    <w:rsid w:val="000E0F78"/>
    <w:rsid w:val="000F00C3"/>
    <w:rsid w:val="000F028B"/>
    <w:rsid w:val="000F1892"/>
    <w:rsid w:val="000F48AE"/>
    <w:rsid w:val="000F5A1D"/>
    <w:rsid w:val="000F6CB3"/>
    <w:rsid w:val="00102FEA"/>
    <w:rsid w:val="00107C2C"/>
    <w:rsid w:val="00113EB9"/>
    <w:rsid w:val="00120157"/>
    <w:rsid w:val="0012034A"/>
    <w:rsid w:val="0012666B"/>
    <w:rsid w:val="00132A62"/>
    <w:rsid w:val="00133537"/>
    <w:rsid w:val="00134A52"/>
    <w:rsid w:val="00135497"/>
    <w:rsid w:val="001403DC"/>
    <w:rsid w:val="00140F6F"/>
    <w:rsid w:val="00145F90"/>
    <w:rsid w:val="00147A5E"/>
    <w:rsid w:val="00151CB5"/>
    <w:rsid w:val="00154100"/>
    <w:rsid w:val="00154AD1"/>
    <w:rsid w:val="00163755"/>
    <w:rsid w:val="001641B8"/>
    <w:rsid w:val="00165A5B"/>
    <w:rsid w:val="001729E3"/>
    <w:rsid w:val="00182738"/>
    <w:rsid w:val="0018321A"/>
    <w:rsid w:val="001862C8"/>
    <w:rsid w:val="001A638F"/>
    <w:rsid w:val="001B044F"/>
    <w:rsid w:val="001B1598"/>
    <w:rsid w:val="001B2E4D"/>
    <w:rsid w:val="001B337C"/>
    <w:rsid w:val="001C06E1"/>
    <w:rsid w:val="001C2FD9"/>
    <w:rsid w:val="001C3559"/>
    <w:rsid w:val="001C4405"/>
    <w:rsid w:val="001C522C"/>
    <w:rsid w:val="001C6BC7"/>
    <w:rsid w:val="001C71E0"/>
    <w:rsid w:val="001D292F"/>
    <w:rsid w:val="001D6947"/>
    <w:rsid w:val="001E6018"/>
    <w:rsid w:val="001F11FE"/>
    <w:rsid w:val="001F7FE6"/>
    <w:rsid w:val="0021070B"/>
    <w:rsid w:val="0021335A"/>
    <w:rsid w:val="00215555"/>
    <w:rsid w:val="00220682"/>
    <w:rsid w:val="00220F90"/>
    <w:rsid w:val="00225240"/>
    <w:rsid w:val="00231417"/>
    <w:rsid w:val="00231FF7"/>
    <w:rsid w:val="00237CBC"/>
    <w:rsid w:val="00244184"/>
    <w:rsid w:val="002473AF"/>
    <w:rsid w:val="00247623"/>
    <w:rsid w:val="00250C46"/>
    <w:rsid w:val="002537A8"/>
    <w:rsid w:val="0025464B"/>
    <w:rsid w:val="00260601"/>
    <w:rsid w:val="00271C10"/>
    <w:rsid w:val="00272FF5"/>
    <w:rsid w:val="002730D1"/>
    <w:rsid w:val="00275A80"/>
    <w:rsid w:val="002A08F3"/>
    <w:rsid w:val="002A4CE5"/>
    <w:rsid w:val="002A645B"/>
    <w:rsid w:val="002A7861"/>
    <w:rsid w:val="002B06ED"/>
    <w:rsid w:val="002B4708"/>
    <w:rsid w:val="002B61AC"/>
    <w:rsid w:val="002B6CF0"/>
    <w:rsid w:val="002C1BD1"/>
    <w:rsid w:val="002C202D"/>
    <w:rsid w:val="002C267B"/>
    <w:rsid w:val="002C3FB0"/>
    <w:rsid w:val="002D112B"/>
    <w:rsid w:val="002D15A2"/>
    <w:rsid w:val="002D214D"/>
    <w:rsid w:val="002D5334"/>
    <w:rsid w:val="002D55EC"/>
    <w:rsid w:val="002D5ABD"/>
    <w:rsid w:val="002D727A"/>
    <w:rsid w:val="002E6001"/>
    <w:rsid w:val="002E72F4"/>
    <w:rsid w:val="002F10E1"/>
    <w:rsid w:val="002F4C12"/>
    <w:rsid w:val="002F4D1E"/>
    <w:rsid w:val="00300E23"/>
    <w:rsid w:val="00314AEB"/>
    <w:rsid w:val="00323EDC"/>
    <w:rsid w:val="00327C4A"/>
    <w:rsid w:val="003312D5"/>
    <w:rsid w:val="0033193E"/>
    <w:rsid w:val="00334B1D"/>
    <w:rsid w:val="003427A5"/>
    <w:rsid w:val="00345E8C"/>
    <w:rsid w:val="00354623"/>
    <w:rsid w:val="003601C1"/>
    <w:rsid w:val="003602ED"/>
    <w:rsid w:val="00375F88"/>
    <w:rsid w:val="003859D1"/>
    <w:rsid w:val="0038791B"/>
    <w:rsid w:val="003916DD"/>
    <w:rsid w:val="00392836"/>
    <w:rsid w:val="0039701B"/>
    <w:rsid w:val="003A7DFC"/>
    <w:rsid w:val="003A7EDE"/>
    <w:rsid w:val="003B0AD2"/>
    <w:rsid w:val="003B6104"/>
    <w:rsid w:val="003B7598"/>
    <w:rsid w:val="003C49B6"/>
    <w:rsid w:val="003F3020"/>
    <w:rsid w:val="004016AD"/>
    <w:rsid w:val="0041466D"/>
    <w:rsid w:val="004174A9"/>
    <w:rsid w:val="00424FB5"/>
    <w:rsid w:val="00425C88"/>
    <w:rsid w:val="00441885"/>
    <w:rsid w:val="00442E94"/>
    <w:rsid w:val="004434D8"/>
    <w:rsid w:val="00443DB8"/>
    <w:rsid w:val="004510EB"/>
    <w:rsid w:val="00453430"/>
    <w:rsid w:val="00454776"/>
    <w:rsid w:val="00456AD1"/>
    <w:rsid w:val="00457806"/>
    <w:rsid w:val="004775C3"/>
    <w:rsid w:val="00482330"/>
    <w:rsid w:val="00484AA6"/>
    <w:rsid w:val="00485328"/>
    <w:rsid w:val="00487E71"/>
    <w:rsid w:val="00493835"/>
    <w:rsid w:val="004B11F7"/>
    <w:rsid w:val="004B2985"/>
    <w:rsid w:val="004B4112"/>
    <w:rsid w:val="004B7B7B"/>
    <w:rsid w:val="004C1EFC"/>
    <w:rsid w:val="004C22F2"/>
    <w:rsid w:val="004C2356"/>
    <w:rsid w:val="004D1DC4"/>
    <w:rsid w:val="004D3C44"/>
    <w:rsid w:val="004E7074"/>
    <w:rsid w:val="004F2905"/>
    <w:rsid w:val="004F385F"/>
    <w:rsid w:val="004F4F0B"/>
    <w:rsid w:val="004F60BC"/>
    <w:rsid w:val="0050082E"/>
    <w:rsid w:val="00507666"/>
    <w:rsid w:val="005111D1"/>
    <w:rsid w:val="00513CFF"/>
    <w:rsid w:val="00514375"/>
    <w:rsid w:val="00514B29"/>
    <w:rsid w:val="005164E2"/>
    <w:rsid w:val="00520C33"/>
    <w:rsid w:val="00524BDF"/>
    <w:rsid w:val="00526845"/>
    <w:rsid w:val="005268AA"/>
    <w:rsid w:val="0054098D"/>
    <w:rsid w:val="00543235"/>
    <w:rsid w:val="00550812"/>
    <w:rsid w:val="005511EC"/>
    <w:rsid w:val="00552AD0"/>
    <w:rsid w:val="005639B1"/>
    <w:rsid w:val="0057483E"/>
    <w:rsid w:val="00580089"/>
    <w:rsid w:val="005828E9"/>
    <w:rsid w:val="00582A0A"/>
    <w:rsid w:val="005931E6"/>
    <w:rsid w:val="0059602C"/>
    <w:rsid w:val="00596077"/>
    <w:rsid w:val="005A3EAB"/>
    <w:rsid w:val="005A4763"/>
    <w:rsid w:val="005A518F"/>
    <w:rsid w:val="005C265A"/>
    <w:rsid w:val="005C37CD"/>
    <w:rsid w:val="005C3AC5"/>
    <w:rsid w:val="005C3F43"/>
    <w:rsid w:val="005D5302"/>
    <w:rsid w:val="005D682E"/>
    <w:rsid w:val="005D7D36"/>
    <w:rsid w:val="0061013D"/>
    <w:rsid w:val="00614367"/>
    <w:rsid w:val="006175E3"/>
    <w:rsid w:val="00640814"/>
    <w:rsid w:val="00641714"/>
    <w:rsid w:val="006440E5"/>
    <w:rsid w:val="0064637D"/>
    <w:rsid w:val="0064666E"/>
    <w:rsid w:val="00653464"/>
    <w:rsid w:val="00653EED"/>
    <w:rsid w:val="00661F83"/>
    <w:rsid w:val="006621B8"/>
    <w:rsid w:val="00662F10"/>
    <w:rsid w:val="00666503"/>
    <w:rsid w:val="006666FD"/>
    <w:rsid w:val="00666E79"/>
    <w:rsid w:val="0068343F"/>
    <w:rsid w:val="00686CD8"/>
    <w:rsid w:val="0069157F"/>
    <w:rsid w:val="006936FD"/>
    <w:rsid w:val="00697233"/>
    <w:rsid w:val="006A1281"/>
    <w:rsid w:val="006A542E"/>
    <w:rsid w:val="006A6197"/>
    <w:rsid w:val="006B5229"/>
    <w:rsid w:val="006B53AC"/>
    <w:rsid w:val="006D1D5D"/>
    <w:rsid w:val="006D58DC"/>
    <w:rsid w:val="006E175B"/>
    <w:rsid w:val="006E19C5"/>
    <w:rsid w:val="006E5A2A"/>
    <w:rsid w:val="006E6D7C"/>
    <w:rsid w:val="006E7717"/>
    <w:rsid w:val="006F2EF9"/>
    <w:rsid w:val="00700F0E"/>
    <w:rsid w:val="0070125B"/>
    <w:rsid w:val="007013F1"/>
    <w:rsid w:val="00702A50"/>
    <w:rsid w:val="00703B7E"/>
    <w:rsid w:val="00704A84"/>
    <w:rsid w:val="00705ABF"/>
    <w:rsid w:val="00705F84"/>
    <w:rsid w:val="00711DA1"/>
    <w:rsid w:val="00721168"/>
    <w:rsid w:val="007252F7"/>
    <w:rsid w:val="00726447"/>
    <w:rsid w:val="0073151F"/>
    <w:rsid w:val="00733757"/>
    <w:rsid w:val="00736F3B"/>
    <w:rsid w:val="00765193"/>
    <w:rsid w:val="00765CB5"/>
    <w:rsid w:val="0077032E"/>
    <w:rsid w:val="0077269D"/>
    <w:rsid w:val="00782806"/>
    <w:rsid w:val="00786BB5"/>
    <w:rsid w:val="00797EEF"/>
    <w:rsid w:val="007A233A"/>
    <w:rsid w:val="007A3F2A"/>
    <w:rsid w:val="007A5E1B"/>
    <w:rsid w:val="007A6668"/>
    <w:rsid w:val="007A7958"/>
    <w:rsid w:val="007B4006"/>
    <w:rsid w:val="007C39C9"/>
    <w:rsid w:val="007C5197"/>
    <w:rsid w:val="007D1A02"/>
    <w:rsid w:val="007D27E2"/>
    <w:rsid w:val="007D5007"/>
    <w:rsid w:val="007E1E78"/>
    <w:rsid w:val="007E20B3"/>
    <w:rsid w:val="007E647F"/>
    <w:rsid w:val="007F06AD"/>
    <w:rsid w:val="007F2395"/>
    <w:rsid w:val="007F7FDD"/>
    <w:rsid w:val="00804CDD"/>
    <w:rsid w:val="00811BCF"/>
    <w:rsid w:val="008121B3"/>
    <w:rsid w:val="008130CD"/>
    <w:rsid w:val="00820F8F"/>
    <w:rsid w:val="00824651"/>
    <w:rsid w:val="00830822"/>
    <w:rsid w:val="00840DCF"/>
    <w:rsid w:val="00843E74"/>
    <w:rsid w:val="00844057"/>
    <w:rsid w:val="0085154E"/>
    <w:rsid w:val="00857AFA"/>
    <w:rsid w:val="00865232"/>
    <w:rsid w:val="0087286A"/>
    <w:rsid w:val="008779C3"/>
    <w:rsid w:val="008850BB"/>
    <w:rsid w:val="00885CD8"/>
    <w:rsid w:val="00887CE2"/>
    <w:rsid w:val="00895C21"/>
    <w:rsid w:val="00896588"/>
    <w:rsid w:val="008A05A2"/>
    <w:rsid w:val="008A773D"/>
    <w:rsid w:val="008C3860"/>
    <w:rsid w:val="008C3FE0"/>
    <w:rsid w:val="008C45DF"/>
    <w:rsid w:val="008C7E3C"/>
    <w:rsid w:val="008E1F15"/>
    <w:rsid w:val="009017CB"/>
    <w:rsid w:val="00902518"/>
    <w:rsid w:val="0090497A"/>
    <w:rsid w:val="00911EB4"/>
    <w:rsid w:val="00915617"/>
    <w:rsid w:val="00917174"/>
    <w:rsid w:val="00921D26"/>
    <w:rsid w:val="00926906"/>
    <w:rsid w:val="00932317"/>
    <w:rsid w:val="00932BE9"/>
    <w:rsid w:val="00934273"/>
    <w:rsid w:val="00935CFF"/>
    <w:rsid w:val="0093715F"/>
    <w:rsid w:val="00952120"/>
    <w:rsid w:val="00953FD9"/>
    <w:rsid w:val="00964F4D"/>
    <w:rsid w:val="00967DA7"/>
    <w:rsid w:val="00971540"/>
    <w:rsid w:val="009829C0"/>
    <w:rsid w:val="00987284"/>
    <w:rsid w:val="00993AF7"/>
    <w:rsid w:val="00994A79"/>
    <w:rsid w:val="009A26CD"/>
    <w:rsid w:val="009A3232"/>
    <w:rsid w:val="009A7571"/>
    <w:rsid w:val="009C0C5C"/>
    <w:rsid w:val="009C0D29"/>
    <w:rsid w:val="009C0F68"/>
    <w:rsid w:val="009D38A3"/>
    <w:rsid w:val="009D76FA"/>
    <w:rsid w:val="009E20F4"/>
    <w:rsid w:val="009E5F7A"/>
    <w:rsid w:val="009F6979"/>
    <w:rsid w:val="00A0404D"/>
    <w:rsid w:val="00A1007E"/>
    <w:rsid w:val="00A2340D"/>
    <w:rsid w:val="00A30819"/>
    <w:rsid w:val="00A37255"/>
    <w:rsid w:val="00A44574"/>
    <w:rsid w:val="00A46C6D"/>
    <w:rsid w:val="00A5493E"/>
    <w:rsid w:val="00A5555C"/>
    <w:rsid w:val="00A62951"/>
    <w:rsid w:val="00A63B87"/>
    <w:rsid w:val="00A702D9"/>
    <w:rsid w:val="00A74189"/>
    <w:rsid w:val="00A74B05"/>
    <w:rsid w:val="00A850F6"/>
    <w:rsid w:val="00A85210"/>
    <w:rsid w:val="00A96AF1"/>
    <w:rsid w:val="00AA140A"/>
    <w:rsid w:val="00AB32A2"/>
    <w:rsid w:val="00AC2267"/>
    <w:rsid w:val="00AD1406"/>
    <w:rsid w:val="00AD1DE9"/>
    <w:rsid w:val="00AD28CC"/>
    <w:rsid w:val="00AE108E"/>
    <w:rsid w:val="00AF0ED0"/>
    <w:rsid w:val="00B03537"/>
    <w:rsid w:val="00B0619D"/>
    <w:rsid w:val="00B10D2D"/>
    <w:rsid w:val="00B12447"/>
    <w:rsid w:val="00B15213"/>
    <w:rsid w:val="00B15C55"/>
    <w:rsid w:val="00B25123"/>
    <w:rsid w:val="00B27B25"/>
    <w:rsid w:val="00B27CE8"/>
    <w:rsid w:val="00B31D40"/>
    <w:rsid w:val="00B32013"/>
    <w:rsid w:val="00B375ED"/>
    <w:rsid w:val="00B43469"/>
    <w:rsid w:val="00B43F33"/>
    <w:rsid w:val="00B50F04"/>
    <w:rsid w:val="00B524D6"/>
    <w:rsid w:val="00B57C29"/>
    <w:rsid w:val="00B60493"/>
    <w:rsid w:val="00B73C5B"/>
    <w:rsid w:val="00B752FE"/>
    <w:rsid w:val="00B774C4"/>
    <w:rsid w:val="00B81C19"/>
    <w:rsid w:val="00B9080A"/>
    <w:rsid w:val="00B947E9"/>
    <w:rsid w:val="00B94A8A"/>
    <w:rsid w:val="00B96C9A"/>
    <w:rsid w:val="00BA0D80"/>
    <w:rsid w:val="00BA10CB"/>
    <w:rsid w:val="00BA1595"/>
    <w:rsid w:val="00BA6B37"/>
    <w:rsid w:val="00BA7339"/>
    <w:rsid w:val="00BB074E"/>
    <w:rsid w:val="00BB19A6"/>
    <w:rsid w:val="00BB2445"/>
    <w:rsid w:val="00BB729E"/>
    <w:rsid w:val="00BC7332"/>
    <w:rsid w:val="00BD03AE"/>
    <w:rsid w:val="00BD0A90"/>
    <w:rsid w:val="00BD59ED"/>
    <w:rsid w:val="00BE2559"/>
    <w:rsid w:val="00BE2ABA"/>
    <w:rsid w:val="00BE6C3F"/>
    <w:rsid w:val="00BF4778"/>
    <w:rsid w:val="00BF68FD"/>
    <w:rsid w:val="00C079A1"/>
    <w:rsid w:val="00C1177B"/>
    <w:rsid w:val="00C13E99"/>
    <w:rsid w:val="00C219EA"/>
    <w:rsid w:val="00C2723C"/>
    <w:rsid w:val="00C33209"/>
    <w:rsid w:val="00C355F0"/>
    <w:rsid w:val="00C377A8"/>
    <w:rsid w:val="00C37DEC"/>
    <w:rsid w:val="00C4480E"/>
    <w:rsid w:val="00C4542E"/>
    <w:rsid w:val="00C50CC2"/>
    <w:rsid w:val="00C51E60"/>
    <w:rsid w:val="00C52087"/>
    <w:rsid w:val="00C521C1"/>
    <w:rsid w:val="00C71C77"/>
    <w:rsid w:val="00C7214B"/>
    <w:rsid w:val="00C7461F"/>
    <w:rsid w:val="00C82F3B"/>
    <w:rsid w:val="00C84BE4"/>
    <w:rsid w:val="00C864B4"/>
    <w:rsid w:val="00C92EB7"/>
    <w:rsid w:val="00C93A65"/>
    <w:rsid w:val="00C94259"/>
    <w:rsid w:val="00CA0C79"/>
    <w:rsid w:val="00CB4C3D"/>
    <w:rsid w:val="00CB6663"/>
    <w:rsid w:val="00CC150F"/>
    <w:rsid w:val="00CC396E"/>
    <w:rsid w:val="00CD021E"/>
    <w:rsid w:val="00CD15E9"/>
    <w:rsid w:val="00CD196A"/>
    <w:rsid w:val="00CE4EE1"/>
    <w:rsid w:val="00CE51E5"/>
    <w:rsid w:val="00CF45DF"/>
    <w:rsid w:val="00CF6145"/>
    <w:rsid w:val="00D03ADF"/>
    <w:rsid w:val="00D05CAF"/>
    <w:rsid w:val="00D1253C"/>
    <w:rsid w:val="00D1296C"/>
    <w:rsid w:val="00D17434"/>
    <w:rsid w:val="00D213C2"/>
    <w:rsid w:val="00D218D4"/>
    <w:rsid w:val="00D23B74"/>
    <w:rsid w:val="00D26468"/>
    <w:rsid w:val="00D40F9D"/>
    <w:rsid w:val="00D52F10"/>
    <w:rsid w:val="00D53D9C"/>
    <w:rsid w:val="00D5495D"/>
    <w:rsid w:val="00D564F6"/>
    <w:rsid w:val="00D5668A"/>
    <w:rsid w:val="00D63FB7"/>
    <w:rsid w:val="00D66A5E"/>
    <w:rsid w:val="00D67397"/>
    <w:rsid w:val="00D71582"/>
    <w:rsid w:val="00D71E11"/>
    <w:rsid w:val="00D727A3"/>
    <w:rsid w:val="00D72851"/>
    <w:rsid w:val="00D77792"/>
    <w:rsid w:val="00D850B0"/>
    <w:rsid w:val="00D87770"/>
    <w:rsid w:val="00D90293"/>
    <w:rsid w:val="00D9091C"/>
    <w:rsid w:val="00DA0F5E"/>
    <w:rsid w:val="00DA2626"/>
    <w:rsid w:val="00DA28D7"/>
    <w:rsid w:val="00DA6B71"/>
    <w:rsid w:val="00DA6F60"/>
    <w:rsid w:val="00DB6BD0"/>
    <w:rsid w:val="00DC01CA"/>
    <w:rsid w:val="00DC35F3"/>
    <w:rsid w:val="00DC3D61"/>
    <w:rsid w:val="00DD144E"/>
    <w:rsid w:val="00DD4587"/>
    <w:rsid w:val="00DD5CE7"/>
    <w:rsid w:val="00DD5FF6"/>
    <w:rsid w:val="00DE3D36"/>
    <w:rsid w:val="00DE52FC"/>
    <w:rsid w:val="00DE6CFA"/>
    <w:rsid w:val="00DE6EF5"/>
    <w:rsid w:val="00DF4F1A"/>
    <w:rsid w:val="00DF7243"/>
    <w:rsid w:val="00E006EE"/>
    <w:rsid w:val="00E0172F"/>
    <w:rsid w:val="00E01CE3"/>
    <w:rsid w:val="00E02B1B"/>
    <w:rsid w:val="00E1614B"/>
    <w:rsid w:val="00E27C76"/>
    <w:rsid w:val="00E369D3"/>
    <w:rsid w:val="00E41396"/>
    <w:rsid w:val="00E42D29"/>
    <w:rsid w:val="00E44F6C"/>
    <w:rsid w:val="00E45051"/>
    <w:rsid w:val="00E46844"/>
    <w:rsid w:val="00E47669"/>
    <w:rsid w:val="00E5309B"/>
    <w:rsid w:val="00E55459"/>
    <w:rsid w:val="00E555FE"/>
    <w:rsid w:val="00E666D0"/>
    <w:rsid w:val="00E7023D"/>
    <w:rsid w:val="00E71A5A"/>
    <w:rsid w:val="00E81B9E"/>
    <w:rsid w:val="00E82C1E"/>
    <w:rsid w:val="00E83E41"/>
    <w:rsid w:val="00E9614E"/>
    <w:rsid w:val="00E96812"/>
    <w:rsid w:val="00E97871"/>
    <w:rsid w:val="00EA6DEF"/>
    <w:rsid w:val="00EB3ECA"/>
    <w:rsid w:val="00EB48D5"/>
    <w:rsid w:val="00EC4A51"/>
    <w:rsid w:val="00EC5DD8"/>
    <w:rsid w:val="00ED1474"/>
    <w:rsid w:val="00ED3CED"/>
    <w:rsid w:val="00ED5432"/>
    <w:rsid w:val="00ED77C8"/>
    <w:rsid w:val="00EE30D9"/>
    <w:rsid w:val="00EF5E4D"/>
    <w:rsid w:val="00F13917"/>
    <w:rsid w:val="00F13965"/>
    <w:rsid w:val="00F20BB4"/>
    <w:rsid w:val="00F220A4"/>
    <w:rsid w:val="00F2313C"/>
    <w:rsid w:val="00F2428E"/>
    <w:rsid w:val="00F32AFB"/>
    <w:rsid w:val="00F36035"/>
    <w:rsid w:val="00F40338"/>
    <w:rsid w:val="00F41705"/>
    <w:rsid w:val="00F51835"/>
    <w:rsid w:val="00F54294"/>
    <w:rsid w:val="00F548E9"/>
    <w:rsid w:val="00F61993"/>
    <w:rsid w:val="00F6548A"/>
    <w:rsid w:val="00F65E05"/>
    <w:rsid w:val="00F71A28"/>
    <w:rsid w:val="00F73F6E"/>
    <w:rsid w:val="00F75440"/>
    <w:rsid w:val="00F7587C"/>
    <w:rsid w:val="00F75F29"/>
    <w:rsid w:val="00F82F26"/>
    <w:rsid w:val="00F92C29"/>
    <w:rsid w:val="00F94B0B"/>
    <w:rsid w:val="00F95BB1"/>
    <w:rsid w:val="00FA0B99"/>
    <w:rsid w:val="00FA2112"/>
    <w:rsid w:val="00FA6DBD"/>
    <w:rsid w:val="00FB4F2D"/>
    <w:rsid w:val="00FC5520"/>
    <w:rsid w:val="00FD0F00"/>
    <w:rsid w:val="00FD6676"/>
    <w:rsid w:val="00FE01DF"/>
    <w:rsid w:val="00FE1B26"/>
    <w:rsid w:val="00FE5CD9"/>
    <w:rsid w:val="00FE68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7312C5"/>
  <w15:chartTrackingRefBased/>
  <w15:docId w15:val="{EFE0D1EB-1613-4B41-81A8-4945E37A5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493"/>
    <w:rPr>
      <w:rFonts w:eastAsiaTheme="majorEastAsia" w:cstheme="majorBidi"/>
      <w:color w:val="272727" w:themeColor="text1" w:themeTint="D8"/>
    </w:rPr>
  </w:style>
  <w:style w:type="paragraph" w:styleId="Title">
    <w:name w:val="Title"/>
    <w:basedOn w:val="Normal"/>
    <w:next w:val="Normal"/>
    <w:link w:val="TitleChar"/>
    <w:qFormat/>
    <w:rsid w:val="00B60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60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493"/>
    <w:pPr>
      <w:spacing w:before="160"/>
      <w:jc w:val="center"/>
    </w:pPr>
    <w:rPr>
      <w:i/>
      <w:iCs/>
      <w:color w:val="404040" w:themeColor="text1" w:themeTint="BF"/>
    </w:rPr>
  </w:style>
  <w:style w:type="character" w:customStyle="1" w:styleId="QuoteChar">
    <w:name w:val="Quote Char"/>
    <w:basedOn w:val="DefaultParagraphFont"/>
    <w:link w:val="Quote"/>
    <w:uiPriority w:val="29"/>
    <w:rsid w:val="00B60493"/>
    <w:rPr>
      <w:i/>
      <w:iCs/>
      <w:color w:val="404040" w:themeColor="text1" w:themeTint="BF"/>
    </w:rPr>
  </w:style>
  <w:style w:type="paragraph" w:styleId="ListParagraph">
    <w:name w:val="List Paragraph"/>
    <w:basedOn w:val="Normal"/>
    <w:uiPriority w:val="34"/>
    <w:qFormat/>
    <w:rsid w:val="00B60493"/>
    <w:pPr>
      <w:ind w:left="720"/>
      <w:contextualSpacing/>
    </w:pPr>
  </w:style>
  <w:style w:type="character" w:styleId="IntenseEmphasis">
    <w:name w:val="Intense Emphasis"/>
    <w:basedOn w:val="DefaultParagraphFont"/>
    <w:uiPriority w:val="21"/>
    <w:qFormat/>
    <w:rsid w:val="00B60493"/>
    <w:rPr>
      <w:i/>
      <w:iCs/>
      <w:color w:val="0F4761" w:themeColor="accent1" w:themeShade="BF"/>
    </w:rPr>
  </w:style>
  <w:style w:type="paragraph" w:styleId="IntenseQuote">
    <w:name w:val="Intense Quote"/>
    <w:basedOn w:val="Normal"/>
    <w:next w:val="Normal"/>
    <w:link w:val="IntenseQuoteChar"/>
    <w:uiPriority w:val="30"/>
    <w:qFormat/>
    <w:rsid w:val="00B60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493"/>
    <w:rPr>
      <w:i/>
      <w:iCs/>
      <w:color w:val="0F4761" w:themeColor="accent1" w:themeShade="BF"/>
    </w:rPr>
  </w:style>
  <w:style w:type="character" w:styleId="IntenseReference">
    <w:name w:val="Intense Reference"/>
    <w:basedOn w:val="DefaultParagraphFont"/>
    <w:uiPriority w:val="32"/>
    <w:qFormat/>
    <w:rsid w:val="00B60493"/>
    <w:rPr>
      <w:b/>
      <w:bCs/>
      <w:smallCaps/>
      <w:color w:val="0F4761" w:themeColor="accent1" w:themeShade="BF"/>
      <w:spacing w:val="5"/>
    </w:rPr>
  </w:style>
  <w:style w:type="paragraph" w:styleId="Header">
    <w:name w:val="header"/>
    <w:basedOn w:val="Normal"/>
    <w:link w:val="HeaderChar"/>
    <w:uiPriority w:val="99"/>
    <w:unhideWhenUsed/>
    <w:rsid w:val="00B375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5ED"/>
  </w:style>
  <w:style w:type="paragraph" w:styleId="Footer">
    <w:name w:val="footer"/>
    <w:basedOn w:val="Normal"/>
    <w:link w:val="FooterChar"/>
    <w:uiPriority w:val="99"/>
    <w:unhideWhenUsed/>
    <w:rsid w:val="00B375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5ED"/>
  </w:style>
  <w:style w:type="paragraph" w:customStyle="1" w:styleId="Level1Number">
    <w:name w:val="Level 1 Number"/>
    <w:uiPriority w:val="6"/>
    <w:qFormat/>
    <w:rsid w:val="001E6018"/>
    <w:pPr>
      <w:numPr>
        <w:numId w:val="2"/>
      </w:numPr>
      <w:spacing w:after="240" w:line="240" w:lineRule="auto"/>
      <w:jc w:val="both"/>
      <w:outlineLvl w:val="0"/>
    </w:pPr>
    <w:rPr>
      <w:rFonts w:ascii="Times New Roman" w:eastAsia="Batang" w:hAnsi="Times New Roman" w:cs="Times New Roman"/>
      <w:kern w:val="0"/>
      <w:sz w:val="22"/>
      <w:szCs w:val="22"/>
      <w14:ligatures w14:val="none"/>
    </w:rPr>
  </w:style>
  <w:style w:type="paragraph" w:customStyle="1" w:styleId="Level2Number">
    <w:name w:val="Level 2 Number"/>
    <w:uiPriority w:val="6"/>
    <w:qFormat/>
    <w:rsid w:val="001E6018"/>
    <w:pPr>
      <w:numPr>
        <w:ilvl w:val="1"/>
        <w:numId w:val="2"/>
      </w:numPr>
      <w:spacing w:after="240" w:line="240" w:lineRule="auto"/>
      <w:jc w:val="both"/>
      <w:outlineLvl w:val="1"/>
    </w:pPr>
    <w:rPr>
      <w:rFonts w:ascii="Times New Roman" w:eastAsia="Batang" w:hAnsi="Times New Roman" w:cs="Times New Roman"/>
      <w:kern w:val="0"/>
      <w:sz w:val="22"/>
      <w:szCs w:val="22"/>
      <w14:ligatures w14:val="none"/>
    </w:rPr>
  </w:style>
  <w:style w:type="paragraph" w:customStyle="1" w:styleId="Level3Number">
    <w:name w:val="Level 3 Number"/>
    <w:uiPriority w:val="6"/>
    <w:qFormat/>
    <w:rsid w:val="001E6018"/>
    <w:pPr>
      <w:numPr>
        <w:ilvl w:val="2"/>
        <w:numId w:val="2"/>
      </w:numPr>
      <w:spacing w:after="240" w:line="240" w:lineRule="auto"/>
      <w:jc w:val="both"/>
      <w:outlineLvl w:val="2"/>
    </w:pPr>
    <w:rPr>
      <w:rFonts w:ascii="Times New Roman" w:eastAsia="Batang" w:hAnsi="Times New Roman" w:cs="Times New Roman"/>
      <w:kern w:val="0"/>
      <w:sz w:val="22"/>
      <w:szCs w:val="22"/>
      <w14:ligatures w14:val="none"/>
    </w:rPr>
  </w:style>
  <w:style w:type="paragraph" w:customStyle="1" w:styleId="Level4Number">
    <w:name w:val="Level 4 Number"/>
    <w:uiPriority w:val="6"/>
    <w:qFormat/>
    <w:rsid w:val="001E6018"/>
    <w:pPr>
      <w:numPr>
        <w:ilvl w:val="3"/>
        <w:numId w:val="2"/>
      </w:numPr>
      <w:spacing w:after="240" w:line="240" w:lineRule="auto"/>
      <w:jc w:val="both"/>
      <w:outlineLvl w:val="3"/>
    </w:pPr>
    <w:rPr>
      <w:rFonts w:ascii="Times New Roman" w:eastAsia="Batang" w:hAnsi="Times New Roman" w:cs="Times New Roman"/>
      <w:kern w:val="0"/>
      <w:sz w:val="22"/>
      <w:szCs w:val="22"/>
      <w14:ligatures w14:val="none"/>
    </w:rPr>
  </w:style>
  <w:style w:type="paragraph" w:customStyle="1" w:styleId="Level5Number">
    <w:name w:val="Level 5 Number"/>
    <w:uiPriority w:val="6"/>
    <w:qFormat/>
    <w:rsid w:val="001E6018"/>
    <w:pPr>
      <w:numPr>
        <w:ilvl w:val="4"/>
        <w:numId w:val="2"/>
      </w:numPr>
      <w:spacing w:after="240" w:line="240" w:lineRule="auto"/>
      <w:jc w:val="both"/>
      <w:outlineLvl w:val="4"/>
    </w:pPr>
    <w:rPr>
      <w:rFonts w:ascii="Times New Roman" w:eastAsia="Batang" w:hAnsi="Times New Roman" w:cs="Times New Roman"/>
      <w:kern w:val="0"/>
      <w:sz w:val="22"/>
      <w:szCs w:val="22"/>
      <w14:ligatures w14:val="none"/>
    </w:rPr>
  </w:style>
  <w:style w:type="paragraph" w:customStyle="1" w:styleId="Level6Number">
    <w:name w:val="Level 6 Number"/>
    <w:uiPriority w:val="6"/>
    <w:qFormat/>
    <w:rsid w:val="001E6018"/>
    <w:pPr>
      <w:numPr>
        <w:ilvl w:val="5"/>
        <w:numId w:val="2"/>
      </w:numPr>
      <w:spacing w:after="240" w:line="240" w:lineRule="auto"/>
      <w:jc w:val="both"/>
      <w:outlineLvl w:val="5"/>
    </w:pPr>
    <w:rPr>
      <w:rFonts w:ascii="Times New Roman" w:eastAsia="Batang" w:hAnsi="Times New Roman" w:cs="Times New Roman"/>
      <w:kern w:val="0"/>
      <w:sz w:val="22"/>
      <w:szCs w:val="22"/>
      <w14:ligatures w14:val="none"/>
    </w:rPr>
  </w:style>
  <w:style w:type="paragraph" w:styleId="Revision">
    <w:name w:val="Revision"/>
    <w:hidden/>
    <w:uiPriority w:val="99"/>
    <w:semiHidden/>
    <w:rsid w:val="001E6018"/>
    <w:pPr>
      <w:spacing w:after="0" w:line="240" w:lineRule="auto"/>
    </w:pPr>
  </w:style>
  <w:style w:type="character" w:styleId="CommentReference">
    <w:name w:val="annotation reference"/>
    <w:basedOn w:val="DefaultParagraphFont"/>
    <w:uiPriority w:val="99"/>
    <w:semiHidden/>
    <w:unhideWhenUsed/>
    <w:rsid w:val="00000CC2"/>
    <w:rPr>
      <w:sz w:val="16"/>
      <w:szCs w:val="16"/>
    </w:rPr>
  </w:style>
  <w:style w:type="paragraph" w:styleId="CommentText">
    <w:name w:val="annotation text"/>
    <w:basedOn w:val="Normal"/>
    <w:link w:val="CommentTextChar"/>
    <w:uiPriority w:val="99"/>
    <w:unhideWhenUsed/>
    <w:rsid w:val="00000CC2"/>
    <w:pPr>
      <w:spacing w:line="240" w:lineRule="auto"/>
    </w:pPr>
    <w:rPr>
      <w:sz w:val="20"/>
      <w:szCs w:val="20"/>
    </w:rPr>
  </w:style>
  <w:style w:type="character" w:customStyle="1" w:styleId="CommentTextChar">
    <w:name w:val="Comment Text Char"/>
    <w:basedOn w:val="DefaultParagraphFont"/>
    <w:link w:val="CommentText"/>
    <w:uiPriority w:val="99"/>
    <w:rsid w:val="00000CC2"/>
    <w:rPr>
      <w:sz w:val="20"/>
      <w:szCs w:val="20"/>
    </w:rPr>
  </w:style>
  <w:style w:type="paragraph" w:styleId="CommentSubject">
    <w:name w:val="annotation subject"/>
    <w:basedOn w:val="CommentText"/>
    <w:next w:val="CommentText"/>
    <w:link w:val="CommentSubjectChar"/>
    <w:uiPriority w:val="99"/>
    <w:semiHidden/>
    <w:unhideWhenUsed/>
    <w:rsid w:val="00000CC2"/>
    <w:rPr>
      <w:b/>
      <w:bCs/>
    </w:rPr>
  </w:style>
  <w:style w:type="character" w:customStyle="1" w:styleId="CommentSubjectChar">
    <w:name w:val="Comment Subject Char"/>
    <w:basedOn w:val="CommentTextChar"/>
    <w:link w:val="CommentSubject"/>
    <w:uiPriority w:val="99"/>
    <w:semiHidden/>
    <w:rsid w:val="00000CC2"/>
    <w:rPr>
      <w:b/>
      <w:bCs/>
      <w:sz w:val="20"/>
      <w:szCs w:val="20"/>
    </w:rPr>
  </w:style>
  <w:style w:type="paragraph" w:customStyle="1" w:styleId="p1">
    <w:name w:val="p1"/>
    <w:basedOn w:val="Normal"/>
    <w:rsid w:val="002730D1"/>
    <w:pPr>
      <w:spacing w:before="100" w:beforeAutospacing="1" w:after="100" w:afterAutospacing="1" w:line="240" w:lineRule="auto"/>
    </w:pPr>
    <w:rPr>
      <w:rFonts w:ascii="Times New Roman" w:hAnsi="Times New Roman" w:cs="Times New Roman"/>
      <w:kern w:val="0"/>
      <w:lang w:val="en-US" w:eastAsia="en-US"/>
      <w14:ligatures w14:val="none"/>
    </w:rPr>
  </w:style>
  <w:style w:type="character" w:customStyle="1" w:styleId="s1">
    <w:name w:val="s1"/>
    <w:basedOn w:val="DefaultParagraphFont"/>
    <w:rsid w:val="002730D1"/>
  </w:style>
  <w:style w:type="character" w:customStyle="1" w:styleId="apple-converted-space">
    <w:name w:val="apple-converted-space"/>
    <w:basedOn w:val="DefaultParagraphFont"/>
    <w:rsid w:val="000B4EB4"/>
  </w:style>
  <w:style w:type="character" w:customStyle="1" w:styleId="apple-tab-span">
    <w:name w:val="apple-tab-span"/>
    <w:basedOn w:val="DefaultParagraphFont"/>
    <w:rsid w:val="008C7E3C"/>
  </w:style>
  <w:style w:type="paragraph" w:customStyle="1" w:styleId="p2">
    <w:name w:val="p2"/>
    <w:basedOn w:val="Normal"/>
    <w:rsid w:val="002C3FB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http://www.imanage.com/work/xmlschema">
  <documentid>Main!14748046.6</documentid>
  <senderid>JAMES.HIBBERT</senderid>
  <senderemail>JAMES.HIBBERT@EDWINCOE.COM</senderemail>
  <lastmodified>2024-08-29T11:02:00.0000000+01:00</lastmodified>
  <database>Main</database>
</properties>
</file>

<file path=customXml/itemProps1.xml><?xml version="1.0" encoding="utf-8"?>
<ds:datastoreItem xmlns:ds="http://schemas.openxmlformats.org/officeDocument/2006/customXml" ds:itemID="{409E2287-1B74-E943-AA46-E39C7A987435}">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1249</TotalTime>
  <Pages>34</Pages>
  <Words>19662</Words>
  <Characters>105394</Characters>
  <Application>Microsoft Office Word</Application>
  <DocSecurity>0</DocSecurity>
  <Lines>1756</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Hastings</dc:creator>
  <cp:keywords/>
  <dc:description/>
  <cp:lastModifiedBy>Kevin Hastings</cp:lastModifiedBy>
  <cp:revision>258</cp:revision>
  <cp:lastPrinted>2024-08-12T10:34:00Z</cp:lastPrinted>
  <dcterms:created xsi:type="dcterms:W3CDTF">2024-08-29T08:44:00Z</dcterms:created>
  <dcterms:modified xsi:type="dcterms:W3CDTF">2025-12-07T21:58:00Z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14748046v6</vt:lpwstr>
  </property>
</Properties>
</file>