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Times New Roman" w:hAnsi="Times New Roman" w:cs="Times New Roman"/>
          <w:sz w:val="24"/>
          <w:sz-cs w:val="24"/>
          <w:b/>
        </w:rPr>
        <w:t xml:space="preserve">Case reference: LON/00BK/LSC/2025/0827</w:t>
      </w:r>
      <w:r>
        <w:rPr>
          <w:rFonts w:ascii="Times New Roman" w:hAnsi="Times New Roman" w:cs="Times New Roman"/>
          <w:sz w:val="24"/>
          <w:sz-cs w:val="24"/>
          <w:b/>
        </w:rPr>
        <w:t xml:space="preserve"/>
      </w:r>
    </w:p>
    <w:p>
      <w:pPr>
        <w:jc w:val="center"/>
        <w:spacing w:after="120"/>
      </w:pPr>
      <w:r>
        <w:rPr>
          <w:rFonts w:ascii="Times New Roman" w:hAnsi="Times New Roman" w:cs="Times New Roman"/>
          <w:sz w:val="24"/>
          <w:sz-cs w:val="24"/>
          <w:b/>
        </w:rPr>
        <w:t xml:space="preserve">IN THE FIRST-TIER TRIBUNAL</w:t>
      </w: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PROPERTY CHAMBER</w:t>
      </w:r>
    </w:p>
    <w:p>
      <w:pPr>
        <w:spacing w:after="240"/>
      </w:pPr>
      <w:r>
        <w:rPr>
          <w:rFonts w:ascii="Times New Roman" w:hAnsi="Times New Roman" w:cs="Times New Roman"/>
          <w:sz w:val="24"/>
          <w:sz-cs w:val="24"/>
          <w:b/>
        </w:rPr>
        <w:t xml:space="preserve">(RESIDENTIAL PROPERTY)</w:t>
      </w:r>
    </w:p>
    <w:p>
      <w:pPr>
        <w:jc w:val="center"/>
        <w:spacing w:after="120"/>
      </w:pPr>
      <w:r>
        <w:rPr>
          <w:rFonts w:ascii="Times New Roman" w:hAnsi="Times New Roman" w:cs="Times New Roman"/>
          <w:sz w:val="24"/>
          <w:sz-cs w:val="24"/>
          <w:b/>
        </w:rPr>
        <w:t xml:space="preserve">IN THE MATTER OF 8 ARTILLERY ROW, LONDON SW1P 1RZ</w:t>
      </w: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(1) Catherine Bacon (Apt 101)</w:t>
      </w:r>
    </w:p>
    <w:p>
      <w:pPr>
        <w:spacing w:after="240"/>
      </w:pPr>
      <w:r>
        <w:rPr>
          <w:rFonts w:ascii="Times New Roman" w:hAnsi="Times New Roman" w:cs="Times New Roman"/>
          <w:sz w:val="24"/>
          <w:sz-cs w:val="24"/>
          <w:b/>
        </w:rPr>
        <w:t xml:space="preserve">(2) Li Jing (Apt 103)</w:t>
      </w:r>
    </w:p>
    <w:p>
      <w:pPr>
        <w:spacing w:after="240"/>
      </w:pPr>
      <w:r>
        <w:rPr>
          <w:rFonts w:ascii="Times New Roman" w:hAnsi="Times New Roman" w:cs="Times New Roman"/>
          <w:sz w:val="24"/>
          <w:sz-cs w:val="24"/>
          <w:b/>
        </w:rPr>
        <w:t xml:space="preserve">(3) Lan-Anh Jessica Nguyen-Phuong (Apt 201)</w:t>
      </w:r>
    </w:p>
    <w:p>
      <w:pPr>
        <w:spacing w:after="240"/>
      </w:pPr>
      <w:r>
        <w:rPr>
          <w:rFonts w:ascii="Times New Roman" w:hAnsi="Times New Roman" w:cs="Times New Roman"/>
          <w:sz w:val="24"/>
          <w:sz-cs w:val="24"/>
          <w:b/>
        </w:rPr>
        <w:t xml:space="preserve">(4) Yang Xiao (Apt 203)</w:t>
      </w:r>
    </w:p>
    <w:p>
      <w:pPr>
        <w:spacing w:after="240"/>
      </w:pPr>
      <w:r>
        <w:rPr>
          <w:rFonts w:ascii="Times New Roman" w:hAnsi="Times New Roman" w:cs="Times New Roman"/>
          <w:sz w:val="24"/>
          <w:sz-cs w:val="24"/>
          <w:b/>
        </w:rPr>
        <w:t xml:space="preserve">(5) Nigel Harris (Apt 301)</w:t>
      </w:r>
    </w:p>
    <w:p>
      <w:pPr>
        <w:spacing w:after="240"/>
      </w:pPr>
      <w:r>
        <w:rPr>
          <w:rFonts w:ascii="Times New Roman" w:hAnsi="Times New Roman" w:cs="Times New Roman"/>
          <w:sz w:val="24"/>
          <w:sz-cs w:val="24"/>
          <w:b/>
        </w:rPr>
        <w:t xml:space="preserve">(6) Divine Heritage Ltd (Apt 302)</w:t>
      </w:r>
    </w:p>
    <w:p>
      <w:pPr>
        <w:spacing w:after="240"/>
      </w:pPr>
      <w:r>
        <w:rPr>
          <w:rFonts w:ascii="Times New Roman" w:hAnsi="Times New Roman" w:cs="Times New Roman"/>
          <w:sz w:val="24"/>
          <w:sz-cs w:val="24"/>
          <w:b/>
        </w:rPr>
        <w:t xml:space="preserve">(7) Nick and Debbie Chism (Apt 303)</w:t>
      </w:r>
    </w:p>
    <w:p>
      <w:pPr>
        <w:spacing w:after="240"/>
      </w:pPr>
      <w:r>
        <w:rPr>
          <w:rFonts w:ascii="Times New Roman" w:hAnsi="Times New Roman" w:cs="Times New Roman"/>
          <w:sz w:val="24"/>
          <w:sz-cs w:val="24"/>
          <w:b/>
        </w:rPr>
        <w:t xml:space="preserve">(8) Hingwan Cheung (Apt 403)</w:t>
      </w:r>
    </w:p>
    <w:p>
      <w:pPr>
        <w:spacing w:after="240"/>
      </w:pPr>
      <w:r>
        <w:rPr>
          <w:rFonts w:ascii="Times New Roman" w:hAnsi="Times New Roman" w:cs="Times New Roman"/>
          <w:sz w:val="24"/>
          <w:sz-cs w:val="24"/>
          <w:b/>
        </w:rPr>
        <w:t xml:space="preserve">(9) Albert Abutaliev and Regina Arsentyeva (Apt 601)</w:t>
      </w:r>
    </w:p>
    <w:p>
      <w:pPr>
        <w:spacing w:after="240"/>
      </w:pPr>
      <w:r>
        <w:rPr>
          <w:rFonts w:ascii="Times New Roman" w:hAnsi="Times New Roman" w:cs="Times New Roman"/>
          <w:sz w:val="24"/>
          <w:sz-cs w:val="24"/>
          <w:b/>
        </w:rPr>
        <w:t xml:space="preserve">(10) Lucia Granozio (Apt 602)</w:t>
      </w:r>
    </w:p>
    <w:p>
      <w:pPr>
        <w:spacing w:after="240"/>
      </w:pPr>
      <w:r>
        <w:rPr>
          <w:rFonts w:ascii="Times New Roman" w:hAnsi="Times New Roman" w:cs="Times New Roman"/>
          <w:sz w:val="24"/>
          <w:sz-cs w:val="24"/>
          <w:b/>
        </w:rPr>
        <w:t xml:space="preserve">(11) Geetanjali Dwivedi and Nachiketa Nachiketa (Apt 603)</w:t>
      </w:r>
    </w:p>
    <w:p>
      <w:pPr>
        <w:spacing w:after="240"/>
      </w:pPr>
      <w:r>
        <w:rPr>
          <w:rFonts w:ascii="Times New Roman" w:hAnsi="Times New Roman" w:cs="Times New Roman"/>
          <w:sz w:val="24"/>
          <w:sz-cs w:val="24"/>
          <w:b/>
        </w:rPr>
        <w:t xml:space="preserve">(12) Jimmy Hidayat under a Power of Attorney for Julian Alexander (Apt 701)</w:t>
      </w:r>
    </w:p>
    <w:p>
      <w:pPr>
        <w:spacing w:after="240"/>
      </w:pPr>
      <w:r>
        <w:rPr>
          <w:rFonts w:ascii="Times New Roman" w:hAnsi="Times New Roman" w:cs="Times New Roman"/>
          <w:sz w:val="24"/>
          <w:sz-cs w:val="24"/>
          <w:b/>
        </w:rPr>
        <w:t xml:space="preserve">(13) Yu-Yu Lin (Apt 702)</w:t>
      </w:r>
    </w:p>
    <w:p>
      <w:pPr>
        <w:spacing w:after="240"/>
      </w:pPr>
      <w:r>
        <w:rPr>
          <w:rFonts w:ascii="Times New Roman" w:hAnsi="Times New Roman" w:cs="Times New Roman"/>
          <w:sz w:val="24"/>
          <w:sz-cs w:val="24"/>
          <w:b/>
        </w:rPr>
        <w:t xml:space="preserve">(14) Khalid Al Jassim (Apt 703)</w:t>
      </w:r>
    </w:p>
    <w:p>
      <w:pPr>
        <w:numPr>
          <w:ilvl w:val="1"/>
          <w:numId w:val="1"/>
        </w:numPr>
        <w:spacing w:after="240"/>
      </w:pPr>
      <w:r>
        <w:rPr>
          <w:rFonts w:ascii="Times New Roman" w:hAnsi="Times New Roman" w:cs="Times New Roman"/>
          <w:sz w:val="24"/>
          <w:sz-cs w:val="24"/>
          <w:b/>
        </w:rPr>
        <w:t xml:space="preserve">(15) Raymond Gubbay CBE (Penthouse)</w:t>
      </w:r>
    </w:p>
    <w:p>
      <w:pPr>
        <w:jc w:val="center"/>
        <w:spacing w:after="120"/>
      </w:pPr>
      <w:r>
        <w:rPr>
          <w:rFonts w:ascii="Times New Roman" w:hAnsi="Times New Roman" w:cs="Times New Roman"/>
          <w:sz w:val="24"/>
          <w:sz-cs w:val="24"/>
          <w:b/>
        </w:rPr>
        <w:t xml:space="preserve">Applicants</w:t>
      </w: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 and -</w:t>
      </w:r>
    </w:p>
    <w:p>
      <w:pPr>
        <w:spacing w:after="240"/>
      </w:pPr>
      <w:r>
        <w:rPr>
          <w:rFonts w:ascii="Times New Roman" w:hAnsi="Times New Roman" w:cs="Times New Roman"/>
          <w:sz w:val="24"/>
          <w:sz-cs w:val="24"/>
          <w:b/>
        </w:rPr>
        <w:t xml:space="preserve">AVON GROUND RENTS LIMITED</w:t>
      </w:r>
    </w:p>
    <w:p>
      <w:pPr>
        <w:jc w:val="center"/>
        <w:spacing w:after="120"/>
      </w:pPr>
      <w:r>
        <w:rPr>
          <w:rFonts w:ascii="Times New Roman" w:hAnsi="Times New Roman" w:cs="Times New Roman"/>
          <w:sz w:val="24"/>
          <w:sz-cs w:val="24"/>
          <w:b/>
        </w:rPr>
        <w:t xml:space="preserve">Respondent</w:t>
      </w: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_________________________________________</w:t>
      </w:r>
    </w:p>
    <w:p>
      <w:pPr>
        <w:jc w:val="center"/>
        <w:spacing w:after="120"/>
      </w:pPr>
      <w:r>
        <w:rPr>
          <w:rFonts w:ascii="Times New Roman" w:hAnsi="Times New Roman" w:cs="Times New Roman"/>
          <w:sz w:val="24"/>
          <w:sz-cs w:val="24"/>
          <w:b/>
        </w:rPr>
        <w:t xml:space="preserve">WITNESS STATEMENT OF MR KEVIN HASTINGS</w:t>
      </w:r>
      <w:r>
        <w:rPr>
          <w:rFonts w:ascii="Times New Roman" w:hAnsi="Times New Roman" w:cs="Times New Roman"/>
          <w:sz w:val="24"/>
          <w:sz-cs w:val="24"/>
          <w:b/>
        </w:rPr>
        <w:t xml:space="preserve"/>
      </w:r>
    </w:p>
    <w:p>
      <w:pPr>
        <w:spacing w:after="240"/>
      </w:pPr>
      <w:r>
        <w:rPr>
          <w:rFonts w:ascii="Times New Roman" w:hAnsi="Times New Roman" w:cs="Times New Roman"/>
          <w:sz w:val="24"/>
          <w:sz-cs w:val="24"/>
          <w:b/>
        </w:rPr>
        <w:t xml:space="preserve">__________________________________________</w:t>
      </w:r>
    </w:p>
    <w:p>
      <w:pPr>
        <w:spacing w:after="240"/>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Kevin Hastings of 21 Corbet Close, Wallington SM6 7GB will say as follows: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have served as the Chair of the 8 Artillery Row Residents Association since its inception until present day. Although I am not a leaseholder, I was a tenant who resided at 8 Artillery Row, London SW1P 1RZ (“the Building”) from 16 April 2016 until 19 May 2024. I have been deeply involved in representing and supporting the leaseholders through the prolonged and distressing process related to the cladding and fire safety issues at our building.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facts and matter set out in this statement are within my own knowledge unless otherwise stated, and I believe them to be true. Where I refer to information supplied by others the source of the information is identified; facts and matters derived from other sources are true to the best of my knowledge and belief.</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b/>
        </w:rPr>
        <w:t xml:space="preserve">WITNESS STATEMENT OF KEVIN HASTINGS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Kevin Hastings of 21 Corbet Close, Wallington SM6 7GB will say as follows: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have served as the Chair of the 8 Artillery Row Residents Association since its inception until presentday. Although I am not a leaseholder, I was a tenant who resided at 8 Artillery Row, London SW1P 1RZ (“the Building”) from 16 April 2016 until 19 May 2024. I have been deeply involved in representing and supporting the leaseholders through the prolonged and distressing process related to the cladding and fire safety issues at our building.</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facts and matter set out in this statement are within my own knowledge unless otherwise stated, and I believe them to be true. Where I refer to information supplied by others the source of the information is identified; facts and matters derived from other sources are true to the best of my knowledge and belief.</w:t>
      </w:r>
      <w:r>
        <w:rPr>
          <w:rFonts w:ascii="Times New Roman" w:hAnsi="Times New Roman" w:cs="Times New Roman"/>
          <w:sz w:val="24"/>
          <w:sz-cs w:val="24"/>
        </w:rPr>
        <w:t xml:space="preserve"/>
      </w:r>
    </w:p>
    <w:p>
      <w:pPr>
        <w:jc w:val="both"/>
        <w:spacing w:before="100" w:after="240"/>
      </w:pPr>
      <w:r>
        <w:rPr>
          <w:rFonts w:ascii="Times New Roman" w:hAnsi="Times New Roman" w:cs="Times New Roman"/>
          <w:sz w:val="24"/>
          <w:sz-cs w:val="24"/>
        </w:rPr>
        <w:t xml:space="preserve">A. INTRODUCTION AND CAPACITY</w:t>
      </w:r>
      <w:r>
        <w:rPr>
          <w:rFonts w:ascii="Times New Roman" w:hAnsi="Times New Roman" w:cs="Times New Roman"/>
          <w:sz w:val="24"/>
          <w:sz-cs w:val="24"/>
        </w:rPr>
        <w:t xml:space="preserve"/>
      </w:r>
    </w:p>
    <w:p>
      <w:pPr>
        <w:numPr>
          <w:ilvl w:val="0"/>
          <w:numId w:val="1"/>
        </w:numPr>
      </w:pPr>
      <w:pPr>
        <w:jc w:val="both"/>
        <w:ind w:left="480"/>
        <w:spacing w:before="100" w:after="240"/>
      </w:pPr>
      <w:r>
        <w:rPr>
          <w:rFonts w:ascii="Times New Roman" w:hAnsi="Times New Roman" w:cs="Times New Roman"/>
          <w:sz w:val="24"/>
          <w:sz-cs w:val="24"/>
        </w:rPr>
        <w:t xml:space="preserve">I lived at 8 Artillery Row with my family from April 2016 until May 2024. I helped to set up, and have since served as Chair of, the 8 Artillery Row Residents’ Association (“8ARRA”). The Association was only formally recognised by the Respondent after an application to this Tribunal.</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make this statement on behalf of the Applicants. The facts and matters set out are within my own knowledge, or are derived from documents held by 8ARRA, from supplier and contractor documents, and from correspondence with Y&amp;Y and representatives of the Respondent. Where I refer to documents, they are exhibited under the reference KH-[number].</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This statement supports the Applicants’ challenge to the service charges demanded for the years 2017–2024. It addresses, among other things: (i) the reasonableness and payability of key heads of cost; (ii) the management of communal plant and building services (including heating, cooling and pumps); (iii) the procurement and validation of electricity and gas; and (iv) insurance, accounting and consultation issues.</w:t>
      </w:r>
      <w:r>
        <w:rPr>
          <w:rFonts w:ascii="Times New Roman" w:hAnsi="Times New Roman" w:cs="Times New Roman"/>
          <w:sz w:val="24"/>
          <w:sz-cs w:val="24"/>
        </w:rPr>
        <w:t xml:space="preserve"/>
      </w:r>
    </w:p>
    <w:p>
      <w:pPr>
        <w:numPr>
          <w:ilvl w:val="0"/>
          <w:numId w:val="1"/>
        </w:numPr>
      </w:pPr>
      <w:pPr>
        <w:jc w:val="both"/>
        <w:ind w:left="480"/>
        <w:spacing w:before="100" w:after="240"/>
      </w:pPr>
      <w:r>
        <w:rPr>
          <w:rFonts w:ascii="Times New Roman" w:hAnsi="Times New Roman" w:cs="Times New Roman"/>
          <w:sz w:val="24"/>
          <w:sz-cs w:val="24"/>
        </w:rPr>
        <w:t xml:space="preserve">The statement is intended to be read alongside the Applicants’ Scott Schedule (filed on 2 September 2025) and Statement of Case. It is a factual account of my dealings with the Respondent and its managing agent, and of the evidence we have been able to obtain.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Category</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Reason for reduction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Period of overcharge/double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Amount claimed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Heat and Hot water</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Duplicated maintenance/admin costs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2017 to date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£10,000 (or whatever the figure is)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Electricity charges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Double charging of communal supply</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2015 to date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£1.3m</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0E2841"/>
        </w:rPr>
        <w:t xml:space="preserve">AES Systems plant or Heat Interface Maintenance</w:t>
      </w:r>
      <w:r>
        <w:rPr>
          <w:rFonts w:ascii="Times New Roman" w:hAnsi="Times New Roman" w:cs="Times New Roman"/>
          <w:sz w:val="24"/>
          <w:sz-cs w:val="24"/>
        </w:rPr>
        <w:t xml:space="preserve"/>
      </w:r>
    </w:p>
    <w:p>
      <w:pPr>
        <w:jc w:val="both"/>
        <w:spacing w:before="100" w:after="240"/>
      </w:pPr>
      <w:r>
        <w:rPr>
          <w:rFonts w:ascii="Times New Roman" w:hAnsi="Times New Roman" w:cs="Times New Roman"/>
          <w:sz w:val="24"/>
          <w:sz-cs w:val="24"/>
        </w:rPr>
        <w:t xml:space="preserve">B. DISCLOSURE CONDUCT AND CASE MANAGEMENT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and its solicitors have suggested that they required additional time in these proceedings in order to gather documentation and that they have been open and cooperative, including by inviting the Applicants to inspect records.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reality, most of the documents now produced for this reference were already in the Respondent’s possession and had previously been provided – often only after repeated requests – under earlier section 22 Landlord and Tenant Act 1985 requests and in the 2022–2023 remediation proceedings. For example, gas bills for 2023/2024 were already in our possession; yet when disclosure was given in this claim, only those years were supplied and no earlier years, despite our clear requests in the Scott Schedule. The same applies to insurance: key items that we had specifically identified as missing were still not disclosed. In relation to waking-watch charges, the Respondent has produced only a single spreadsheet showing an undated one-week breakdown and a copy of generic government guidance, but no underlying invoices or demands. There are numerous similar examples, but in this statement I focus on the major heads of cost.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What is genuinely new in this claim is very limited: a partial set of meter-operator (MOP) data for one year; a partial set of Clever Energy invoices (limited to 15 of the 22 flats); and a single spreadsheet showing one year’s insurance apportionment. The Respondent has still not disclosed, for example, Clever Energy’s monthly reconciliation statements (which its own billing contract states must be produced for the customer every month), complete MOP contracts and full half-hourly data, or full historic service-charge reconciliation statements for all years in issue.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On several occasions I wrote to Y&amp;Y and to Mr Richard Simmons of Avon asking for specific documents (including MOP contracts and readings, HIU charges, gas invoices, reconciliation statements, insurance documents and evidence of credits). These requests were either ignored or only partially answered. For example, on 30 June 2025 I emailed Mr Azoulay and Mr Simmons listing eight areas of outstanding disclosure (including MOP data, HIU charges, gas/Clever Energy discrepancies and reconciliation statements for 2016–2020) and asking whether any of this would be provided before the then-imminent hearing; no substantive response was received.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Earlier, in March 2023, I sent a series of emails to Mr Simmons querying the disparity between the Respondent’s gas costs and the much higher charges levied on leaseholders by Clever Energy, and asking for the supplier’s actual unit rates and standing charges. Although one partial reply was received, my follow-up emails of 7, 21 and 30 March 2023 seeking clarification of those figures went unanswered.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relation to insurance, when broker Howden finally supplied commission-disclosure letters for 2024 and 2025, the key box stating the amount of remuneration paid to Avon Ground Rents was simply left blank. On 3 July 2025 I wrote to Mr Simmons pointing out that the letters appeared incomplete and asking that Howden re-issue them stating explicitly how much remuneration Avon had received. I also reminded him that we still required an explanation for the discrepancy between gas invoices of around £18,000 per annum and Clever Energy charges to the 22 leaseholders of around £70,000. No substantive response has been provided.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 similar pattern occurred when we raised concerns about plant failures. In May 2024 Y&amp;Y first informed us that the main booster pumps were “at the end of their useful life” and required replacement at a cost of over £21,000. On 24 May 2024 I asked for maintenance records, failure history and evidence of competitive tendering. More than a year later, in September 2025, I was still chasing a response. Y&amp;Y stated only that they were “reviewing the pump issue” with their M&amp;E contractor and would revert once they had feedback. No detailed report has ever been supplied and, as at the date of this statement, the building is still operating with only one of three pumps in service.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Respondent’s representatives also assert that we have been “invited” to inspect records. That invitation was extended to one of the Applicants, Mr Raymond Gubbay CBE, who at 79 years of age finds travel increasingly difficult. We asked the Respondent, given his age and health, to provide the relevant documents by email instead, particularly as many of the records in question are electronic reports. That request went unanswered. Instead of genuine cooperation we have encountered repeated delays, partial disclosure and refusals to provide key schedules (in particular, income-receivables and credits to the service-charge accounts, and Clever Energy reconciliation statements), sometimes justified by generic references to “confidentiality” or GDPR. Even now we do not have the full documentation needed to test the Respondent’s assertions properly.</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Meanwhile, the Respondent continues to issue budgets at historically high levels. For the 2026 service-charge year, Y&amp;Y’s covering letter expressly acknowledges that many categories have been “realigned” to match historic expenditure and that the overall budget is higher than 2025, with communal electricity budgeted at £70,000 and buildings insurance increasing from £45,000 to £53,000. In my view, unless the Tribunal gives a clear steer on what is recoverable and on the need for transparency, there is a real risk that the overcharging and opaque practices identified for 2017–2024 will simply continue in 2025–2026 and beyond, leading to further disputes and potentially further applications.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For these reasons I do not accept that the Respondent’s delays in this case were caused by any genuine difficulty in assembling documents. The key materials have existed within Avon’s and Y&amp;Y’s systems for many years. The limited additional disclosure produced during these proceedings, compared with what we already held from earlier requests, reinforces my view that the extensions sought were largely tactical and have added to the Applicants’ costs and stress without materially improving transparency.</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When completing the Scott Schedule, the Applicants did not yet have the underlying contracts, invoices, reconciliation statements or tender documentation for many of the disputed expenditure headings. In those circumstances, the only realistic way to put such items in issue was to identify the relevant budget line (for example “Mech &amp; Plant Maintenance”, “Clever Energy hot &amp; heating”, “Electricity”, “Building Insurance”) and to request disclosure of the core documents needed to understand and test what had been charged. That is what we did. The Respondent has in many instances replied that there are “no grounds of dispute specified” and has simply pointed to expenditure listings said to be enclosed with its Statement of Case.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do not accept that this means those items were not genuinely disputed. As I describe in my statement later on, there have been numerous emails to the Respondent stating that we need disclosure of such documents and making clear that we have concerns about these charges (KH2 bundle emails Richard Simmons pages 328, 339, 593) The grounds of dispute are, in substance, (a) that the expenditure appears unusually high when compared with historic levels, other comparable buildings or published benchmarks, and/or (b) that, without sight of the underlying contracts and invoices, it is impossible for leaseholders to verify whether the costs were reasonably incurred, properly allocated between the Apartments and Building Service Charges, and correctly credited for any third-party contributions. The Scott Schedule entries were therefore framed as targeted disclosure requests, because at that stage we were being asked to plead “blind”. This witness statement explains, heading by heading, the concerns that have now emerged from the limited documentation disclosed to date.</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For the avoidance of doubt, where the Respondent has asserted in the Scott Schedule response that “no grounds of dispute [are] specified”, that is not accepted. The Applicants’ position is that those items are properly in issue; that the Respondent’s refusal to provide full contracts, invoices, reconciliation statements and income/credit schedules has itself become a central feature of the dispute; and that any remaining gaps in our analysis arise from continuing deficiencies in disclosure rather than any lack of genuine objection on our part.</w:t>
      </w:r>
      <w:r>
        <w:rPr>
          <w:rFonts w:ascii="Times New Roman" w:hAnsi="Times New Roman" w:cs="Times New Roman"/>
          <w:sz w:val="24"/>
          <w:sz-cs w:val="24"/>
        </w:rPr>
        <w:t xml:space="preserve"/>
      </w:r>
    </w:p>
    <w:p>
      <w:pPr>
        <w:numPr>
          <w:ilvl w:val="0"/>
          <w:numId w:val="1"/>
        </w:numPr>
      </w:pPr>
      <w:pPr>
        <w:jc w:val="both"/>
        <w:spacing w:before="100" w:after="240"/>
      </w:pPr>
      <w:r>
        <w:rPr>
          <w:rFonts w:ascii="Times New Roman" w:hAnsi="Times New Roman" w:cs="Times New Roman"/>
          <w:sz w:val="24"/>
          <w:sz-cs w:val="24"/>
        </w:rPr>
        <w:t xml:space="preserve">C. THE BUILDING, LEASES AND SERVICE-CHARGE STRUCTURE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8AR is a mixed-use development comprising 22 residential flats and a ground-floor commercial unit (a café). The basement has a car-park area for four cars and contains electricity and gas meters, relevant pipes and cabling, the plant room, rubbish room and car-park lift. It also contains meters serving the neighbouring building, 10 Artillery Row, although we are not sure whether those are included within the same freehold title.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leases divide expenditure between an Apartments Service Charge and a Building Service Charge. In broad terms: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 the Apartments Service Charge relates to items attributable to the residential part only (for example internal cleaning and certain in-flat equipment where the landlord has chosen to service it); and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b. the Building Service Charge relates to building-wide matters, including structure, roof, main plant, common parts and other services benefitting both the flats and the ground-floor commercial premises and, where applicable, neighbouring linked buildings such as 10 Artillery Row.</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Communal plant at 8AR includes, among other things, comfort-cooling equipment (dry coolers, chillers, pumps and associated BMS controls), the main low-voltage electrical intake and distribution, communal water boosters, and a central plant room designed under the planning energy strategy to include a combined heat and power (CHP) unit. The building also has a concierge/estate-office function, CCTV and an access/door-entry system. The concierge service currently operates Monday to Friday 8am–5pm and Saturdays 9am–1pm.</w:t>
      </w:r>
      <w:r>
        <w:rPr>
          <w:rFonts w:ascii="Times New Roman" w:hAnsi="Times New Roman" w:cs="Times New Roman"/>
          <w:sz w:val="24"/>
          <w:sz-cs w:val="24"/>
        </w:rPr>
        <w:t xml:space="preserve"/>
      </w:r>
    </w:p>
    <w:p>
      <w:pPr>
        <w:jc w:val="both"/>
        <w:spacing w:before="100" w:after="240"/>
      </w:pPr>
      <w:r>
        <w:rPr>
          <w:rFonts w:ascii="Times New Roman" w:hAnsi="Times New Roman" w:cs="Times New Roman"/>
          <w:sz w:val="24"/>
          <w:sz-cs w:val="24"/>
        </w:rPr>
        <w:t xml:space="preserve">D. HIGH-LEVEL SUMMARY OF OUR CONCERNS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Over a number of years residents have faced increasing service charges without adequate explanation, against a background of cooling systems that frequently did not work properly, very high communal electricity and gas bills, and incomplete or inconsistent responses to reasonable questions. Exhibit KH1 page 557 shows the increase in service-charge costs over time. In outline, the main areas of concern are: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Communal electricity – extremely high invoices, frequent re-bills and credit notes, unclear validation, opaque MOP meter readings, late-payment charges, and strong evidence that the main landlord meter is recording more than purely communal load (Section H).</w:t>
      </w:r>
      <w:r>
        <w:rPr>
          <w:rFonts w:ascii="Times New Roman" w:hAnsi="Times New Roman" w:cs="Times New Roman"/>
          <w:sz w:val="24"/>
          <w:sz-cs w:val="24"/>
        </w:rPr>
        <w:t xml:space="preserve"/>
      </w:r>
    </w:p>
    <w:p>
      <w:pPr>
        <w:numPr>
          <w:ilvl w:val="0"/>
          <w:numId w:val="1"/>
        </w:numPr>
        <w:jc w:val="both"/>
        <w:ind w:left="480"/>
        <w:spacing w:before="100" w:after="240"/>
      </w:pPr>
      <w:r>
        <w:rPr>
          <w:rFonts w:ascii="Times New Roman" w:hAnsi="Times New Roman" w:cs="Times New Roman"/>
          <w:sz w:val="24"/>
          <w:sz-cs w:val="24"/>
        </w:rPr>
        <w:t xml:space="preserve">Heat and cooling – Clever Energy tariffs for heating and hot water that materially exceed the Respondent’s underlying gas costs, together with comfort-cooling standing charges that have increased steeply even when cooling has at times been unavailable (Section I).</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HIU/FCU servicing – charges for in-flat heat interface units and fan-coil units (which the leases treat as demised) being run through the communal accounts, duplication across budget headings, and lack of proper section 20 consultation over any long-term servicing arrangements (Section J).</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Insurance – lack of transparency over how premiums are allocated between 8AR, 10 Artillery Row and the café unit; addition of terrorism and engineering cover without clear notification; and incomplete disclosure of broker and freeholder remuneration (Section K).</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Accounts and statements – in particular, the failure to provide a proper year-end Building Service Charge statement for 2022 with the balancing demand, despite that account being in credit, and ongoing refusals to disclose income receivables and credits (Section L).</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Reserves and banking of service-charge monies – insufficient evidence that reserve and sinking funds are being held and managed in line with best practice, and lack of clear ledgers (Section M).</w:t>
      </w:r>
      <w:r>
        <w:rPr>
          <w:rFonts w:ascii="Times New Roman" w:hAnsi="Times New Roman" w:cs="Times New Roman"/>
          <w:sz w:val="24"/>
          <w:sz-cs w:val="24"/>
        </w:rPr>
        <w:t xml:space="preserve"/>
      </w:r>
    </w:p>
    <w:p>
      <w:pPr>
        <w:numPr>
          <w:ilvl w:val="0"/>
          <w:numId w:val="1"/>
        </w:numPr>
        <w:jc w:val="both"/>
        <w:ind w:left="480"/>
        <w:spacing w:before="100" w:after="240"/>
      </w:pPr>
      <w:r>
        <w:rPr>
          <w:rFonts w:ascii="Times New Roman" w:hAnsi="Times New Roman" w:cs="Times New Roman"/>
          <w:sz w:val="24"/>
          <w:sz-cs w:val="24"/>
        </w:rPr>
        <w:t xml:space="preserve">Compliance with the original planning/energy strategy – apparent non-operation of the CHP for many years, contrary to the approved energy strategy and to the legitimate expectations of leaseholders who purchased on the basis of an efficient communal system (Section N).</w:t>
      </w:r>
      <w:r>
        <w:rPr>
          <w:rFonts w:ascii="Times New Roman" w:hAnsi="Times New Roman" w:cs="Times New Roman"/>
          <w:sz w:val="24"/>
          <w:sz-cs w:val="24"/>
        </w:rPr>
        <w:t xml:space="preserve"/>
      </w:r>
    </w:p>
    <w:p>
      <w:pPr>
        <w:numPr>
          <w:ilvl w:val="0"/>
          <w:numId w:val="1"/>
        </w:numPr>
      </w:pPr>
      <w:pPr>
        <w:numPr>
          <w:ilvl w:val="0"/>
          <w:numId w:val="1"/>
        </w:numPr>
        <w:jc w:val="both"/>
        <w:spacing w:before="100" w:after="240"/>
      </w:pPr>
      <w:r>
        <w:rPr>
          <w:rFonts w:ascii="Times New Roman" w:hAnsi="Times New Roman" w:cs="Times New Roman"/>
          <w:sz w:val="24"/>
          <w:sz-cs w:val="24"/>
        </w:rPr>
        <w:t xml:space="preserve">E. FORMATION OF THE RESIDENTS’ ASSOCIATION AND EXPERIENCE WITH Y&amp;Y</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When concerns first arose, the Respondent and Y&amp;Y did not facilitate residents’ attempts to organise collectively. They refused to disclose contact details for other leaseholders or to forward Residents’ Association communications, citing GDPR, which forced us into a protracted process of identifying and contacting fellow leaseholders individually before 13 of us could coordinate an application to this Tribunal for recognition of our Association. Even now we do not hold contact details for many leaseholders.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initially refused to recognise 8ARRA, relying on outdated legal points. It was only after the Tribunal indicated that, if necessary, it would rule on recognition that the Respondent backed down and accepted 8ARRA as a recognised association.</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Direct approaches to the freeholder and its representatives were, for many years, either ignored or acknowledged only after long delay. In practice, we dealt almost exclusively with Y&amp;Y as managing agent and, more recently, with Mr Richard Simmons as Avon’s representative. Even then, substantive engagement typically occurred only once tribunal proceedings were underway.</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 similar pattern has emerged on cladding and fire-safety issues. It took approximately four years of sustained effort by leaseholders before a remediation application to this Tribunal finally prompted meaningful movement, only for it to emerge during those proceedings that the project remained at a very early stage. In my experience, without tribunal pressure, substantive progress on major issues is rarely achieved.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By contrast, where we have sought to assist on smaller, non-contentious matters (for example, modest improvements to the entrance-lobby décor), the Respondent has eventually acted. That experience reinforces the impression that it is primarily on matters affecting the Respondent’s financial interests (energy charges, plant, insurance and similar items) that cooperation is resisted.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On communal electricity, we repeatedly warned that the charges were abnormal. A professional landlord with a portfolio of around 177 properties and over 200 MPANs, supported by a specialist bill-validation service, should have identified that 8AR’s reported communal usage (around 240,000 kWh per year) was closer to a medium-sized industrial load than to a 22-flat block. We invited the Respondent to commission an electrical survey at the building’s expense; they refused. Ultimately, 15 Applicants funded the survey themselves at a cost of almost £7,000. The survey has now confirmed that genuine communal load is likely to be only a fraction of what has been charged.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my experience, the Respondent’s pattern of delayed, partial and sometimes misleading responses, combined with its reluctance to commission obvious investigations (such as the electrical survey and proper pump diagnostics), has made it extremely difficult for leaseholders to verify whether charges are reasonable and has led to additional repair and maintenance costs. This history is important context for the Tribunal when assessing both the reliability of the Respondent’s evidence and the reasonableness of the costs claimed.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the sections that follow I address each disputed subject in turn, explain the calculations the Applicants have carried out, and identify the specific reductions and credits we ask the Tribunal to order in respect of the 2017–2024 service-charge years.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HEAT AND HOT WATER – CLEVER ENERGY TARIFFS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8 Artillery Row is served by a communal heating and hot-water system located in the plant room. Heat is generated centrally and distributed via a communal network to each flat and to the ground-floor commercial unit. Residents do not have individual gas boilers; instead, they are billed for heat and hot water by Clever Energy Limited (“Clever Energy”) on behalf of the Respondent.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has not provided a copy of the Clever Energy contract for 8 Artillery Row. However, from a Clever Energy services agreement obtained for another Avon estate, “The Loxfords” (Exhibit KH2 p.558 - 589) I understand that Clever Energy acts purely as a billing and data-services agent, and that the freeholder, Avon, remains the “energy company” and principal. Under that agreement, Clever Energy collects payments from residents, holds those sums on trust for Avon, and issues monthly reconciliation reports comparing monies collected against the actual costs incurred by Avon in supplying heat and hot water. In addition, I spoke by telephone with Jonathan Nadin, Managing Director of Clever Energy, on 18 June 2025 at 13:17. My note of that call is at Exhibit KH2 p.590-592. Mr Nadin confirmed that Clever Energy applies an “efficiency factor” to convert raw gas costs into billed heat costs, and that they work to contracted rates and budget figures provided by the customer when calculating usage and tariffs.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Loxfords agreement also states at 2.4 that, within fourteen business days of the end of each month, Clever Energy must issue a report to the customer reconciling payments collected from the “units” against the actual costs incurred by the customer in supplying heat and water. At paragraph 2.7 of Appendix 2,  it states that by the 20th of each month, Clever Energy must provide a “Customer Report” summarising aggregate consumption, billing, payments collected, arrears, meter exceptions and resident complaints (Exhibit KH2 page 580). This shows that Avon should, in practice, hold clear monthly records of total income from residents and total underlying heat costs.</w:t>
      </w:r>
      <w:r>
        <w:rPr>
          <w:rFonts w:ascii="Times New Roman" w:hAnsi="Times New Roman" w:cs="Times New Roman"/>
          <w:sz w:val="24"/>
          <w:sz-cs w:val="24"/>
        </w:rPr>
        <w:t xml:space="preserve"/>
      </w:r>
    </w:p>
    <w:p>
      <w:pPr>
        <w:numPr>
          <w:ilvl w:val="0"/>
          <w:numId w:val="1"/>
        </w:numPr>
        <w:jc w:val="both"/>
        <w:ind w:left="480"/>
        <w:spacing w:before="100" w:after="240"/>
      </w:pPr>
      <w:r>
        <w:rPr>
          <w:rFonts w:ascii="Times New Roman" w:hAnsi="Times New Roman" w:cs="Times New Roman"/>
          <w:sz w:val="24"/>
          <w:sz-cs w:val="24"/>
        </w:rPr>
        <w:t xml:space="preserve">Despite repeated requests, the Respondent has not disclosed any such monthly reconciliation reports or Customer Reports for 8 Artillery Row. For more than two years our questions were simply ignored (Exhibit KH2 pages 328, 339, 648). More recently we were told that Avon would liaise with Clever Energy to obtain the information, but nothing has been produced (exhibit KH2 pages 1043-1054). This is information which should already be in Avon’s possession, because Clever Energy is contractually bound to provide reconciliation accounts each month .</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This stance sits uneasily with the Clever Energy contract itself. Clause 2.4 requires Clever Energy to issue monthly reports reconciling payments collected from the units against the actual costs incurred by the customer (Avon) in supplying heat and water. The required Customer Reports must include aggregate resident consumption, billing and payment collection, and lists of arrears and exceptions. Those documents would allow Avon to see, at a glance, total income from residents versus total underlying heat costs. Their absence from disclosure is therefore highly significant.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same agreement makes clear that Clever Energy “takes no responsibility for the tariff being compliant with legislative and regulatory requirements (including landlord and tenant legislation)” and that Avon “must satisfy itself” on those matters. Clever Energy is therefore contractually Avon’s agent, paid a fixed per-flat fee and other charges, and expressly disclaims responsibility for compliance with landlord and tenant law. It is Avon which owns and controls tariff decisions and which must justify them to this Tribunal under sections 19 and 27A of the Landlord and Tenant Act 1985.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Avon has also refused to provide the corresponding “income receivables” schedules, citing GDPR and referring to sections 21 and 22 of the Landlord and Tenant Act 1985, even though those provisions do not prohibit such disclosure. Instead, Avon directs us to the single summary total shown in the annual accounts. Leaseholders – and the Tribunal – are effectively asked to trust that figure without any transparency. This makes it extremely difficult to compare total income from residents with Avon’s actual costs of gas and plant operation. (Exhibit KH2 page 614)</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Clever Energy’s letters of 12 December 2017 to residents set out the unit tariffs to be applied for heating and hot water in 2018. The letter states that the tariff will be 11.053 p/kWh with a standing charge of 5 pence per day per flat. In fact, Clever Energy invoices for 2018 show a rate of 7.90 p/kWh and a standing charge of 38 pence per day. I say that these letters are not reliable and that charges appear to be calculated without proper linkage to energy costs. (Exhibit KH2 p.618-620)</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Clever Energy’s own documentation (Exhibit KH2 page 335) uses a “typical” annual usage of 3,200 kWh as an example, with a heat tariff of around 14.5 p/kWh. On that basis, residents are being charged for heat at roughly 3.6–3.7 times the underlying gas unit rate actually paid by the Respondent for the corresponding period, as set out below.</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have prepared a spreadsheet (Exhibit KH2 page 621), based on disclosed documents and government data, comparing (a) market energy prices, (b) the rates contracted by Avon, and (c) the tariffs charged to leaseholders. By way of example, a British Gas invoice for the whole building’s gas supply for 1 February 2023–31 March 2023 shows that Avon (via Triplerose Limited) was charged a unit rate of 3.885 p/kWh plus a standing charge of 752 pence per day (Exhibit KH2 pages 622-623). In the same year, leaseholders were paying 15.42 p/kWh and a combined daily standing charge of £21.12. On those figures, Avon is recovering around 3.6 times its gas unit rate and more than three times its building standing charge through Clever Energy tariffs.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order to understand the true scale of the heating and hot-water income, I repeatedly asked the Respondent for a simple annual reconciliation showing (a) the total sums billed and collected by Clever Energy from all 22 flats and (b) the sums credited to Avon or to the service-charge accounts. No such reconciliation has been provided. Instead, following Avon’s request to Clever Energy, I was sent more than 1,200 individual tenant invoices for the period 2017–2025, with no summary schedule or explanation.</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have done my best to collate those invoices into a spreadsheet, but they are plainly incomplete and the exercise has taken an unreasonable amount of time. Clever Energy has only disclosed invoices for a subset of flats and, in some years, there are obvious gaps in the invoice sequences. Where data is missing, I have therefore had to work on reasonable averages and extrapolations across the building, as shown in Exhibit KH2 pages 624-644. The conclusions I draw about over-recovery are conservative; the true figures are likely to be higher once all invoices and credits are taken into account.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Using that data, as per this exhibit, it sets out our calculation of what leaseholders have paid in heating and hot-water costs, what the freeholder has paid to its gas suppliers in providing those services, and the resulting amounts we believe have been over-recovered by Avon through the Clever Energy tariffs.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also attach the developer’s Energy Performance Certificate for Apartment 101 (Exhibit KH2 pages 645-647). It estimates the cost of heating and hot water for three years at a total of £1,458, which equates to approximately £40.50 per month for a two-bedroom flat in this building, with the plant operating as designed and without any components switched off. In reality, leaseholders are paying up to three times that amount.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Clever Energy has provided only partial billing data: invoices for the flats which are parties to these proceedings. Even from this incomplete disclosure, my rough calculations show what the 15 Applicant leaseholders are collectively paying per year for heating and hot water, compared with their pro-rata share of the building’s yearly gas bill. Because we have invoices for only 15 flats, we have had to calculate a pro-quota figure for actual gas costs. The true total billed to all flats must be higher, as no Clever Energy invoices have been disclosed at all for the remaining seven flats, despite repeated requests in the Scott Schedule and further emails to the Respondent’s representative (Exhibit KH2 pages 648-655).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For the record, the service-charge accounts include separate line items for plant-room and heating-system breakdowns, repairs and component replacements. There is no evidence that any of these costs are passed through the Clever Energy bills. All such costs appear to be charged through the service-charge accounts, so Clever Energy’s bills should reflect gas costs plus the billing fee only. Any attempt to recover plant failures both via service charges and via tariffs would amount to double charging.</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must also raise the very high gas unit rate agreed by the Respondent in the Crown Gas &amp; Power contract entered into around September 2024. Under that contract, the building is charged 6.753 pence per kWh at a time when published wholesale “spot” prices for gas were approximately 4.49 pence per kWh (Exhibit KH2 pages 656 - 680). The Respondent has not provided any tendering documents, record of a competitive procurement, or alternative quotes, despite the Crown account being classified as a “large business” customer with annual consumption exceeding 23 million kWh. In my submission, a landlord purchasing gas at this scale ought to be able to secure competitive rates; if it fails to do so, any excessive cost arising from poorly tendered or uncompetitive contracts should not simply be passed to leaseholders as “reasonably incurred” service-charge expenditure under section 19 of the Landlord and Tenant Act 1985.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 draw to the Tribunal attention the same Crown Gas contract at Section 11, which explains how commissions are included in the rate as a result of an uplift in the rate and standing charge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a letter dated 7 October 2025 disclosed by the Respondent (Exhibit KH2 pages 681-683), Mr Paul Simpson of Clever Energy wrote to Avon “in support of the action raised by the tenants of 8 Artillery Row”. He asserts that gas prices have increased from about 1 p/kWh to 5–6 p/kWh, “peaking at around 12 p/kWh”, and refers to high wholesale volatility. However, the British Gas invoice for February–March 2023 shows that Avon was paying 3.885 p/kWh during that period, and the government quarterly gas price data at Exhibit KH2 p.12 do not show any period when typical prices reached 12 p/kWh.</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Mr Simpson’s letter also states, at paragraph 9, that “Clever Energy Cooling – standing charges are shown on the monthly tenant invoices… The standing charge is applied by the supplier and must be passed on to tenants whether they use the cooling or not. There is no credit, it pays the supplier bill otherwise the freeholder would not collect sufficient funds and need to add the shortfall to the service charge.”</w:t>
      </w:r>
      <w:r>
        <w:rPr>
          <w:rFonts w:ascii="Times New Roman" w:hAnsi="Times New Roman" w:cs="Times New Roman"/>
          <w:sz w:val="24"/>
          <w:sz-cs w:val="24"/>
        </w:rPr>
        <w:t xml:space="preserve"/>
      </w:r>
    </w:p>
    <w:p>
      <w:pPr>
        <w:numPr>
          <w:ilvl w:val="0"/>
          <w:numId w:val="1"/>
        </w:numPr>
      </w:pPr>
      <w:pPr>
        <w:jc w:val="both"/>
        <w:ind w:left="480"/>
        <w:spacing w:before="100" w:after="240"/>
      </w:pPr>
      <w:r>
        <w:rPr>
          <w:rFonts w:ascii="Times New Roman" w:hAnsi="Times New Roman" w:cs="Times New Roman"/>
          <w:sz w:val="24"/>
          <w:sz-cs w:val="24"/>
        </w:rPr>
        <w:t xml:space="preserve">By contrast, in the Respondent’s Statement of Case (Exhibit KH2 pages 684-690), at paragraph 17, their solicitors state that “the standard charge for cooling is billed by the billing agents and then sums collected are credited to the service charge.” These two positions cannot both be true. Either the cooling standing charges are retained to meet a separate supplier bill (for which no evidence has been supplied) or they are credited back through the service charge (again with no evidence). This inconsistency undermines the reliability of the Respondent’s explanation and suggests that residents may again be exposed to double recovery between cooling standing charges and communal electricity costs.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Cooling standing charges have also been levied in periods when cooling was not available in practice. The building has experienced prolonged periods with no chilled-water flow and no heating and hot water, and building-management-system (BMS) records show chiller faults and high temperatures during hot weather. Nevertheless, Clever Energy invoices continued to include cooling standing charges.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his email dated 2 March 2023 (Exhibit KH2 pages 340-345), Richard Simmons of Avon responds to detailed questions from the Residents’ Association. He asserts that the cost of gas to Avon is 10 p/kWh  and seeks to justify the tariffs by reference to market conditions and the war in Ukraine. Mr Simmonds has misinformed us, the 10 p/kwh is not true.  The British Gas invoice to the Respondent for that same month is 3.885 p/kWh and the same rate is shown on the contract too (Exhibit KH2 pages 167-168).</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the same email, Mr Simmons confirms that the cost of billing services provided by Clever Energy is 23 pence per day per flat (equating to £83.95 per year), which is charged directly to leaseholders as part of the heat billing. This is a pure administration/billing fee, separate from gas cost, and we accept it as a genuine cost of providing the service. Our calculations have taken this fee into account.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Residents’ Association has explicitly raised the concern that Avon is retaining the substantial margin between its actual gas costs and the higher tariffs charged to residents. In his emails, Mr Simmons does not deny that Avon keeps the difference. He confirms only that no other party shares in the sums charged by Clever Energy, and instead focuses on wholesale prices and broker commissions without offering any reconciliation to show that the tariffs represent cost recovery rather than profit.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Mr Simmons also refers in that email (Exhibits KH2 page 344) to a “spot price” for gas of 23 p/kWh and praises the landlord’s “foresight” in securing “competitive rates”. Government data for the relevant quarter indicate that typical prices were around 6.96 p/kWh. This reinforces the impression that the Respondent has overstated market prices and understated the disparity between what Avon pays and what it recovers from leaseholders.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an email chain dated 10–22 January 2018 about my own Clever Energy bill, I raised concerns about possible overcharging and asked for a clear explanation of how the 9.5p/kWh tariff had been calculated (exhibit KH2 pages 1022-1027). In his reply of 11 January 2018, Mr Adam Azoulay stated that “Clever Energy then take the amount we get charged for the gas, and re-charge this out to residents based on their consumption at the rate which will then give you your actual bill.” By contrast, in his email of 22 January 2018, Mr Martin Kloos, Operations Manager at Clever Energy, explained that the gas rate for Artillery Row was 3.77p/kWh and that Clever Energy had calculated an “efficiency” of just under 40%; dividing 3.77p by an efficiency of 39.7% produced the resident tariff of 9.5p/kWh.  These two explanations are inconsistent: Mr Azoulay presents the tariff as a straightforward pass-through of the gas cost, whereas Mr Kloos confirms that a very low efficiency factor is applied which uplifts the gas unit rate by around two-and-a-half times. I say this inconsistency illustrates both the lack of transparency and the extent of the hidden margin embedded in the Clever Energy tariffs.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color w:val="111111"/>
        </w:rPr>
        <w:t xml:space="preserve">That inconsistency is reinforced by Avon’s own welcome letter to occupiers dated 23 June 2017 (exhibit KH2 pages 1028-1029). In that letter, Avon states that it “purchase[s] the gas for the centralised boiler” and that it “need[s] to recover the cost of that gas” from flats, describing the Clever Energy arrangement as a means of billing each flat “transparently and fairly” for the hot water used.  There is no suggestion in that letter that residents would be charged by reference to a notional or fluctuating “efficiency rate”, or that any margin would be added above the landlord’s actual gas cost. In my submission, this supports the view that only the true cost of gas (plus a reasonable billing/admin fee) should be recoverable, and that the later reliance on an opaque “efficiency” percentage, in correspondence from Mr Simmons in 2023 and 2025, is inconsistent with the position originally presented to residents.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their Statement of Case and in Mr Simpson’s letter of 7 October 2025, the Respondent presents Clever Energy as if it were an independent expert validating the overall level of energy costs at 8 Artillery Row. I say this evidence must be treated with considerable caution. Clever Energy is simply a billing company. It has no regulatory function, no independent mandate to opine on what is reasonable under landlord and tenant legislation, and only limited visibility of Avon’s wider service-charge structure, energy sourcing, plant-room repairs and other items that are separately recovered from residents.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communal plant at 8 Artillery Row includes a Combined Heat and Power (“CHP”) unit, designed to generate electricity for the building while producing useful heat as a by-product. The planning documents and energy strategy for the development assumed that the CHP would operate, with an overall efficiency of around 98%, and that the heat generated would reduce residents’ heating and hot-water costs. I will address the planning aspects separately, but it is relevant to this section.</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practice, the CHP unit has been kept switched off and, so far as I am aware, has not operated since Y&amp;Y took over the freehold management. The last known maintenance record is an Acorn invoice dated 20 January 2017 for £4,367, which appears shortly after Avon acquired the property. This shows that Avon knew of the CHP’s existence and authorised maintenance visits, but then chose to switch it off and cease maintaining it. Avon and Clever Energy now rely on very low “network efficiency” figures (quoted as low as 25–40%) to justify higher tariffs. That is the opposite of what was envisaged at design stage. If the CHP is not used, the system cannot operate at the design efficiency, and this may also increase wear and maintenance costs on the remaining boilers and pumps.</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I say it is not reasonable for Avon to rely on artificially low “efficiency” figures of its own making (by not operating the CHP as designed) to justify charging residents three to four times the underlying gas cost. The “cost” of energy for Avon is the price it actually pays its gas supplier, not an inflated figure derived from an internal “efficiency” metric.</w:t>
      </w:r>
      <w:r>
        <w:rPr>
          <w:rFonts w:ascii="Times New Roman" w:hAnsi="Times New Roman" w:cs="Times New Roman"/>
          <w:sz w:val="24"/>
          <w:sz-cs w:val="24"/>
        </w:rPr>
        <w:t xml:space="preserve"/>
      </w:r>
    </w:p>
    <w:p>
      <w:pPr>
        <w:numPr>
          <w:ilvl w:val="0"/>
          <w:numId w:val="1"/>
        </w:numPr>
      </w:pPr>
      <w:pPr>
        <w:jc w:val="both"/>
        <w:ind w:left="480"/>
        <w:spacing w:before="100" w:after="240"/>
      </w:pPr>
      <w:r>
        <w:rPr>
          <w:rFonts w:ascii="Times New Roman" w:hAnsi="Times New Roman" w:cs="Times New Roman"/>
          <w:sz w:val="24"/>
          <w:sz-cs w:val="24"/>
        </w:rPr>
        <w:t xml:space="preserve">Furthermore, efficiency rate is an engineering concept, not a cost. It is a snapshot calculation that changes constantly depending on usage, outside temperature and other variables. It is a metric used to portray how effectively a system operates, not the cost of providing energy. It should never be used as the primary basis for calculating what residents must pay for heating. The cost of heating is a known quantum: the gas bill that the freeholder pays, plus reasonable plant-operation and billing costs.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It is also my evidence that the plant room – including pumps, boilers, expansion vessels, CHP and associated heating and cooling equipment – forms part of the “Building” and “Common Parts” as defined in the leases. These systems supply heating, hot water and mechanical services to the building as a whole, including the ground-floor retail unit. I address this in more detail under a separate heading.</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Supplier online databases show that the retail unit at 8 Artillery Row does not have its own separate gas meter, although it does have its own electricity supply (Exhibit KH2 pages 901-902). In my experience, it would make no practical sense for the retail unit to operate an entirely separate gas-fired plant when a communal plant already exists. I therefore believe the retail unit is supplied with heating and/or hot water from the same plant room as the flats. The Respondent has never confirmed the position. Our overcharge calculations have not taken into account any sums that the retail space ought to contribute towards the cost of heat and hot water.</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Under clause 3.2 of the leases, the landlord covenants to repair and maintain the Building and Common Parts, which necessarily includes the plant room and all communal mechanical and electrical equipment.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Clause 4 of the leases requires that service-charge expenditure be apportioned so that each class of premises pays its proper share. Clause 4.2.9 provides that any sums recovered from other parts of the Building – including the retail unit – must be credited to the expenditure before the residential proportion is calculated.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Accordingly, plant-room repairs, maintenance and replacement costs are not costs which the landlord is entitled to charge exclusively to residential leaseholders. They are building-wide expenses that must be shared with the retail unit, as a direct beneficiary of the central systems. The fact that plant-room costs are apportioned to the retail space in some accounts supports this.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Under section 19 of the Landlord and Tenant Act 1985, service charges are only recoverable “to the extent that they are reasonably incurred” and only if works and services are of a reasonable standard. Any profit margin or duplicated cost – for example, recovering plant-room expenditure both through Clever Energy tariffs and again through the service charge – is not a recoverable “relevant cost”.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Section 27A of the 1985 Act gives this Tribunal jurisdiction to determine whether a service charge is payable and, if so, in what amount and by whom. I invite the Tribunal to exercise that jurisdiction in relation to the communal gas, heating, hot-water and cooling charges at 8 Artillery Row.</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I also understand that, under the Heat Network (Metering and Billing) Regulations 2014, the freeholder is treated as the “heat supplier” where it operates a communal heat network and bills the final customers (leaseholders). Where meters are fitted, bills must be based on actual consumption, and the supplier’s costs of providing bills and billing information may only be passed on at cost, with no profit element.</w:t>
      </w:r>
      <w:r>
        <w:rPr>
          <w:rFonts w:ascii="Times New Roman" w:hAnsi="Times New Roman" w:cs="Times New Roman"/>
          <w:sz w:val="24"/>
          <w:sz-cs w:val="24"/>
        </w:rPr>
        <w:t xml:space="preserve"/>
      </w:r>
    </w:p>
    <w:p>
      <w:pPr>
        <w:numPr>
          <w:ilvl w:val="0"/>
          <w:numId w:val="1"/>
        </w:numPr>
      </w:pPr>
      <w:pPr>
        <w:jc w:val="both"/>
        <w:ind w:left="480"/>
        <w:spacing w:before="100" w:after="240"/>
      </w:pPr>
      <w:r>
        <w:rPr>
          <w:rFonts w:ascii="Times New Roman" w:hAnsi="Times New Roman" w:cs="Times New Roman"/>
          <w:sz w:val="24"/>
          <w:sz-cs w:val="24"/>
        </w:rPr>
        <w:t xml:space="preserve">In my view, the current arrangements at 8 Artillery Row do not comply with those principles. The tariffs bear no transparent relationship to the actual gas costs; there is a substantial unexplained margin; billing and admin fees are layered on top of existing management fees; and key reconciliation documents have been withheld.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light of the above, I invite the Tribunal to:</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 determine whether the tariffs and standing charges imposed on residents represent a reasonable recovery of Avon’s actual costs of fuel, plant operation and necessary administration, or whether Avon has been making an unlawful profit. To assist, I attach a spreadsheet calculation at Exhibit [ ] showing our workings;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(b) disallow, under section 19 of the Landlord and Tenant Act 1985, any element of the heating, hot-water and cooling charges that exceeds Avon’s proved actual costs of supply and reasonable plant operation, including any duplicated maintenance or administration costs; and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 direct that any over-recovery or profit element identified in relation to communal heating, hot water and cooling be credited back to leaseholders through the service-charge accounts or otherwise refunded.</w:t>
      </w:r>
      <w:r>
        <w:rPr>
          <w:rFonts w:ascii="Times New Roman" w:hAnsi="Times New Roman" w:cs="Times New Roman"/>
          <w:sz w:val="24"/>
          <w:sz-cs w:val="24"/>
        </w:rPr>
        <w:t xml:space="preserve"/>
      </w:r>
    </w:p>
    <w:p>
      <w:pPr>
        <w:numPr>
          <w:ilvl w:val="0"/>
          <w:numId w:val="1"/>
        </w:numPr>
        <w:jc w:val="both"/>
        <w:ind w:left="480"/>
        <w:spacing w:before="100" w:after="240"/>
      </w:pPr>
      <w:r>
        <w:rPr>
          <w:rFonts w:ascii="Times New Roman" w:hAnsi="Times New Roman" w:cs="Times New Roman"/>
          <w:sz w:val="24"/>
          <w:sz-cs w:val="24"/>
        </w:rPr>
        <w:t xml:space="preserve">Taken together, the Respondent’s conduct in (a) refusing to provide straightforward building-level income and credit schedules, (b) resisting disclosure of the monthly Clever Energy reconciliation statements to which it is contractually entitled, (c) limiting gas-cost disclosure to only two years, and (d) seeking to rely on its own billing agent as though it were an independent expert, has made it unnecessarily difficult for leaseholders to analyse whether the communal heating and cooling charges are reasonable. I invite the Tribunal to draw an adverse inference from these omissions and to scrutinise particularly carefully any claimed alignment between what Avon actually pays for gas and plant operation and what it recovers from leaseholders through Clever Energy tariffs and the service charge</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b/>
        </w:rPr>
        <w:t xml:space="preserve">ELECTRICITY CHARGES - COMMUNAL</w:t>
      </w:r>
      <w:r>
        <w:rPr>
          <w:rFonts w:ascii="Times New Roman" w:hAnsi="Times New Roman" w:cs="Times New Roman"/>
          <w:sz w:val="24"/>
          <w:sz-cs w:val="24"/>
        </w:rPr>
        <w:t xml:space="preserve"/>
      </w:r>
    </w:p>
    <w:p>
      <w:pPr>
        <w:numPr>
          <w:ilvl w:val="0"/>
          <w:numId w:val="1"/>
        </w:numPr>
        <w:jc w:val="both"/>
        <w:ind w:left="480"/>
        <w:spacing w:before="100" w:after="240"/>
      </w:pPr>
      <w:r>
        <w:rPr>
          <w:rFonts w:ascii="Times New Roman" w:hAnsi="Times New Roman" w:cs="Times New Roman"/>
          <w:sz w:val="24"/>
          <w:sz-cs w:val="24"/>
        </w:rPr>
        <w:t xml:space="preserve">This section concerns the communal electricity arrangements at 8 Artillery Row: the metering configuration, the role of the Meter Operator (“MOP”), the supplier contracts entered into by the Respondent, and the very high electricity charges that have been passed on to leaseholders via the service charge.</w:t>
      </w:r>
      <w:r>
        <w:rPr>
          <w:rFonts w:ascii="Times New Roman" w:hAnsi="Times New Roman" w:cs="Times New Roman"/>
          <w:sz w:val="24"/>
          <w:sz-cs w:val="24"/>
        </w:rPr>
        <w:t xml:space="preserve"/>
      </w:r>
    </w:p>
    <w:p>
      <w:pPr>
        <w:numPr>
          <w:ilvl w:val="0"/>
          <w:numId w:val="1"/>
        </w:numPr>
      </w:pPr>
      <w:pPr>
        <w:numPr>
          <w:ilvl w:val="0"/>
          <w:numId w:val="1"/>
        </w:numPr>
        <w:jc w:val="both"/>
        <w:ind w:left="480"/>
        <w:spacing w:before="100" w:after="240"/>
      </w:pPr>
      <w:r>
        <w:rPr>
          <w:rFonts w:ascii="Times New Roman" w:hAnsi="Times New Roman" w:cs="Times New Roman"/>
          <w:sz w:val="24"/>
          <w:sz-cs w:val="24"/>
        </w:rPr>
        <w:t xml:space="preserve">To assist the Tribunal, I rely in particular on a graph showing the increase in electricity costs over time and a schedule comparing government data on historic non-domestic electricity prices with the rates actually secured by the Respondent for 8 Artillery Row (exhibit KH2 page 691-695)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Metering configuration and the “landlord” meter</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building has a main incoming three-phase supply and a series of sub-mains and distribution boards serving the apartments, plant room, dry coolers, chillers, pumps, lifts, landlord lighting, concierge and other communal systems. On a three-phase system, consumption is measured via three current transformer (“CT”) clamps.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CT clamp is a device used to measure electrical current on large power cables without cutting or interrupting them. It is a ring-shaped transformer clipped around a live conductor; the magnetic field produced by the current in the cable induces a much smaller proportional current in the secondary winding of the CT. That secondary current is then fed into the meter, which converts it (together with measured voltage and time) into kWh consumption. In simple terms: the main cable carries the “real” load, and the CT clamp acts as a scaled-down copy of that current for the meter to read.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As shown at exhibit (exhibit KH2 page 696), in one corner of the car park there is the main incoming cable from the transformer chamber (operated by UK Power Networks), where the supplier’s main meter for MPAN 120010050687 is located also shown on a photo exhibit KH2 pages 699, 701 and 702). From there, substantial cables feed a bank of distribution boards on the opposite side of the car park also shown in photos as per exhibit KH2 pages 697,698,700. Those boards include the apartment feeders, each with its own individual MPAN meter for the flats.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From the apartment boards, a further set of three cables feeds the landlord’s distribution board further along the same wall as per photo exhibit KH2 page 708. In this larger cupboard there are several smaller enclosures, one clearly labelled “Landlord Meter” as per photo in exhibit KH2 page 719. Inside that cabinet there are three CT clamps fitted around the three landlord feeder cables, with wiring run directly into the landlord’s meter mounted immediately above. These CTs (exhibit KH2 pages 706, 707, 708, 710, 711, 715, 717, 718 and 720) measure the consumption of the landlord’s distribution board – namely the communal and plant loads (car-park lighting, plant room, chillers, dry coolers, pumps, lifts, etc.). Photographs of this cupboard, distribution board, the cables supplying various landlord equipment, the CT clamps and the associated meter display appear at exhibit (exhibit KH2 pages 703-728).</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other words, there is a dedicated landlord-only metering arrangement located adjacent to the landlord distribution board, using CTs mounted on the landlord feeders and wired directly into the landlord’s meter. If the combined heat and power (“CHP”) unit were operating, any electricity it generated and fed into the landlord distribution board would also be recorded here. This configuration makes technical sense: the landlord meter is co-located with, and directly measures, the landlord’s own distribution board.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By contrast, the supplier’s main meter on MPAN 120010050687 ADD PHOTOS??is located at the opposite end of the car park, physically upstream of the apartment and landlord distribution boards. On any common-sense engineering view, there is no reason why a meter in that location should be treated as measuring exclusively “landlord” consumption when it is positioned before the split between apartment boards and communal boards. No competent electrical engineer would normally design a system where the landlord-only meter is on the far side of the car park, with communal cables criss-crossing back to it, when a dedicated landlord meter and CTs are already installed on the landlord distribution board itself.</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The presence of a dedicated landlord meter and CT clamps on the landlord feeders confirms that there is full technical capacity to distinguish communal/plant consumption from the wider building load. It is therefore neither necessary nor reasonable to treat the main intake meter on MPAN 120010050687 as if all of its kWh were purely “communal” for service-charge purposes.</w:t>
      </w:r>
      <w:r>
        <w:rPr>
          <w:rFonts w:ascii="Times New Roman" w:hAnsi="Times New Roman" w:cs="Times New Roman"/>
          <w:sz w:val="24"/>
          <w:sz-cs w:val="24"/>
        </w:rPr>
        <w:t xml:space="preserve"/>
      </w:r>
    </w:p>
    <w:p>
      <w:pPr>
        <w:numPr>
          <w:ilvl w:val="0"/>
          <w:numId w:val="1"/>
        </w:numPr>
      </w:pPr>
      <w:pPr>
        <w:jc w:val="both"/>
        <w:ind w:left="480"/>
        <w:spacing w:after="240"/>
      </w:pPr>
      <w:r>
        <w:rPr>
          <w:rFonts w:ascii="Times New Roman" w:hAnsi="Times New Roman" w:cs="Times New Roman"/>
          <w:sz w:val="24"/>
          <w:sz-cs w:val="24"/>
        </w:rPr>
        <w:t xml:space="preserve">Supplier contracts and scale of costs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From 2017 onwards the main building-intake supply has been held, in sequence, with: Scottish Power (1 November 2017 – 31 May 2018); Brook Green Trading (1 June 2018 – 30 September 2019); EDF (1 October 2019 – 31 December 2022); Pozitive Energy (1 January 2023 – 4 November 2024); and Digital Power (from 5 November 2024 onwards).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building-level reconciliations for 2023 and 2024 show total electricity costs for the main meter of approximately £178,000 in 2023 (inclusive of the Energy Bill Relief Scheme (“EBRS”) support and before netting off the government subsidy) and £128,000 in 2024. Of the 2023 figure, roughly £97,000 was recharged to leaseholders and approximately £71,000 was met by government subsidy.</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By comparison, the benchmark communal-electricity cost in 2015/2016 was around £11,000 per year, at a time when the same core communal plant (lifts, pumps, chillers, lighting, concierge) was in operation. No significant new communal load has been added since. It is therefore extraordinary that supposed “communal” electricity charges should now be approaching twenty times the 2015/2016 level.</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is an experienced purchaser of electricity. An EDF portfolio contract disclosed for 2020 shows Avon or its associated companies contracting for at least 24 sites in a single tranche, with a combined annual electricity spend of around £73,000 for those 24 sites. In that context, the fact that a single meter at 8 Artillery Row alone was quoted and contracted at approximately £51,000 per year is highly anomalous. The same portfolio documentation and later contracts also show that Avon controls at least 200 MPANs nationally, and so should be fully aware of what constitutes typical consumption and a competitive tariff for a building of this size (exhibit KH2 page 768).</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We also have comparative figures for other Avon/Y&amp;Y-managed blocks in London. 10 Artillery Row, with 11 flats, has communal electricity of around £5,000 per year; “Space Apartments”, with 29 flats, pays roughly £11,000; and “The Loxfords”, with 144 flats, pays about £47,000 annually (including extensive garden lighting). Yet 8 Artillery Row, with 22 flats, has supposed communal electricity being billed at levels over £100,000 per year. On any internal comparison within the Respondent’s own portfolio, 8 Artillery Row is an extreme outlier (exhibit KH2 pages 369-371).</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MOP services, missing data and dual charges</w:t>
      </w:r>
      <w:r>
        <w:rPr>
          <w:rFonts w:ascii="Times New Roman" w:hAnsi="Times New Roman" w:cs="Times New Roman"/>
          <w:sz w:val="24"/>
          <w:sz-cs w:val="24"/>
        </w:rPr>
        <w:t xml:space="preserve"/>
      </w:r>
    </w:p>
    <w:p>
      <w:pPr>
        <w:numPr>
          <w:ilvl w:val="0"/>
          <w:numId w:val="1"/>
        </w:numPr>
        <w:jc w:val="both"/>
        <w:ind w:left="480"/>
        <w:spacing w:after="240"/>
      </w:pPr>
      <w:r>
        <w:rPr>
          <w:rFonts w:ascii="Times New Roman" w:hAnsi="Times New Roman" w:cs="Times New Roman"/>
          <w:sz w:val="24"/>
          <w:sz-cs w:val="24"/>
        </w:rPr>
        <w:t xml:space="preserve">The Respondent says that the “MOP” charge simply comprises “charges raised by the Meter Operators” and relies on the fact that there has been a period of half-hourly (“HH”) metering. However, almost no MOP data has been disclosed for 2017–2022, and only partial MOP and HH data has been produced for 2023–2024 (exhibit KH2 pages 1031-1035). The HH datasets that have been supplied are incomplete, with many days of readings missing, which makes it impossible to reconcile supplier invoices with the actual meter profile. HH metering is now standard for larger non-domestic supplies, yet we have not even been given a complete 12-month dataset. In fact, the Respondent repeatedly confirms in the Scott Schedule for years 2017 to 2022 that meter readings have been enclosed on the statement of case (dated 6 Nov 2025).  When in fact that is not true, with those meter readings showing a incomplete period from 2023 to 2024.</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The 2023 reconciliation shows charges for both “COP5 HH MOP – SMS Energy Services” and “Siemens Comms Link”, indicating that two separate entities are being paid in relation to the same HH supply. The Respondent has not explained why two firms are required, what each of them does, or what overlap exists between their contracts. Both sets of charges are passed directly to leaseholders via the service charge.</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We have repeatedly requested the full MOP contracts, meter technical details, commissioning certificates and complete HH data so that supplier invoices can be reconciled against metered kWh and maximum demand. To date we have not received a complete pack. Without that information it is impossible for the Applicants or the Tribunal to verify the correctness of the large Pozitive and Digital Power invoices.</w:t>
      </w:r>
      <w:r>
        <w:rPr>
          <w:rFonts w:ascii="Times New Roman" w:hAnsi="Times New Roman" w:cs="Times New Roman"/>
          <w:sz w:val="24"/>
          <w:sz-cs w:val="24"/>
        </w:rPr>
        <w:t xml:space="preserve"/>
      </w:r>
    </w:p>
    <w:p>
      <w:pPr>
        <w:numPr>
          <w:ilvl w:val="0"/>
          <w:numId w:val="1"/>
        </w:numPr>
      </w:pPr>
      <w:pPr>
        <w:jc w:val="both"/>
        <w:ind w:left="480"/>
        <w:spacing w:after="240"/>
      </w:pPr>
      <w:r>
        <w:rPr>
          <w:rFonts w:ascii="Times New Roman" w:hAnsi="Times New Roman" w:cs="Times New Roman"/>
          <w:sz w:val="24"/>
          <w:sz-cs w:val="24"/>
        </w:rPr>
        <w:t xml:space="preserve">Accounting evidence and discrepancies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has provided a spreadsheet (exhibit KH2 pages 784-785) purporting to list all electricity invoices for 2023 and 2024. No equivalent invoice-level breakdown has been supplied for earlier years and as a result we are forced to rely on the global totals in the annual accounts.</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I have prepared a parallel spreadsheet which is almost identical to the Respondent’s but with three additional clearly-marked columns and colour-coded months, to assist the Tribunal in following my analysis (exhibit KH2 pages 786-787).</w:t>
      </w:r>
      <w:r>
        <w:rPr>
          <w:rFonts w:ascii="Times New Roman" w:hAnsi="Times New Roman" w:cs="Times New Roman"/>
          <w:sz w:val="24"/>
          <w:sz-cs w:val="24"/>
        </w:rPr>
        <w:t xml:space="preserve"/>
      </w:r>
    </w:p>
    <w:p>
      <w:pPr>
        <w:numPr>
          <w:ilvl w:val="0"/>
          <w:numId w:val="1"/>
        </w:numPr>
      </w:pPr>
      <w:pPr>
        <w:jc w:val="both"/>
        <w:ind w:left="480"/>
        <w:spacing w:after="240"/>
      </w:pPr>
      <w:r>
        <w:rPr>
          <w:rFonts w:ascii="Times New Roman" w:hAnsi="Times New Roman" w:cs="Times New Roman"/>
          <w:sz w:val="24"/>
          <w:sz-cs w:val="24"/>
        </w:rPr>
        <w:t xml:space="preserve">Even for 2024, where invoice-level data is available, the figures do not match. The Respondent’s spreadsheet shows a total of £114,946.38 in electricity invoices for that year, yet the 2024 annual accounts charge leaseholders £128,000 for communal electricity. The Respondent has not explained the £13,000+ discrepancy. This mismatch further undermines confidence in the reliability of the electricity figures being presented.</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Focusing on 2023, Pozitive Energy was the supplier for the entire year. With the exception of February and March, every month’s invoices contain errors, as shown in exhibit KH2 pages 788-833 . January and July invoices are stamped as having “failed” validation but were nonetheless paid. Every monthly invoice other than February and March includes corrections, re-bills or inconsistent readings, yet they were validated and paid.</w:t>
      </w:r>
      <w:r>
        <w:rPr>
          <w:rFonts w:ascii="Times New Roman" w:hAnsi="Times New Roman" w:cs="Times New Roman"/>
          <w:sz w:val="24"/>
          <w:sz-cs w:val="24"/>
        </w:rPr>
        <w:t xml:space="preserve"/>
      </w:r>
    </w:p>
    <w:p>
      <w:pPr>
        <w:numPr>
          <w:ilvl w:val="0"/>
          <w:numId w:val="1"/>
        </w:numPr>
      </w:pPr>
      <w:pPr>
        <w:numPr>
          <w:ilvl w:val="0"/>
          <w:numId w:val="1"/>
        </w:numPr>
        <w:jc w:val="both"/>
        <w:ind w:left="480"/>
        <w:spacing w:after="240"/>
      </w:pPr>
      <w:r>
        <w:rPr>
          <w:rFonts w:ascii="Times New Roman" w:hAnsi="Times New Roman" w:cs="Times New Roman"/>
          <w:sz w:val="24"/>
          <w:sz-cs w:val="24"/>
        </w:rPr>
        <w:t xml:space="preserve">By way of example: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January 2023: the initial invoice shows 21,999 kWh, but the final re-issued invoice for the same period shows 26,576 kWh.</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 May 2023: the readings are consistent across the sequence of invoices, but the final “re-issued” invoice is for a significantly lower sum, without any clear explanation beyond tariff adjustments.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 June 2023: the readings on successive invoices differ by only about 6 kWh, yet the final re-issued invoice is approximately £5,000 lower than the first, solely due to changes in how EBRS and other elements are applied.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Similar patterns recur throughout the year. The invoices and underlying data are not reliable, and because the HH datasets are themselves incomplete, they cannot be confidently cross-checked against the actual metered profile.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For 2023, the Respondent’s own invoice spreadsheet shows total consumption of 253,548 kWh. The EBRS discount was applied at 29.47p per kWh, giving a government subsidy of £74,720. This implies gross electricity bills of approximately £188,720 for the year. For a 22-flat building, that figure is alarming and has caused the Applicants considerable distress.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Pozitive Energy contract was entered into at a unit rate of 62p per kWh. Government data for the relevant quarter when the contract was signed shows average non-domestic electricity prices of around 20.94p per kWh (exhibit KH2 page 36). The Respondent therefore committed leaseholders to a tariff approximately three times the prevailing average rate, without consultation, explanation or evidence of competitive tendering. We also point out that this extreme three-times-market rate applied for 2023, when the EBRS scheme was in place; in other years the contracted rate was also above market, though not by the same factor.</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have prepared a spreadsheet (exhibit KH2 page 37) comparing, year by year, the Respondent’s contracted unit and standing-charge rates with benchmark government data. That schedule also highlights the sharp increase in standing charges from 2023 onwards. We are unable to determine how commissions are paid to brokers because no broker contracts or commission-sharing agreements have been disclosed.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further concern is the misuse of public funds. If, as explained below, the main meter is in fact measuring the whole building rather than just communal load, then the EBRS support of £74,720 for 2023 is based on inflated and mis-allocated consumption. That subsidy was funded by taxpayers at a time of severe post-Covid fiscal pressure.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Evidence that the main MPAN is measuring more than communal load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At the Residents’ Association’s insistence, and at our own cost, we commissioned an independent electrical survey from BMCG and installed monitoring devices in August 2025 at the main intake (MPAN 120010050687) and on the chiller sub-main for a 26-day period. The monitoring report (exhibit KH2 page 320) confirms that, over 26 days, the main intake recorded 15,335.79 kWh. Annualised, this supports a yearly figure in the region of 215,000–220,000 kWh, broadly consistent with the billed 250,000–260,000 kWh once seasonal variation is taken into account.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BMCG titled ‘Electrical Infrastructure Appraisal’ report, on page 9, estimates that the genuine communal load of the landlord distribution board (dry coolers, chillers, pumps, lifts, common lighting, concierge, CCTV, car-park ventilation, etc.) is in the order of 80,000 kWh per year (exhibit KH2 page 842). These calculations were undertaken in July 2025, before we discovered the additional landlord-only meter described below.</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During a visual inspection with our engineers, we discovered, inside a cupboard connected to the landlord’s distribution board, another meter which records what appears to be only the communal-area consumption (i.e. the load of the landlord distribution board itself). Its cumulative total since 2015 is 756,252 kWh, equating to roughly 75,600 kWh per year (exhibit KH2 pages 704, 705, 716).This closely matches the BMCG estimate, even though the BMCG calculations were performed before we found this meter</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Separately, a sample of apartment electricity bill (exhibit KH2 page 846) shows an average usage of approximately 8,000 kWh per flat per year. Across 22 flats, this equates to about 176,000 kWh annually. Furthermore, in exhibit KH2 pages 710 and 713 there are photos of apartment meters supporting an average apartment use of 8,000 kwh per year.</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Taken together, the landlord-only meter (about 75,600 kWh per year) plus the flats’ own consumption (about 176,000 kWh per year) yields approximately 251,600 kWh per year, which is almost identical to the annual total billed to the freeholder under MPAN 120010050687. This strongly suggests that the main supplier meter is effectively measuring the whole-building load, and that the true landlord/communal consumption is only about one-third of what has been charged through the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 25 November 2023 the landlord distribution board in the basement failed, as evidenced by the AAM Maintenance emergency call-out report (exhibit KH2 page 1030)  The engineer records that “the basement landlord DB had no power” and that the MCCB feeding the landlord DB in the main supply board had tripped, leaving all circuits supplied by the landlord DB without power until it was reset and an RCBO was replaced. During the same day, the half-hourly spreadsheet data for MPAN 120010050687 on row 93, shows a normal day, except for a slight drop compared to other days of about 25% drop. Otherwise, a normal consumption day (exhibit KH2 pages 494-499) This is inconsistent with MPAN 120010050687 being a pure landlord/communal supply: if the landlord board was de-energised, a genuine “landlord only” meter would have recorded  zero consumption. The fact that kWh remained at typical levels strongly indicates that MPAN 120010050687 is measuring wider building load – including apartment consumption – and not just the landlord DB.  In my mind, there is no doubt that the meter measuring consumption that the leaseholders were being charged for is the wrong meter and should have never been charged for.</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schematic diagram for the original installation, fixed to the car-park wall, bears little resemblance to the actual wiring now in place (exhibit KH2 pages 1055-1056). On the page 2 of the schematic, the meter MPAN 120010050687 is not referenced at all and it should be situated by the UKPN Chamber where it physically situated now.</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addition, enquiries with the industry database have revealed another MPAN, ending 953, labelled as a “landlord electricity supply” for the building. This MPAN is still live on suppliers’ systems; it is possible to obtain quotations for it (exhibit KH2 pages 849-858). When questioned, the Respondent’s representative asserted that it was “not active”, but we have been able to obtain live tariff quotations, suggesting that the Respondent’s understanding of the metering set-up is incomplete or inaccurate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 the best evidence available, approximately 30% of the annual kWh recorded on MPAN 120010050687 appears to be genuine communal consumption and the remaining 70% is attributable to apartment or other non-communal loads which should not be recovered via the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By way of real-world comparison, I previously operated a commercial bakery/restaurant which ran for 16 hours per day with electric professional bakery ovens, heating, hot water, air-conditioning and refrigeration operating continuously. The annual electricity bill there was approximately £8,000 at a unit rate of 10.96p per kWh, implying usage of around 72,992 kWh per year (exhibit KH2 pages 54–57??????). Yet according to the present billing, the relatively modest communal equipment at 8 Artillery Row is supposedly using more than three times that amount (about 250,000 kWh per year). In my submission, that is simply not credible.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 11 November 2025 we wrote to Mr Adam Azoulay of Y&amp;Y formally setting out these findings and explaining why we believed that the main meter was measuring the whole building rather than just communal loads (exhibit KH2 – Azoulay correspondence). Initially Mr Azoulay declined to investigate and asked the Residents’ Association to provide further proof. Following a lengthy email exchange, he stated that the freeholder had agreed to an inspection, but then stopped responding. We submitted an official complaint to which, as at the date of this statement, we have still received no substantive response.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current supplier’s contract states at clause 13.1: “In the event that either Party disputes the accuracy of any Meter, we will promptly arrange for such Meter to be inspected and tested in accordance with the Applicable Requirements and any other relevant law.” (exhibit KH2 pages 750). I fail to see why the Respondent is refusing to engage with the Applicants on an issue that falls squarely within that clause.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survey undertaken at the Applicants’ cost benefits the whole building. Faced with such unusually high communal electricity bills, especially when compared with other Avon-owned buildings, the Respondent should itself have commissioned such a survey long ago. When we asked that the survey cost be funded from the Building Service Charge account, the Respondent refused, even though the survey clearly benefits all leaseholders and would identify savings for the future. As a result, the 15 Applicants together have paid almost £7,000 for a piece of investigative work that should, in principle, have been undertaken by the Respondent.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Industry practice is that, where a meter is later found to have been configured or connected incorrectly, the customer is entitled to an adjustment and refund of over-charges for a number of years (typically up to six). It is therefore difficult to understand why the Respondent has been so resistant to a full investigation when, if we are correct, it stands to recover a very substantial refund from the supplier. That resistance further supports our concern that the electricity charges recharged to leaseholders are unreliable and should not simply be accepted at face value.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Legal implications of mis-metering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These concerns are not limited to “high bills” in a general sense. If, as our evidence strongly suggests, the main MPAN is configured or wired so that it measures both communal and apartment loads, then the meter is, in regulatory terms, incorrect. Under Schedule 7 to the Electricity Act 1989 a billing meter must be “correct”, meaning it must measure the electricity actually supplied to the premises or customer to whom it is assigned. A meter that records the load of other premises or additional circuits, and is then used for billing, is not a correct meter within that statutory framework.</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Where a supplier continues to bill from a meter that is known or reasonably suspected to be incorrect, this engages the supplier’s regulatory duties (including billing accuracy and metering responsibilities) under its electricity-supply licence. To the extent that the wiring or CT placement lies within the control of the Distribution Network Operator (UK Power Networks), there are also obligations under the Electricity Safety, Quality and Continuity Regulations 2002 to ensure metering points are safely and correctly configured. I am not asking the Tribunal to determine any regulatory breach, but these duties underline the seriousness of leaving a potentially misconfigured “landlord” meter in place for years while charging leaseholders on that basis.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If the Tribunal accepts that the main meter has been recording apartment loads as well as communal loads, then any service charge derived from that meter is, in my submission, unlawful under landlord and tenant legislation. Section 19 of the Landlord and Tenant Act 1985 limits recoverable service charges to costs that are “reasonably incurred”; section 27A gives this Tribunal jurisdiction to decide whether a service charge is payable and, if so, in what amount. Charging leaseholders, through the service charge, for electricity that properly relates to demised premises (and is already billed via each flat’s private supply), or for other non-communal loads, is not a reasonably incurred communal cost and is therefore not payable.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Once a serious suspicion of mis-metering exists, suppliers are required under OFGEM rules to investigate, arrange a meter test or attend site within a reasonable period. Here, leaseholders have been raising concerns about the accuracy and allocation of the landlord meter for several years. Rather than pressing the supplier and UK Power Networks to resolve the issue, the Respondent has continued to pay and recharge invoices based on that meter and has even entered into long-term minimum-consumption contracts on the same basis. In my view, that approach is fundamentally inconsistent with the requirement to act reasonably when incurring costs to be recovered from leaseholders.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Validation failures, bill-validation service and faulty invoices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has engaged Affiliated Utilities (“AU”) as an invoice-validation and energy-management service. AU’s own literature describes its role as including: processing all utility invoices; verifying meter readings against data from data collectors; constantly receiving HH data to compare against invoices; and challenging incorrect charges. These services are paid for indirectly through the contracted kWh rates recovered from leaseholders.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Despite this, the 2023 Pozitive Energy invoices are riddled with obvious errors, as explained above. Some invoices that AU initially stamped as having “failed” validation were nonetheless paid; most months show multiple re-bills and contradictory readings. If AU’s validation systems were operating effectively, and if the Respondent and Y&amp;Y were exercising proper oversight, these anomalies should have triggered immediate investigation and challenge, especially given the scale of the sums involved.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Instead, the pattern is of invoices being paid and only partially corrected months later, without clear reconciliation or explanation. In my view the bill-validation service is not fit for purpose. It has not prevented erroneous or excessive charges from being passed on to leaseholders and, in some cases, appears to have given a false sense of reassurance that bills were correct when they plainly were not. The Applicants should not have to bear the cost of a service that has demonstrably failed to protect their interests.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Comfort cooling and mis-attribution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earlier correspondence (for example Y&amp;Y’s letter of 25 July 2018: exhibit KH2 page 901), the managing agent sought to attribute the very high communal electricity costs to “comfort cooling”, suggesting that the apartments’ cooling loads explained an overspend of over £40,000.</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However, the electrical survey undertaken for the Applicants shows that, even on a high-use assumption of 12 hours’ chiller operation per day (which overstates usage, because chillers do not run at that duty throughout the year), total annual consumption for the chillers would be about 36,500 kWh. At a unit rate of 12p per kWh, that equates to approximately £4,380 per year. This does not come close to justifying the Respondent’s suggestion that cooling alone explains the very large communal electricity costs.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in their statement of case, has also repeatedly asserted that cooling-related standing charges collected via Clever Energy are “offsetting” the communal electricity bill. However, there is no evidence of any such credits in the communal-electricity account. Cooling standing charges are collected separately by Clever Energy and there is no corresponding credit line in the service-charge accounts. Flats are therefore being charged twice for the same cooling-related electricity: once through communal electricity and again through Clever Energy standing charges. I address this in more detail in the section of my statement dealing with Clever Energy cooling charges.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Supplier penalties, minimum-usage obligations and accounting practices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2023 and 2024 reconciliations include multiple “late-payment” fees and other supplier penalties levied by Pozitive Energy and Digital Power. These arise purely from administration failures – late payment of invoices, failure to set up direct debits correctly, or failure to challenge erroneous bills promptly. They are not part of the cost of supplying electricity and cannot be regarded as “reasonably incurred” within the meaning of section 19 of the Landlord and Tenant Act 1985. They should be disallowed in full.</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Similarly, any costs associated with minimum-usage penalties or capacity-related charges embedded in the Pozitive and Digital Power contracts are, in my view, unreasonable. The Respondent knowingly signed a minimum-usage contract at around 260,000 kWh per year, a figure which, given its portfolio of over 200 MPANs, it must have known was extraordinarily high for a 22-flat block. It was not reasonable to commit leaseholders to that level of contractual exposure without first establishing whether the recorded consumption represented genuine communal usage or was the product of metering/allocation problems.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As noted above, the Respondent’s own spreadsheet for 2024 shows total electricity invoices of £114,946.38, yet the annual accounts charge leaseholders £128,000. This unexplained discrepancy reinforces the conclusion that the electricity charges are inconsistent and unreliable and that any excess over the invoiced total should be refunded.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Overall position and relief sought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summary, the communal electricity charges at 8 Artillery Row are, on the Respondent’s own figures, extraordinarily high when compared with:</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building’s historic usage;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comparable Avon-managed properties; 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reasonable engineering estimates of genuine communal load.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billing history is characterised by errors, re-bills and incomplete validation; the MOP arrangements are opaque and potentially duplicated; known inefficiencies (such as poor power factor and phase imbalance) have not been addressed; and there is strong evidence that substantial elements of flats’ own consumption are being wrongly treated as communal.</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these circumstances, I respectfully invite the Tribunal to find that the Respondent has not demonstrated that the full electricity costs have been “reasonably incurred” or correctly allocated. In the absence of reliable data and proper allocation, I ask the Tribunal to adopt our pragmatic approach that only 30% of the billed electricity on the main intake meter should be treated as recoverable communal cost, with the remaining 70% disallowed or treated as non-service-charge expenditure.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also ask the Tribunal to:</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disallow all supplier penalties and late-payment charges;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disallow or substantially reduce the cost of the ineffective bill-validation service; 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Determine that the invoices do not reflect a true consumption of the communal landlord electrical appliances/plants and reduce the cost of electricity so far invoiced.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require the Respondent, at its own cost, to put in place appropriate metering, verification, phase-balancing and power-factor-correction measures so that future communal electricity costs are reduced to a reasonable level and are based on accurate, properly allocated consumption.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COOLING STANDING CHARGES AND DOUBLE RECOVERY OF ELECTRICITY COSTS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8 Artillery Row is served by a central comfort-cooling system (chillers and associated plant) located in the communal plant room. This runs on electricity only and connected to the Landlord’s distribution board (exhibit KH02 pages 722 and 1055). The full cost of communal electricity – including the electricity used by the chillers, pumps and cooling plant – is charged to leaseholders through the service charge as “communal electricity” and related headings. In addition, residents who are connected to the comfort-cooling system are billed a separate “Comfort Cooling” standing charge on their Clever Energy invoices.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My analysis of the Clever Energy invoices shows that the cooling standing charge has increased dramatically over time. In 2017 it was approximately £0.16 per day per flat; by 2025 it had risen to around £1.82 per day per flat. This represents an increase by a factor of more than eleven over eight years. Using the monthly breakdowns on the Clever Energy invoices, I have prepared a spreadsheet and graph showing the total cooling standing charges collected each year and the sharp escalation in the daily rate. (Exhibit KH02 page 904)</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his email dated 23 June 2025 responding to questions from the Residents’ Association, at Q14 Richard Simmons states in answer to Q14 that the Comfort Cooling standing charge “covers the electricity costs of operating the plant room” and that electricity costs have increased significantly. He also says that there is an “outstanding issue with the installation of cooling meters”, which has prevented accurate measurement of consumption, and that billing based on usage will resume once this is resolved.  (Exhibit KH2 page 595)</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answer to Q16 of the same email, Mr Simmons states that “The Comfort Cooling standing charge is intended to offset part of the communal electricity bill” and that, once metering issues are resolved and individual usage is billed directly, more of the communal energy cost will be recouped through those usage bills. He also confirms that the communal electricity bill includes lifts, car-park lighting and other shared systems, not just cooling.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Paul Simpson of Clever Energy gives a different account in his letter dated 7 October 2025. At paragraph 9 he states: “Clever Energy Cooling – standing charges are shown on the monthly tenant invoices attached. The standing charge is applied by the supplier and must be passed on to tenants whether they use the cooling or not. There is no credit, it pays the supplier bill otherwise the freeholder would not collect sufficient funds and need to add the shortfall to the service charge.”  (exhibit KH2 pages 681-682)</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Respondent’s Statement of Case at paragraph 17, however, asserts that the standard charge for cooling is billed by the billing agents and that the sums collected “are credited to the service charge”. (Exhibit KH2 page 686). Taken together, these three descriptions are mutually inconsistent: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Mr Simmons says the standing charge is “intended to offset” the communal electricity bill.</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 Mr Simpson says there is “no credit” and that the charge is needed to avoid a shortfall which would otherwise be added to the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 The solicitors of the Respondent say the sums collected are credited back to the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No documentary evidence has been produced to show any actual credit entries from Clever Energy cooling income to the service-charge accounts, despite our repeated requests, citing GDPR reasons.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My own review of the service-charge accounts, supported by reconciliation accounts and annual accounts, shows the full communal electricity bill being charged to leaseholders through the service charge, with no separate line showing any credit or deduction corresponding to the Comfort Cooling standing charges collected by Clever Energy. The Respondent has refused to disclose the underlying income ledgers or a simple schedule of credits, citing confidentiality and GDPR, and the Applicants are asked to accept “on trust” that such credits have been included somewhere within the income reconciliation. In the absence of evidence, I do not accept that assertion.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There is therefore a real risk – and on the current documents I say a strong likelihood – that leaseholders are being charged twice for the same electricity: once via the communal electricity line in the service charge, and again via Clever Energy Comfort Cooling standing charges, without any corresponding credit back to the service-charge account. If Mr Simpson’s description is correct, the position is even worse: the Comfort Cooling standing charge is passed straight on to Freeholder to offset the cost incurred from the supplier to the Freeholder whilst it is evident that leaseholders are paying the full cost of the electricity.</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position is further aggravated by the fact that cooling has not always been available in practice. As explained elsewhere in my statement, there have been prolonged periods in which certain flats (including the Penthouse) have had no chilled-water flow, and building management records show repeated chiller faults during hot weather. Yet throughout these periods, residents have continued to be billed the full Comfort Cooling standing charge on a daily basis, at the greatly increased rate.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Under section 19 of the Landlord and Tenant Act 1985, service charges are only recoverable to the extent that the relevant costs are reasonably incurred and the services are provided to a reasonable standard. A charging structure that (a) appears to recover the full communal electricity bill through the service charge, (b) adds a large and rapidly increasing Comfort Cooling standing charge on top, (c) provides no transparent credit back to the service-charge accounts, and (d) continues to levy those standing charges even when cooling is not available, cannot in my view be regarded as “reasonably incurred”. Any duplicated or profit element in the Comfort Cooling charges, and any standing charges levied during periods of non-availability, should therefore be disallowed by the Tribunal</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CHP – DESIGN INTENT, NON-OPERATION AND CONSEQUENCES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8 Artillery Row was designed and granted planning permission on the condition no.12 that it would be served by a communal energy centre incorporating a Combined Heat and Power (“CHP”) unit in the plant room. (Exhibit KH2 page 279). Under the approved Energy Strategy Report at page 4, and the planning statement for the development, the CHP and high-efficiency boilers were intended to provide space heating and domestic hot water to the dwellings and common parts, with the CHP sized to meet 100% of the domestic hot-water demand and to make a substantial contribution to the building’s heating and electricity needs. The strategy documents explain that the CHP system would operate at around 80% overall efficiency, compared with roughly 55% for a traditional system, delivering around a 25% improvement in overall efficiency and a targeted carbon-emission reduction of around 21%. (exhibit KH2 page 974 and 988)</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CHP is clearly referenced and explained to residents in the Resident’s Guide document at para 3.4.1 clearly explaining the role of the CHP unit (exhibit KH2 page 935-936).</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CHP unit (exhibit KH2 pages 1000-1013)  is, in simple terms, an engine that burns gas to produce both heat and electricity at the same time. In this building, the intention was that: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Gas would be burned in the CHP engine, producing heat that would heat the water for the communal heating and hot-water system;</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 At the same time, the CHP would generate electricity (around 9 kW for the XRGI-9 model installed here) to power communal loads such as pumps, boilers, lifts, lighting and controls; 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 The back-up gas boilers would act as “lag” or top-up plant,  whilst most of the time the CHP would run steadily as a “base-load” engine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If the CHP is switched off, the system does not simply become slightly less efficient. A number of specific and serious consequences follow:</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All of the electricity that could have been generated by the CHP has to be imported from the National Grid at full commercial tariffs, instead of effectively being produced as a byproduct of generating heat for the hot water &amp; heating systems. In practical terms, where gas costs might be 6–7 pence per kWh, grid electricity has cost in the region of 25–40 pence per kWh. Switching the CHP off therefore removes a source of very low cost electricity which should have reduced the communal electricity bill by a significant amount (the Energy Strategy envisaged that CHP would cover around 20% of the building’s electricity demand).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 The boilers have to pick up all of the heating and hot-water duty. Because boilers are designed as fast-response “sprinters” rather than steady-state engines, this leads to frequent on/off cycling (“short-cycling”) as they try to maintain constant store temperatures. Short-cycling is well-known to cause increased wear on boiler burners, fans and controls, shortening plant life and increasing maintenance and breakdown costs.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c. The hydraulic system (pumps, flow and return temperatures) was designed around the CHP acting as the “lead” unit. With the CHP off, the return-temperature regime can prevent modern boilers from operating in their most efficient “condensing” mode, further reducing efficiency and increasing gas usage.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addition to these technical consequences, there is a planning and regulatory dimension. Westminster City Council (“WCC”) granted permission on the basis of the Energy Strategy and accompanying diagrams, which explicitly relied on CHP operation to achieve the targeted carbon-emission reductions. If the CHP is not run, the building is no longer operating in accordance with the basis on which planning permission was granted. Residents were entitled to assume that the system described in the Energy Strategy and marketing brochure (which emphasised the “high-efficiency” communal plant and CHP contribution) would actually be used.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We raised concerns with WCC that the CHP was not running, notwithstanding that it formed part of the approved energy strategy and planning justification. Our understanding is that WCC accepted that the CHP should be operating, at least in principle, to deliver the promised carbon and energy-efficiency benefits. At the time of writing, WCC has asked the Respondent to prove that the CHP has been operational (exhibit KH2 pages 1014-1018)</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service-charge records provide strong evidence that the CHP was most likely switched off at or shortly after the Respondent purchased the Freehold (exhibit KH2 page 1020). In the 2017 mechanical and plant reconciliation (apartments service charge), the only reference to CHP maintenance is an Acorn Maintenance invoice dated 20 January 2017 for “CHP maintenance” in the sum of £4,367. That is the last time the CHP is mentioned in our accounts. There are no subsequent invoices for CHP servicing, gas engine overhauls, oil changes, or other routine tasks that would be expected if the unit were in operation.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building management system (“BMS”) screen in the plant room, as photographed in August 2025, shows the CHP plant as “Off” with associated fault or trip indications (for example, “CHP supply fan trip”) while other plant items are live. (exhibit KH2 page 1021) These BMS flags would have been visible to the managing agent and any attending engineers whenever they logged into the system. Together with the absence of any CHP maintenance records after early 2017, this strongly suggests that the CHP has been deliberately left non-operational for many years.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There are schematics displayed throughout the plant room, electricity distribution cabinets and there is a whole big room dedicated to the CHP plant (exhibit KH2 pages713, 719, 721, 726, 1008, 1055)</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and Y&amp;Y cannot credibly claim that they were unaware of the CHP or its purpose. The developers’ manual, the labelling of the Landlord’s distribution board, as shown on photos provided, the clear BMS screen warning, the existence of a separate room dedicated to the CHP equipment, the early Acorn “CHP maintenance” invoice confirms that the freeholder knew of the unit’s existence and authorised at least one maintenance visit. On that evidence, I believe that a positive decision was taken at some point not to operate the CHP.</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also note that similar concerns have arisen at another Avon-owned development, The Loxfords, where residents have reported that the CHP was effectively turned off from day one. That pattern reinforces my concern that non-operation of CHP plant may be a commercial choice by the Respondent rather than a technical necessity.  NOT SURE TO INCLUDE??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and Clever Energy have, in correspondence, sought to justify high heating tariffs by reference to a very low “network efficiency” figure (sometimes quoted as low as 30–40%). In my view this is the reverse of what should be happening. The original energy strategy envisaged high overall efficiency – at 80% – precisely because the CHP would capture useful heat while generating electricity. If the CHP is kept off, the “network efficiency” inevitably falls, but that is a consequence of how the Respondent chooses to operate the plant. (exhibit KH2 page 974 and 988) (Exhibit KH2 page 448). It cannot sensibly be used as a justification for charging leaseholders three to four times the underlying gas cost.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my submission, the relevant “cost” of energy for the purposes of service-charge recovery is the price actually paid by the landlord for gas and electricity, not an inflated notional figure derived from an artificially depressed “efficiency” percentage. An “efficiency rate” is an engineering metric that fluctuates with load, outside temperature and operating conditions; it is not, and should not be treated as, a substitute for the actual fuel cost paid by the Respondent.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practical effect of switching off the CHP is that all communal electricity demand is met from the grid at high tariffs, the boilers and pumps are worked harder than intended (with increased breakdowns and leaks), and the building fails to achieve the energy performance that WCC and purchasers were led to expect. All of the additional electrical and mechanical costs arising from that choice have been charged through to leaseholders via the service charge.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has also been on clear notice, throughout these proceedings, that the operation of the CHP is a live and contested issue. At the first case management hearing on 1 July 2025, the draft Scott Schedule already identified concerns that there was no evidence of the CHP running as envisaged under the planning permission. Those concerns were reiterated and expanded in the full Scott Schedule filed on 2 September 2025, which expressly stated under the relevant heading that “as per planning permission, there should be an operational CHP unit producing 75,840 kWh annually”. The Respondent has never produced any contemporaneous evidence to demonstrate that the CHP has in fact been operated in that way.</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Despite this clear and repeated flagging of the issue within the Tribunal process, no meaningful steps were taken by the Respondent to investigate, reinstate or evidence the operation of the CHP until after leaseholders made a formal complaint to Westminster City Council alleging breach of the relevant planning condition. In my submission, that is not consistent with a landlord acting promptly and reasonably to address serious plant and efficiency concerns which go to the heart of both energy costs and compliance.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say that this is not reasonable within the meaning of section 19 of the Landlord and Tenant Act 1985. A landlord who elects not to operate key efficiency plant that formed part of the original design and planning justification should not be entitled to pass the resulting avoidable extra costs on to leaseholders. At the very least, the Tribunal should treat a material portion of the elevated communal electricity costs, boiler/pump maintenance costs and any claimed “inefficiency” margin on Clever Energy tariffs as not reasonably incurred to the extent that they flow from the Respondent’s decision not to run the CHP.</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 therefore invite the Tribunal to:</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Find that the CHP has not been operated as envisaged in the planning and design documents since at least 2017;</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Treat the additional electricity and plant-maintenance costs attributable to that non-operation as not reasonably incurred and disallow an appropriate proportion of those costs from the service charge; 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Direct that the Respondent, at its own expense, either brings the CHP back into proper operation in accordance with the original energy strategy and planning commitments, or, if it chooses not to do so, bears the cost of the additional electricity and plant wear itself rather than passing it on to leaseholders.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HIU AND FCU SERVICING – DEMISED EQUIPMENT AND LACK OF CONSULTATION</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Each flat at 8 Artillery Row is served by a Heat Interface Unit (“HIU”) for heating and domestic hot water and by one or more Fan Coil Units (“FCUs”, also referred to as CIU – Cooling Interface Unit) providing cooling as described at Section 8.1 and 8.2 in the Resident’s Guide. (exhibit KH2 page 500-543) In simple terms, an HIU is a boxed unit within the flat which takes hot water from the communal primary circuit and transfers heat into the flat’s own secondary heating and hot-water pipework; an FCU is a small fan-assisted heat-exchanger which uses chilled water from the communal system to provide cooling to individual rooms. Both the HIU and FCUs are located wholly within the demised premises and serve only the individual flat as described in the Resident’s Guide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lease treats the HIU and FCUs as part of the demised premises, with the leaseholder responsible for keeping them in good repair and condition. STATE CLAUSES IN LEASE The 8 Artillery Row Residents’ Guide, at sections 8.2 and 8.3, also states in clear terms that the maintenance of in-flat mechanical equipment, including HIUs and FCUs, is the responsibility of the apartment owner. That was the understanding when I first moved into Apartment 101 in April 2016. My landlady told me she was responsible for arranging the servicing of the HIU and FCU, and I assisted her in finding a contractor because it was difficult to locate firms familiar with the system.</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Mr Raymond Gubbay CBE, one of the Applicants, has retained copies of HIU/FCU servicing records over a number of years, demonstrating that he arranged such servicing himself in the belief that the leases required leaseholders to do so. A sample of those are in exhibit KH2 pages 1057-1062.</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Contemporaneous documents reinforce this position. A 2017 email for Apartment 101 shows a one-off FCU service by Acorn Engineering Ltd ordered by the flat owner (exhibit KH2 page 1063), and an email from Y&amp;Y’s building manager  in May 2017 confirming that leaseholders are expected to arrange their own maintenance and recommending Acorn Engineering (exhibit KH2 page 1065). The original practice was therefore that these units were privately serviced by, and at the cost of, individual leaseholders.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On 27 November 2018, Y&amp;Y sent a circular letter suggesting that HIU servicing would in future be organised collectively and recharged through the service charge, apparently via Heat Interface Team Ltd. (exhibit KH2 page 1067). That letter followed a residents’ meeting attended by only a small number of leaseholders. There was no formal vote, no minutes recording any resolution to vary the leases, no explanation of long-term costs, and no reference to statutory consultation. In my submission, such a letter and informal discussion cannot amount to a variation of the leases or create a contractual right for the landlord to treat the servicing of demised HIUs/FCUs as a communal service-charge item.</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Even if a number of leaseholders were content in principle for the managing agent to recommend or coordinate a contractor, that is a very different thing from agreeing that the landlord may (a) procure a long-term servicing arrangement on behalf of all flats, (b) recharge all costs through the service charge, and (c) override the clear lease provisions that place maintenance of the HIUs and FCUs on the individual flat owners. A meeting with a small, undefined group of residents, without any formal procedure, cannot lawfully bind all leaseholders or change their contractual obligations.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No section 20 Landlord and Tenant Act 1985 consultation has ever been carried out in relation to any long-term HIU/FCU servicing agreement or plant-room maintenance contract with Heat Interface. The yearly totals for Heat Interface work are well above the £250 per-flat threshold, so any such agreement would plainly be a “qualifying long term agreement”. The 27 November 2018 letter is not a section 20 notice, does not describe proposed costs or alternative tenders, and was not followed by any formal consultation stages.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reconciliation accounts for 2018–2024 list substantial and sometimes quarterly-patterned payments to Heat Interface under “Mech &amp; Plant Maintenance” and related headings, with yearly totals ranging from roughly £22,000 to over £34,000. On their face, those entries suggest an intensive regime of both plant-room and in-flat servicing, in some years appearing to involve four quarterly programmes and, in 2024, as many as six equal “maintenance” charges. I have prepared a spreadsheet showing such a clear account of the charges for Plant Room, Boiler &amp; HIU maintenance exhibit KH2 page 1097.</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Despite repeated requests, the Respondent has not disclosed any contracts specifying what maintenance is included for the HIUs/FCUs or for the main boilers. However, the Applicants have obtained a quarterly invoice dated 28 February 2023 which expressly breaks down the charges between apartment HIU/FCU servicing and main boiler/plant-room maintenance (exhibit KH2 page 1098). As can be seen from this invoice, approximately 50% of the costs relate to apartment-level maintenance. If, as the Respondent asserts in its letter of 27 November 2018, HIU maintenance had already been brought into the service charge by that date, it is difficult to reconcile this with the fact that the Heat Interface contract sums were broadly the same before and after 2018, only rising significantly from 2022 onwards; indeed, in 2020 the contract value was approximately 20% lower than in earlier years. In my submission, this pattern is inconsistent with the Respondent’s account and reinforces our concern that (a) demised HIU/FCU servicing has been run through the communal accounts without proper contractual authority or consultation and (b) plant-room/boiler maintenance costs have not been transparently identified or allocated. I refer to exhibit KH2 page 1097 showing annual contract sums.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reconciliation accounts suggest a  pattern that is inconsistent with what the building manager, Bernard, has repeatedly told residents, namely that HIU/FCU maintenance is carried out only once per year (exhibit KH2 page 1068-1069). It is also inconsistent with the documents disclosed by the Respondent. Despite specific requests, the Respondent has not produced any formal maintenance contract with Heat Interface, any schedule of service visits matching the quarterly charges shown in the reconciliation accounts or any boiler-service sheets or plant-room reports corresponding to the sums said to have been spent.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practice, the HIU and FCU reports provided start only from 2022 and relate largely to fault-finding within individual flats rather than routine quarterly servicing of all equipment. They also show that maintenance visits are carried out annually. They show sporadic attendance addressing specific problems (seized pumps, stuck valves, low pressures, leaks) rather than a regular, building-wide planned-maintenance regime going back to 2018. When I discussed the plant with Bernard , Y&amp;Y’s building manager, he indicated that he is, in fact, wary of allowing Heat Interface into the plant room and only calls them out when there is a problem. This again sits badly with the notion that they have been attending quarterly over many years to service the main boilers and communal plant.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boilers’ own control panel print-outs in the plant room, as seen by me on 29 August 2025, record the last Heat Interface maintenance visit as having taken place on 7 November 2023 (exhibit KH2 page 1070-1071). Yet the 2024 accounts contain multiple entries described as “boiler maintenance” or “plant room maintenance” attributed to Heat Interface and charged to leaseholders. The Respondent has not disclosed any evidence of such maintenance reports, visit logs or engineer reports, without which it is simply not possible to see what, if anything, was done in return for these charges.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HIU/FCU reports that have been disclosed show a pattern of significant faults being recorded repeatedly, with no evidence of timely follow-up or repair. There is no corresponding trail of contractor invoices or follow-up reports showing that these items were systematically remedied. In my submission, this demonstrates that HIU/FCU “servicing” has too often been treated as a box-ticking and filing exercise, rather than a managed process aimed at maintaining the </w:t>
        <w:tab/>
        <w:t xml:space="preserve">system in good, efficient order. By way of example, exhibit KH2 pages 1072- 1096 :</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Flat 103 – FCU controls reported on 11 May 2023 as not working and providing no cool air, with similar issues again recorded on 20 March 2024 and 3 June 2025.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Flat 201 – HIU report dated 3 June 2025 records that the system pressure needed topping up, but the hose was not long enough to connect, so the issue could not be remedied at the visit.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Flat 203 – FCU thermostat recorded on 20 March 2024 as faulty, so cooling and fans could not be properly tested; similar problems are still recorded on 29 May 2025.</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Flat 302 – HIU secondary pump recorded on 21 March 2024 as seized and unable to be freed manually, with “replacement required” noted.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Flat 403 – living-room thermostat recorded as broken on 11 May 2023 and again on 21 March 2024 and 29 May 2025, meaning the FCU could not be tested and fan operation could not be confirmed.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Across multiple flats and years, the reports also record cooling probes left disconnected, high temperatures and, in some cases, exposed wiring.</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has disclosed no subsequent service reports or correspondence showing that this temporary bypass was ever rectified, so we do not know whether this HIU has been running in this compromised state on a 24-hour basis ever since. It is particularly concerning that the report itself does not recommend a follow-up visit or permanent repair, but simply records this crude workaround, which increases heat consumption and costs and undermines the proper operation and efficiency of the communal network.</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The Respondent has produced no evidence that the retail unit has its own separate HIU/FCU or gas boiler. On the contrary, the wider evidence suggests that the café also benefits from the communal plant. Yet the Plant &amp; Heat Interface charges under the Apartments Service Charge appear to be split equally between the 22 flats only, at 4.55% each, with no consistent contribution shown from the commercial unit. If HIU/FCU or related plant-room maintenance is genuinely communal, it ought to be apportioned in accordance with the lease so that the retail unit bears its proper share.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Against that background, I say the Respondent has failed to show that:</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a. it is contractually entitled under the leases to recover the cost of servicing demised HIUs and FCUs through the service charge;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b. any long-term arrangement with Heat Interface complies with the section 20 consultation requirements; or</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c. the large and at times “quarterly” Heat Interface charges shown in the reconciliation accounts were actually incurred for genuine communal maintenance rather than flat-specific works.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these circumstances, I invite the Tribunal to:</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declare that the servicing, repair and replacement of in-flat HIUs and FCUs are, under the leases, the responsibility of individual leaseholders and not a recoverable communal service-charge item;</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disallow, as not reasonably incurred and/or not contractually recoverable, the majority of the Heat Interface charges shown under “Mech &amp; Plant Maintenance” to the extent that they relate to demised equipment or to unproven “quarterly” plant-room servicing;</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in the alternative, treat any servicing arrangement with Heat Interface as a qualifying long-term agreement and cap each leaseholder’s liability to £250 per year for the relevant years in which no valid section 20 consultation was carried out; and</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require the Respondent, going forward, either to leave HIU/FCU maintenance to the leaseholders as originally intended or, if it wishes to offer a communal servicing scheme, to do so on an opt-in basis with costs recharged only to participating flats and not through the general Apartments or Building Service Charge.</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MAINTENANCE RECORDS AND INSURANCE CLAIMS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This section addresses the Respondent’s approach to maintenance and repair of the communal plant, pumps, heating and cooling systems, intercom and fire systems and roof, as reflected in the “Mech &amp; Plant Maintenance”, “BMS Maintenance”, “Repairs &amp; Maintenance”, “Roof Repairs” and related headings in the service-charge accounts and the Scott Schedule. In summary, the charges are high and volatile from year to year, not supported by coherent contracts or service records, and in many instances appear to reflect reactive “fire-fighting” rather than planned preventative maintenance.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Heat Interface Team – chaotic and opaque plant/HIU invoicing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“Mech &amp; Plant Maintenance” ledgers show multiple invoices each year from Acorn Maintenance in 2017 and from Heat Interface Team from 2018 onwards for plant-room maintenance, boiler servicing and HIU/FCU servicing. By my count there are at least five separate Heat Interface invoices in 2023 and six in 2024 alone, all coded to the same broad heading but with differing descriptions. Across the eight-year period the totals fluctuate markedly: in some years Heat Interface-related costs are in the region of £22,000, while in others they rise above £40,000, with no clear explanation of any change in scope, plant inventory or visit frequency.  These are clearly ongoing contracts, yet no Section 20 consultation was ever carried out.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Despite this, the Respondent has not disclosed any underlying term contract or schedule of rates with Heat Interface, nor any coherent maintenance plan showing what is to be done quarterly versus annually. There is a fundamental mismatch between what is being charged, what is said to be done, and the maintenance evidence actually disclosed. The Respondent has not even disclosed one single boiler maintenance report, despite repeated requests.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There is also no evidence of any individual within Avon or Y&amp;Y taking ownership of these reports and ensuring that identified defects are followed up. The same plant has been on site throughout, yet the maintenance costs vary wildly from year to year. In my view this reflects a lack of accountability and of a structured, planned-preventative maintenance regime.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 14 Apr 2019, there is an entry on the reconciliation accounts for an invoice of 5,220 pounds from DWP Services Ltd, with a description of “working with pipes”.  No other explanation and the Respondent has not disclosed any copies of this invoice or report.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Boiler and pump servicing – missing reports and ignored recommendations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plant-room equipment – boilers, pumps, pressurisation units, expansion vessels and associated controls – is critical to the safe and efficient operation of the communal heating and cooling system. The Respondent’s own descriptions and the charges coded to “Mech &amp; Plant Maintenance” suggest regular boiler maintenance and plant-room servicing throughout the period in dispute. However based on the limited disclosure by the Respondent: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boiler control-panel print-out currently displayed in the plant room shows the last recorded boiler service as taking place in or around November 2023 (exhibit KH2 page 1070-1071) . Despite this, substantial sums have been charged in 2024 and 2025 for “boiler maintenance” and “plant-room maintenance”, without any corresponding service sheets, Gas Safe certificates or commissioning reports being disclosed.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report from AES dated 15 October 2020 recommends that a particular pump in the system be replaced rather than repeatedly repaired (exhibit KH2 page 1101). A later Heat Interface report over one year later, dated 16 December 2021 records that a motor/pump has already been fixed twice and again recommends replacement remarking: “Please be advised, the plant will fail again without these remedial works” (exhibit KH2 page 1102)</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Around this time, the building went without heating and hot water for 8 days, then occurring again for 2 days (exhibit KH2 pages 546-556).  There is no evidence that these recommendations were actioned. No later report has been disclosed confirming that the pump was replaced, and the Residents’ Association has seen no section 20 consultation or competitive tender process for such works.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2 years later, AAM Maintenance attend site to find the basement and plant room flooded with the pumps needing resetting (exhibit KH2 pages 1119).</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1 year later, on 24 May 2024, the Residents Association receives an email from Adam Azoulay to ask me to waive the Section 20 requirement and to authorise the replacement of pumps at a cost of 25,000 pounds (exhibit KH2 pages 355-358).  I responded that I have no authority to waive a consultation process with Mr Raymond Gubbay asking for the relevant process to take place to replace such critical equipment (exhibit KH2 pages 1036).  No response was received to our emails.  1 year later, on 11 September 2025, I follow it up to remind Mr Azoulay that with winter approaching, it is important to have critical equipment in working order.  I follow it up with another reminder on 22 September 2025, with Mr Azoulay responding that they are reviewing the pump issue and will revert to the Applicants (exhibit KH2 pages 1037-1040).  To this date, nothing has happened, no update was sent and on my 2 October 2025 visit to the plant room the pumps still showed as critical (exhibit KH2 pages 1105-1106)</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This pattern is repeated elsewhere. Reports flag failed or seizing pumps, low pressures, stuck valves and faulty thermostats, but there is either no follow-up invoice showing that the work was carried out or no subsequent service report confirming that the defect was closed out. The Respondent appears to be charging repeatedly for “maintenance” without demonstrating a proper end-to-end process from defect identification through to completed remedial works.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It appears from records that despite having a Heat Interface maintenance contract covering “regular routine maintenance to the main boilers and associated items of plant and control gear to the plant room” since 2018, the Respondent has engaged other companies to carry out repairs and maintenance on the plant room.  The AES Systems report refers to similar repairs and maintenance that Heat Interface refers to.  It appears that the Applicants are paying twice for the same service, unnecessarily.  AAM Maintenance also attended on 3 May 2023 to fix the pumps in the plant room, yet it is my understanding that Heat Interface maintains these pumps.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Recent photographs of the MCC1 control panel and the building-management-system (“BMS”) screen taken in August 2025 and October 2025 show persistent red alarm indicators for several primary and secondary pumps (including CHW and LTHW pumps 1 and 2) and associated plant. Some of these alarm lights had, according to the building manager, been illuminated for many months. In my view this is further evidence that the Respondent is not responding adequately to plant faults and is allowing critical equipment to operate in alarm condition for prolonged periods.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An AAM Maintenance invoice dated 23 August 2023 records a call-out simply described as “switch on cooler unit” at a cost of £1,299.60. There is no evidence of any major repair, parts replacement or fault-finding that could justify such a high charge for what appears to be a basic operational task. This is symptomatic of a wider pattern of reactive and expensive call-outs rather than planned, competitively-tendered maintenance.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It is also relevant that the whole heating and hot-water system was designed on the assumption that the CHP would operate as the lead plant. Running the system without the CHP alters the duty on the boilers, pumps and other components. In my view, the combination of non-operation of the CHP and piecemeal, reactive attention to pumps and boilers has increased failures and premature wear, which in turn has driven up the “Mech &amp; Plant and General Maintenance” costs that are now being passed on to leaseholders.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Apartment HIU/FCU servicing and plant-room allocation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As explained in the HIU/FCU section of this statement, the leases treat the HIU and FCU units within flats as part of the demised premises. The 8 Artillery Row Residents’ Guide (sections 8.2 and 8.3) confirms that the maintenance of these in-flat units is the responsibility of apartment owners. Mr Raymond Gubbay CBE, one of the Applicants, has kept contemporaneous records of in-flat HIU/FCU servicing over the years which he arranged himself on that understanding.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quarterly Heat Interface invoice dated 28 February 2023, which we have obtained, shows that approximately half of the charge relates to in-flat HIU/FCU servicing and half to boiler/plant-room checks. If, as the Respondent asserts, HIU/FCU servicing had been added to the communal contract from 2018 onwards, it is difficult to reconcile this with the fact that the overall Heat Interface contract values are broadly similar before and after 2018, actually dropping by around 20% in 2020 and then increasing sharply only from 2022. The pattern does not support the Respondent’s suggestion that there is a clear, additional contract in place for demised-apparatus servicing.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any event, even if some element of shared HIU/FCU work were capable of recovery through the service charge (which is not accepted), the Respondent has failed to disclose any contract, tender documentation or cost allocation showing that the present charges are reasonable or that any discount is applied to reflect the demised nature of much of the work.</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Finally, I reiterate that the plant room itself is part of the Building and Common Parts as defined in the leases and serves both the residential flats and the ground-floor commercial unit. Any genuine plant-room maintenance that the Tribunal finds to be reasonably incurred should therefore be charged through the Building Service Charge and apportioned between all benefiting premises, including the retail unit, with appropriate credits under clause 4.2.9 for any contributions received. There is no justification for loading all such costs exclusively onto the residential Apartments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Fire systems – multiple contractors and unclear allocation</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fire-safety systems (sprinklers, dry risers, alarms, controls) appear to be serviced and repaired by at least three different firms.  FAFS Ltd carry out the maintenance of the alarms, fire panels and related items. The sprinklers appears to be maintained by two companies: Heat Interface carrying out brief visual checks to sprinkler heads; Dry Risers Direct Ltd undertaking formal BS9251:2021 sprinkler testing and flow checks.  It is not clear how much does Heat Interface charge for this service, but it is the Applicants view that Dry Risers Direct carry out a thorough servicing of the sprinklers and any charges that Heat Interface invoice are not reasonable. (exhibit KH2 pages 1107-1118)</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Respondent has not provided a clear breakdown of which contractor is responsible for which element of the fire systems, how the scopes overlap, or how costs are allocated between “Mech &amp; Plant Maintenance”, “BMS Maintenance” and “H&amp;S/Fire” headings. It is not clear why one competent fire-systems firm could not perform all of these tasks, rather than paying three separate contractors. FAFS Limited can carry out all these tasks.  In particular, there is no explanation of why Heat Interface is paid to undertake annual visual sprinkler checks when Dry Risers Direct already inspects the same sprinkler system twice a year. In my view this fragmented and opaque approach increases the risk of duplication and makes it impossible for leaseholders – or the Tribunal – to see whether the overall cost of maintaining fire systems is reasonable and properly controlled.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Roof and leak repairs; missing credits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SCP reports show significant expenditure on roof works and leak investigation, including substantial payments to contractors such as Sandhurst Plumbing, Integra Technical, Simon Levy and AAM Maintenance for roof remedial works and water-ingress investigations affecting the Penthouse and other flats. For example, the accounts record Sandhurst Plumbing invoices of approximately £2,009 and £2,500, Simon Levy invoices of approximately £9,988 and £2,843.33 and a further “repairs” fee of £25,553, all coded under roof or leak-related headings. SPREADSHEET ++++</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At the same time, correspondence from the managing agents refers to: (a) a credit of around £5,500 said to have been received from the developer or building-defects process in respect of Penthouse leaks; and (b) an insurance claim payment relating to an expansion-vessel failure and major leak in winter 2021. Despite these assurances, I have been unable to identify either the alleged £5,500 defects credit or any clear insurance-claim receipts in the reconciliation accounts for 2021–2022. Substantial sums have plainly been paid out, but there is no transparent matching credit for defects or insurance recoveries. The Applicants are therefore being asked to meet the full cost of roof and leak remedials, contrary to what has been indicated in correspondence.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roof-repair saga itself has been prolonged and unsatisfactory. Various contractors have been sent out over a period of years to apply silicone sealants and similar “sticking-plaster” solutions rather than undertaking a proper remedial scheme. The surveyor’s fees for overseeing these works are of a similar order to the builders’ costs, which in my view is disproportionate for repeated patch repairs. In the Scott Schedule the Respondent states that further details are being sought from insurers, yet this is now more than four years after the major leak event. This again suggests a lack of effective tracking of claims and recoveries.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addition, the SCP reports show that certain roof- and structure-related items are being coded entirely to the “Apartments” service-charge account, with no contribution from the ground-floor retail unit. By contrast, other building-wide items such as satellite-aerial maintenance, pest control, communal electricity and H&amp;S/fire expenditures are correctly treated as Building costs to which the retail space contributes. There is no logical reason why roof repairs and associated water-ingress works should be treated as apartments-only expenditure. Under the leases, the roof and structure are part of the Building, and any repair costs should be apportioned in accordance with the Building Service Charge, with the retail unit paying its proper share.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Mr Raymond Gubbay CBE, one of the Applicants, has maintained contemporaneous records of roof-repair attendances and correspondence with surveyors and contractors, including his email of 12 January 2022 raising concerns about the quality of earlier roof repairs. Those records support the view that some of the roof works now being charged may in substance be repeat works to remedy earlier defective repairs, for which leaseholders should not be asked to pay again. (Exhibit KH2 XXX and spreadsheet XXX) EXPAND ON WHAT YOURE CLAIMING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To this date, there are still problems with the roof and Mr Gubbay has recently reported damage to the ceiling in the same area.</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Engineering insurance, BMS maintenance and the 2021 flood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The service-charge accounts show that from around 2020 the Respondent decided to take out “engineering insurance” in addition to standard buildings cover. This change in scope and cost of insurance was not clearly notified to leaseholders or estimated in advance. More importantly, there is no evidence that major plant breakdowns and lift failures have actually been claimed under that policy. Instead, significant plant-failure costs have been charged directly to the service charge.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notable example is the major flood in winter 2021. Leaseholders were charged for a “temporary expansion vessel” at a cost of £6,187.66, together with various consequential works and a new BMS panel associated with the incident. Market information indicates that a permanent replacement vessel of the same model costs in the region of £1,000 (exhibit KH2 pages 1112). The so-called “temporary” vessel remains installed in the plant room and continues to be used; it was plainly bought and kept in situ as part of the permanent system (exhibit KH2 pages 1120-1121). The Respondent has not disclosed any underlying invoices or a breakdown of how the £6,187.66 was calculated.  DO A SUMMARY HERE OF ALL COSTS; AS THEYRE across all 3 recon sheets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On 30 December 2021, only a few weeks later, there is an entry on the reconciliation account for an invoice by Heat Interface for 3,672 pounds with a description “water tank servicing”.  It is not clear if this should be part of the maintenance contract for the plant room, or part of the larger insurance claim that the Respondent is seeking more details, or indeed a separate issue.  No invoices has been disclosed and no insurance reconciliation statement has been provided.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correspondence and in its Scott Schedule response, the Respondent states that a credit of £9,479 was received from Zurich Insurance in 2022 “to cover the temporary expansion vessel” and that the position is still being investigated several years later. No insurance schedule, claim form, loss adjuster’s report or remittance advice has been produced to show what the Zurich payment related to, whether it covered only the vessel or wider damage, and how (or whether) it has been credited through the service-charge accounts. Given the size of the claimed insurance credit, the continuing absence of clear evidence is troubling.</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Similarly, in relation to multiple leaks affecting the Penthouse and other areas in 2022, a letter from Mr Meir Dove dated 22 June 2022 stated that the insurers were expected to pay £5,500 towards remedial works and that any excess would be dealt with through the service charge. There is, however, no corresponding credit entry visible in the 2022 or 2023 reconciliations and no explanation in the Respondent’s evidence of how that £5,500 has been applied. The Respondent now says only that it is “liaising with insurers”. After more than three years, this again suggests a lack of proper tracking of insurance claims and of ensuring that any recoveries are credited back to leaseholders.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further example is the expenditure of £8,610 described as “BMS maintenance” in the 2020 Apartments Service Charge reconciliation. In the Scott Schedule response the Respondent’s solicitors state that “this contract does not exceed one year” and therefore say no consultation was required. However, no copy of the contract, specification, tender comparison or invoices has been disclosed, despite my specific request for “contracts, reconciliation statements, invoices and section 20 notices”. This appears to be a one-off high-value item in 2020, with no equivalent charges in other years, and I remain unclear why the Respondent entered into a single-year contract at that level of cost without consultation or explanation. In the absence of supporting documentation, the Applicants are simply asked to trust that the Respondent’s characterisation is accurate.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Taken together, the unexplained one-off BMS “maintenance” contract, the costly “temporary” expansion vessel and associated BMS works, and the missing or unexplained insurance credits reinforce my concern that there is no effective system of accountability or continuous checking of major maintenance expenditure. Significant sums are committed without clear justification, and when insurers do pay out, there is inadequate evidence that those monies are being passed back to the service-charge accounts for the benefit of leaseholders.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Overall assessment</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When one looks across the various maintenance-related headings in the Scott Schedule – Mech &amp; Plant Maintenance, BMS Maintenance, Roof Repairs, Repairs &amp; Maintenance, Fire/H&amp;S and related items – a clear pattern emerges: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An inconsistent charging os expenses across the various service charge headings.  Leaks, flood repairs and maintenance are charged across both Building and Apartment service charge accounts, with no clear demarcation as to why certain leaks are a matter for apartments whilst others are a matter for the whole bulding.  Indeed the roof repairs are charged to the Apartment Service charge accounts when it is the Applicant view that these should be charged to the Building Service charge account.  To assist the Tribunal, I have prepared a summary of Plant, Mech and General Maintenance spreadsheet. (see exhibit KH2 XXXXXX)</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High and volatile annual spend, with no consistent planned-maintenance regime demonstrated;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Multiple overlapping contractors (particularly Heat Interface, AES, Dry Risers and fire-system firms) without clear demarcation of responsibilities;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Service reports that repeatedly flag the same problems year after year, with no clear evidence of follow-up or closure;</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Plant-room servicing that appears to be billed more frequently than the disclosed service records support; and</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A lack of transparency over defects and insurance credits, which appear to have been promised in correspondence but are not clearly reflected in the accounts.</w:t>
      </w:r>
      <w:r>
        <w:rPr>
          <w:rFonts w:ascii="Times New Roman" w:hAnsi="Times New Roman" w:cs="Times New Roman"/>
          <w:sz w:val="24"/>
          <w:sz-cs w:val="24"/>
        </w:rPr>
        <w:t xml:space="preserve"/>
      </w:r>
    </w:p>
    <w:p>
      <w:pPr>
        <w:jc w:val="both"/>
        <w:ind w:left="480"/>
        <w:spacing w:after="240"/>
      </w:pPr>
      <w:r>
        <w:rPr>
          <w:rFonts w:ascii="Times New Roman" w:hAnsi="Times New Roman" w:cs="Times New Roman"/>
          <w:sz w:val="24"/>
          <w:sz-cs w:val="24"/>
        </w:rPr>
        <w:t xml:space="preserve">In my submission, the Respondent has not shown that these maintenance and repair costs have been “reasonably incurred” within the meaning of section 19 of the Landlord and Tenant Act 1985. At the very least, I invite the Tribunal to scrutinise these headings closely, to disallow any elements that represent duplicated work, repeat repairs due to earlier poor workmanship, or costs that ought to have been met by defects/insurance recoveries, and to make such directions as are necessary to ensure that future maintenance is carried out on a planned, transparent and genuinely preventative basis rather than through expensive, ad hoc interventions.</w:t>
      </w:r>
      <w:r>
        <w:rPr>
          <w:rFonts w:ascii="Times New Roman" w:hAnsi="Times New Roman" w:cs="Times New Roman"/>
          <w:sz w:val="24"/>
          <w:sz-cs w:val="24"/>
        </w:rPr>
        <w:t xml:space="preserve"/>
      </w:r>
    </w:p>
    <w:p>
      <w:pPr>
        <w:jc w:val="both"/>
        <w:ind w:left="480"/>
        <w:spacing w:before="100" w:after="240"/>
      </w:pPr>
      <w:r>
        <w:rPr>
          <w:rFonts w:ascii="Times New Roman" w:hAnsi="Times New Roman" w:cs="Times New Roman"/>
          <w:sz w:val="24"/>
          <w:sz-cs w:val="24"/>
        </w:rPr>
        <w:t xml:space="preserve">sdfkhsflkjashlkj</w:t>
      </w:r>
      <w:r>
        <w:rPr>
          <w:rFonts w:ascii="Times New Roman" w:hAnsi="Times New Roman" w:cs="Times New Roman"/>
          <w:sz w:val="24"/>
          <w:sz-cs w:val="24"/>
        </w:rPr>
        <w:t xml:space="preserve"/>
      </w:r>
    </w:p>
    <w:sectPr/>
  </w:body>
</w:document>
</file>

<file path=word/numbering.xml><?xml version="1.0" encoding="utf-8"?>
<w:numbering xmlns:w="http://schemas.openxmlformats.org/wordprocessingml/2006/main">
  <w:abstractNum w:abstractNumI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0"/>
  </w:num>
</w:numbering>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  <Relationship Id="rIdNumbering" Type="http://schemas.openxmlformats.org/officeDocument/2006/relationships/numbering" Target="numbering.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