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spacing w:after="120"/>
      </w:pPr>
      <w:r>
        <w:rPr>
          <w:rFonts w:ascii="Times New Roman" w:hAnsi="Times New Roman" w:cs="Times New Roman"/>
          <w:sz w:val="24"/>
          <w:sz-cs w:val="24"/>
          <w:b/>
        </w:rPr>
        <w:t xml:space="preserve">Case reference: LON/00BK/LSC/2025/0827</w:t>
      </w:r>
      <w:r>
        <w:rPr>
          <w:rFonts w:ascii="Times New Roman" w:hAnsi="Times New Roman" w:cs="Times New Roman"/>
          <w:sz w:val="24"/>
          <w:sz-cs w:val="24"/>
          <w:b/>
        </w:rPr>
        <w:t xml:space="preserve"/>
      </w:r>
    </w:p>
    <w:p>
      <w:pPr>
        <w:jc w:val="center"/>
        <w:spacing w:after="120"/>
      </w:pPr>
      <w:r>
        <w:rPr>
          <w:rFonts w:ascii="Times New Roman" w:hAnsi="Times New Roman" w:cs="Times New Roman"/>
          <w:sz w:val="24"/>
          <w:sz-cs w:val="24"/>
          <w:b/>
        </w:rPr>
        <w:t xml:space="preserve">IN THE FIRST-TIER TRIBUNAL</w:t>
      </w:r>
      <w:r>
        <w:rPr>
          <w:rFonts w:ascii="Times New Roman" w:hAnsi="Times New Roman" w:cs="Times New Roman"/>
          <w:sz w:val="24"/>
          <w:sz-cs w:val="24"/>
          <w:b/>
        </w:rPr>
        <w:t xml:space="preserve"/>
      </w:r>
    </w:p>
    <w:p>
      <w:pPr>
        <w:spacing w:after="240"/>
      </w:pPr>
      <w:r>
        <w:rPr>
          <w:rFonts w:ascii="Times New Roman" w:hAnsi="Times New Roman" w:cs="Times New Roman"/>
          <w:sz w:val="24"/>
          <w:sz-cs w:val="24"/>
          <w:b/>
        </w:rPr>
        <w:t xml:space="preserve">PROPERTY CHAMBER</w:t>
      </w:r>
    </w:p>
    <w:p>
      <w:pPr>
        <w:spacing w:after="240"/>
      </w:pPr>
      <w:r>
        <w:rPr>
          <w:rFonts w:ascii="Times New Roman" w:hAnsi="Times New Roman" w:cs="Times New Roman"/>
          <w:sz w:val="24"/>
          <w:sz-cs w:val="24"/>
          <w:b/>
        </w:rPr>
        <w:t xml:space="preserve">(RESIDENTIAL PROPERTY)</w:t>
      </w:r>
    </w:p>
    <w:p>
      <w:pPr>
        <w:jc w:val="center"/>
        <w:spacing w:after="120"/>
      </w:pPr>
      <w:r>
        <w:rPr>
          <w:rFonts w:ascii="Times New Roman" w:hAnsi="Times New Roman" w:cs="Times New Roman"/>
          <w:sz w:val="24"/>
          <w:sz-cs w:val="24"/>
          <w:b/>
        </w:rPr>
        <w:t xml:space="preserve">IN THE MATTER OF 8 ARTILLERY ROW, LONDON SW1P 1RZ</w:t>
      </w:r>
      <w:r>
        <w:rPr>
          <w:rFonts w:ascii="Times New Roman" w:hAnsi="Times New Roman" w:cs="Times New Roman"/>
          <w:sz w:val="24"/>
          <w:sz-cs w:val="24"/>
          <w:b/>
        </w:rPr>
        <w:t xml:space="preserve"/>
      </w:r>
    </w:p>
    <w:p>
      <w:pPr>
        <w:spacing w:after="240"/>
      </w:pPr>
      <w:r>
        <w:rPr>
          <w:rFonts w:ascii="Times New Roman" w:hAnsi="Times New Roman" w:cs="Times New Roman"/>
          <w:sz w:val="24"/>
          <w:sz-cs w:val="24"/>
          <w:b/>
        </w:rPr>
        <w:t xml:space="preserve"/>
      </w:r>
    </w:p>
    <w:p>
      <w:pPr>
        <w:spacing w:after="240"/>
      </w:pPr>
      <w:r>
        <w:rPr>
          <w:rFonts w:ascii="Times New Roman" w:hAnsi="Times New Roman" w:cs="Times New Roman"/>
          <w:sz w:val="24"/>
          <w:sz-cs w:val="24"/>
          <w:b/>
        </w:rPr>
        <w:t xml:space="preserve">(1) Catherine Bacon (Apt 101)</w:t>
      </w:r>
    </w:p>
    <w:p>
      <w:pPr>
        <w:spacing w:after="240"/>
      </w:pPr>
      <w:r>
        <w:rPr>
          <w:rFonts w:ascii="Times New Roman" w:hAnsi="Times New Roman" w:cs="Times New Roman"/>
          <w:sz w:val="24"/>
          <w:sz-cs w:val="24"/>
          <w:b/>
        </w:rPr>
        <w:t xml:space="preserve">(2) Li Jing (Apt 103)</w:t>
      </w:r>
    </w:p>
    <w:p>
      <w:pPr>
        <w:spacing w:after="240"/>
      </w:pPr>
      <w:r>
        <w:rPr>
          <w:rFonts w:ascii="Times New Roman" w:hAnsi="Times New Roman" w:cs="Times New Roman"/>
          <w:sz w:val="24"/>
          <w:sz-cs w:val="24"/>
          <w:b/>
        </w:rPr>
        <w:t xml:space="preserve">(3) Lan-Anh Jessica Nguyen-Phuong (Apt 201)</w:t>
      </w:r>
    </w:p>
    <w:p>
      <w:pPr>
        <w:spacing w:after="240"/>
      </w:pPr>
      <w:r>
        <w:rPr>
          <w:rFonts w:ascii="Times New Roman" w:hAnsi="Times New Roman" w:cs="Times New Roman"/>
          <w:sz w:val="24"/>
          <w:sz-cs w:val="24"/>
          <w:b/>
        </w:rPr>
        <w:t xml:space="preserve">(4) Yang Xiao (Apt 203)</w:t>
      </w:r>
    </w:p>
    <w:p>
      <w:pPr>
        <w:spacing w:after="240"/>
      </w:pPr>
      <w:r>
        <w:rPr>
          <w:rFonts w:ascii="Times New Roman" w:hAnsi="Times New Roman" w:cs="Times New Roman"/>
          <w:sz w:val="24"/>
          <w:sz-cs w:val="24"/>
          <w:b/>
        </w:rPr>
        <w:t xml:space="preserve">(5) Nigel Harris (Apt 301)</w:t>
      </w:r>
    </w:p>
    <w:p>
      <w:pPr>
        <w:spacing w:after="240"/>
      </w:pPr>
      <w:r>
        <w:rPr>
          <w:rFonts w:ascii="Times New Roman" w:hAnsi="Times New Roman" w:cs="Times New Roman"/>
          <w:sz w:val="24"/>
          <w:sz-cs w:val="24"/>
          <w:b/>
        </w:rPr>
        <w:t xml:space="preserve">(6) Divine Heritage Ltd (Apt 302)</w:t>
      </w:r>
    </w:p>
    <w:p>
      <w:pPr>
        <w:spacing w:after="240"/>
      </w:pPr>
      <w:r>
        <w:rPr>
          <w:rFonts w:ascii="Times New Roman" w:hAnsi="Times New Roman" w:cs="Times New Roman"/>
          <w:sz w:val="24"/>
          <w:sz-cs w:val="24"/>
          <w:b/>
        </w:rPr>
        <w:t xml:space="preserve">(7) Nick and Debbie Chism (Apt 303)</w:t>
      </w:r>
    </w:p>
    <w:p>
      <w:pPr>
        <w:spacing w:after="240"/>
      </w:pPr>
      <w:r>
        <w:rPr>
          <w:rFonts w:ascii="Times New Roman" w:hAnsi="Times New Roman" w:cs="Times New Roman"/>
          <w:sz w:val="24"/>
          <w:sz-cs w:val="24"/>
          <w:b/>
        </w:rPr>
        <w:t xml:space="preserve">(8) Hingwan Cheung (Apt 403)</w:t>
      </w:r>
    </w:p>
    <w:p>
      <w:pPr>
        <w:spacing w:after="240"/>
      </w:pPr>
      <w:r>
        <w:rPr>
          <w:rFonts w:ascii="Times New Roman" w:hAnsi="Times New Roman" w:cs="Times New Roman"/>
          <w:sz w:val="24"/>
          <w:sz-cs w:val="24"/>
          <w:b/>
        </w:rPr>
        <w:t xml:space="preserve">(9) Albert Abutaliev and Regina Arsentyeva (Apt 601)</w:t>
      </w:r>
    </w:p>
    <w:p>
      <w:pPr>
        <w:numPr>
          <w:ilvl w:val="0"/>
          <w:numId w:val="1"/>
        </w:numPr>
        <w:spacing w:after="240"/>
      </w:pPr>
      <w:r>
        <w:rPr>
          <w:rFonts w:ascii="Times New Roman" w:hAnsi="Times New Roman" w:cs="Times New Roman"/>
          <w:sz w:val="24"/>
          <w:sz-cs w:val="24"/>
          <w:b/>
        </w:rPr>
        <w:t xml:space="preserve">(10) Lucia Granozio (Apt 602)</w:t>
      </w:r>
    </w:p>
    <w:p>
      <w:pPr>
        <w:numPr>
          <w:ilvl w:val="0"/>
          <w:numId w:val="1"/>
        </w:numPr>
      </w:pPr>
      <w:pPr>
        <w:numPr>
          <w:ilvl w:val="0"/>
          <w:numId w:val="1"/>
        </w:numPr>
        <w:spacing w:after="240"/>
      </w:pPr>
      <w:r>
        <w:rPr>
          <w:rFonts w:ascii="Times New Roman" w:hAnsi="Times New Roman" w:cs="Times New Roman"/>
          <w:sz w:val="24"/>
          <w:sz-cs w:val="24"/>
          <w:b/>
        </w:rPr>
        <w:t xml:space="preserve">(11) Geetanjali Dwivedi and Nachiketa Nachiketa (Apt 603)</w:t>
      </w:r>
    </w:p>
    <w:p>
      <w:pPr>
        <w:numPr>
          <w:ilvl w:val="0"/>
          <w:numId w:val="1"/>
        </w:numPr>
        <w:spacing w:after="240"/>
      </w:pPr>
      <w:r>
        <w:rPr>
          <w:rFonts w:ascii="Times New Roman" w:hAnsi="Times New Roman" w:cs="Times New Roman"/>
          <w:sz w:val="24"/>
          <w:sz-cs w:val="24"/>
          <w:b/>
        </w:rPr>
        <w:t xml:space="preserve">(12) Jimmy Hidayat under a Power of Attorney for Julian Alexander (Apt 701)</w:t>
      </w:r>
    </w:p>
    <w:p>
      <w:pPr>
        <w:numPr>
          <w:ilvl w:val="0"/>
          <w:numId w:val="1"/>
        </w:numPr>
      </w:pPr>
      <w:pPr>
        <w:numPr>
          <w:ilvl w:val="0"/>
          <w:numId w:val="1"/>
        </w:numPr>
        <w:spacing w:after="240"/>
      </w:pPr>
      <w:r>
        <w:rPr>
          <w:rFonts w:ascii="Times New Roman" w:hAnsi="Times New Roman" w:cs="Times New Roman"/>
          <w:sz w:val="24"/>
          <w:sz-cs w:val="24"/>
          <w:b/>
        </w:rPr>
        <w:t xml:space="preserve">(13) Yu-Yu Lin (Apt 702)</w:t>
      </w:r>
    </w:p>
    <w:p>
      <w:pPr>
        <w:numPr>
          <w:ilvl w:val="0"/>
          <w:numId w:val="1"/>
        </w:numPr>
        <w:spacing w:after="240"/>
      </w:pPr>
      <w:r>
        <w:rPr>
          <w:rFonts w:ascii="Times New Roman" w:hAnsi="Times New Roman" w:cs="Times New Roman"/>
          <w:sz w:val="24"/>
          <w:sz-cs w:val="24"/>
          <w:b/>
        </w:rPr>
        <w:t xml:space="preserve">(14) Khalid Al Jassim (Apt 703)</w:t>
      </w:r>
    </w:p>
    <w:p>
      <w:pPr>
        <w:numPr>
          <w:ilvl w:val="0"/>
          <w:numId w:val="1"/>
        </w:numPr>
      </w:pPr>
      <w:pPr>
        <w:numPr>
          <w:ilvl w:val="2"/>
          <w:numId w:val="1"/>
        </w:numPr>
        <w:spacing w:after="240"/>
      </w:pPr>
      <w:r>
        <w:rPr>
          <w:rFonts w:ascii="Times New Roman" w:hAnsi="Times New Roman" w:cs="Times New Roman"/>
          <w:sz w:val="24"/>
          <w:sz-cs w:val="24"/>
          <w:b/>
        </w:rPr>
        <w:t xml:space="preserve">(15) Raymond Gubbay CBE (Penthouse)</w:t>
      </w:r>
    </w:p>
    <w:p>
      <w:pPr>
        <w:numPr>
          <w:ilvl w:val="0"/>
          <w:numId w:val="1"/>
        </w:numPr>
      </w:pPr>
      <w:pPr>
        <w:jc w:val="center"/>
        <w:spacing w:after="120"/>
      </w:pPr>
      <w:r>
        <w:rPr>
          <w:rFonts w:ascii="Times New Roman" w:hAnsi="Times New Roman" w:cs="Times New Roman"/>
          <w:sz w:val="24"/>
          <w:sz-cs w:val="24"/>
          <w:b/>
        </w:rPr>
        <w:t xml:space="preserve">Applicants</w:t>
      </w:r>
      <w:r>
        <w:rPr>
          <w:rFonts w:ascii="Times New Roman" w:hAnsi="Times New Roman" w:cs="Times New Roman"/>
          <w:sz w:val="24"/>
          <w:sz-cs w:val="24"/>
          <w:b/>
        </w:rPr>
        <w:t xml:space="preserve"/>
      </w:r>
    </w:p>
    <w:p>
      <w:pPr>
        <w:numPr>
          <w:ilvl w:val="0"/>
          <w:numId w:val="1"/>
        </w:numPr>
      </w:pPr>
      <w:pPr>
        <w:numPr>
          <w:ilvl w:val="0"/>
          <w:numId w:val="1"/>
        </w:numPr>
        <w:spacing w:after="240"/>
      </w:pPr>
      <w:r>
        <w:rPr>
          <w:rFonts w:ascii="Times New Roman" w:hAnsi="Times New Roman" w:cs="Times New Roman"/>
          <w:sz w:val="24"/>
          <w:sz-cs w:val="24"/>
          <w:b/>
        </w:rPr>
        <w:t xml:space="preserve">- and -</w:t>
      </w:r>
    </w:p>
    <w:p>
      <w:pPr>
        <w:numPr>
          <w:ilvl w:val="0"/>
          <w:numId w:val="1"/>
        </w:numPr>
      </w:pPr>
      <w:pPr>
        <w:numPr>
          <w:ilvl w:val="0"/>
          <w:numId w:val="1"/>
        </w:numPr>
        <w:spacing w:after="240"/>
      </w:pPr>
      <w:r>
        <w:rPr>
          <w:rFonts w:ascii="Times New Roman" w:hAnsi="Times New Roman" w:cs="Times New Roman"/>
          <w:sz w:val="24"/>
          <w:sz-cs w:val="24"/>
          <w:b/>
        </w:rPr>
        <w:t xml:space="preserve">AVON GROUND RENTS LIMITED</w:t>
      </w:r>
    </w:p>
    <w:p>
      <w:pPr>
        <w:numPr>
          <w:ilvl w:val="0"/>
          <w:numId w:val="1"/>
        </w:numPr>
      </w:pPr>
      <w:pPr>
        <w:numPr>
          <w:ilvl w:val="0"/>
          <w:numId w:val="1"/>
        </w:numPr>
        <w:jc w:val="center"/>
        <w:spacing w:after="120"/>
      </w:pPr>
      <w:r>
        <w:rPr>
          <w:rFonts w:ascii="Times New Roman" w:hAnsi="Times New Roman" w:cs="Times New Roman"/>
          <w:sz w:val="24"/>
          <w:sz-cs w:val="24"/>
          <w:b/>
        </w:rPr>
        <w:t xml:space="preserve">Respondent</w:t>
      </w:r>
      <w:r>
        <w:rPr>
          <w:rFonts w:ascii="Times New Roman" w:hAnsi="Times New Roman" w:cs="Times New Roman"/>
          <w:sz w:val="24"/>
          <w:sz-cs w:val="24"/>
          <w:b/>
        </w:rPr>
        <w:t xml:space="preserve"/>
      </w:r>
    </w:p>
    <w:p>
      <w:pPr>
        <w:numPr>
          <w:ilvl w:val="0"/>
          <w:numId w:val="1"/>
        </w:numPr>
      </w:pPr>
      <w:pPr>
        <w:numPr>
          <w:ilvl w:val="0"/>
          <w:numId w:val="1"/>
        </w:numPr>
        <w:spacing w:after="240"/>
      </w:pPr>
      <w:r>
        <w:rPr>
          <w:rFonts w:ascii="Times New Roman" w:hAnsi="Times New Roman" w:cs="Times New Roman"/>
          <w:sz w:val="24"/>
          <w:sz-cs w:val="24"/>
          <w:b/>
        </w:rPr>
        <w:t xml:space="preserve">_________________________________________</w:t>
      </w:r>
    </w:p>
    <w:p>
      <w:pPr>
        <w:numPr>
          <w:ilvl w:val="0"/>
          <w:numId w:val="1"/>
        </w:numPr>
      </w:pPr>
      <w:pPr>
        <w:numPr>
          <w:ilvl w:val="0"/>
          <w:numId w:val="1"/>
        </w:numPr>
        <w:jc w:val="center"/>
        <w:spacing w:after="120"/>
      </w:pPr>
      <w:r>
        <w:rPr>
          <w:rFonts w:ascii="Times New Roman" w:hAnsi="Times New Roman" w:cs="Times New Roman"/>
          <w:sz w:val="24"/>
          <w:sz-cs w:val="24"/>
          <w:b/>
        </w:rPr>
        <w:t xml:space="preserve">WITNESS STATEMENT OF MR KEVIN HASTINGS</w:t>
      </w:r>
      <w:r>
        <w:rPr>
          <w:rFonts w:ascii="Times New Roman" w:hAnsi="Times New Roman" w:cs="Times New Roman"/>
          <w:sz w:val="24"/>
          <w:sz-cs w:val="24"/>
          <w:b/>
        </w:rPr>
        <w:t xml:space="preserve"/>
      </w:r>
    </w:p>
    <w:p>
      <w:pPr>
        <w:numPr>
          <w:ilvl w:val="0"/>
          <w:numId w:val="1"/>
        </w:numPr>
      </w:pPr>
      <w:pPr>
        <w:numPr>
          <w:ilvl w:val="0"/>
          <w:numId w:val="1"/>
        </w:numPr>
        <w:spacing w:after="240"/>
      </w:pPr>
      <w:r>
        <w:rPr>
          <w:rFonts w:ascii="Times New Roman" w:hAnsi="Times New Roman" w:cs="Times New Roman"/>
          <w:sz w:val="24"/>
          <w:sz-cs w:val="24"/>
          <w:b/>
        </w:rPr>
        <w:t xml:space="preserve">__________________________________________</w:t>
      </w:r>
    </w:p>
    <w:p>
      <w:pPr>
        <w:numPr>
          <w:ilvl w:val="0"/>
          <w:numId w:val="1"/>
        </w:numPr>
        <w:spacing w:after="240"/>
      </w:pPr>
      <w:r>
        <w:rPr>
          <w:rFonts w:ascii="Times New Roman" w:hAnsi="Times New Roman" w:cs="Times New Roman"/>
          <w:sz w:val="24"/>
          <w:sz-cs w:val="24"/>
          <w:b/>
        </w:rPr>
        <w:t xml:space="preserve"/>
      </w:r>
    </w:p>
    <w:p>
      <w:pPr>
        <w:numPr>
          <w:ilvl w:val="0"/>
          <w:numId w:val="1"/>
        </w:numPr>
      </w:pPr>
      <w:pPr>
        <w:numPr>
          <w:ilvl w:val="0"/>
          <w:numId w:val="1"/>
        </w:numPr>
      </w:pPr>
      <w:r>
        <w:rPr>
          <w:rFonts w:ascii="Times New Roman" w:hAnsi="Times New Roman" w:cs="Times New Roman"/>
          <w:sz w:val="24"/>
          <w:sz-cs w:val="24"/>
        </w:rPr>
        <w:t xml:space="preserve"/>
      </w:r>
    </w:p>
    <w:p>
      <w:pPr>
        <w:numPr>
          <w:ilvl w:val="0"/>
          <w:numId w:val="1"/>
        </w:numPr>
      </w:pPr>
      <w:pPr>
        <w:numPr>
          <w:ilvl w:val="0"/>
          <w:numId w:val="1"/>
        </w:numPr>
      </w:pPr>
      <w:r>
        <w:rPr>
          <w:rFonts w:ascii="Times New Roman" w:hAnsi="Times New Roman" w:cs="Times New Roman"/>
          <w:sz w:val="24"/>
          <w:sz-cs w:val="24"/>
        </w:rPr>
        <w:t xml:space="preserve"/>
      </w:r>
    </w:p>
    <w:p>
      <w:pPr>
        <w:numPr>
          <w:ilvl w:val="0"/>
          <w:numId w:val="1"/>
        </w:numPr>
      </w:pPr>
      <w:pPr>
        <w:numPr>
          <w:ilvl w:val="0"/>
          <w:numId w:val="1"/>
        </w:numPr>
        <w:jc w:val="both"/>
        <w:ind w:left="480"/>
        <w:spacing w:after="240"/>
      </w:pPr>
      <w:r>
        <w:rPr>
          <w:rFonts w:ascii="Times New Roman" w:hAnsi="Times New Roman" w:cs="Times New Roman"/>
          <w:sz w:val="24"/>
          <w:sz-cs w:val="24"/>
        </w:rPr>
        <w:t xml:space="preserve">I, Kevin Hastings of 21 Corbet Close, Wallington SM6 7GB will say as follows:</w:t>
      </w:r>
      <w:r>
        <w:rPr>
          <w:rFonts w:ascii="Times New Roman" w:hAnsi="Times New Roman" w:cs="Times New Roman"/>
          <w:sz w:val="24"/>
          <w:sz-cs w:val="24"/>
        </w:rPr>
        <w:t xml:space="preserve"/>
      </w:r>
    </w:p>
    <w:p>
      <w:pPr>
        <w:numPr>
          <w:ilvl w:val="0"/>
          <w:numId w:val="1"/>
        </w:numPr>
      </w:pPr>
      <w:pPr>
        <w:numPr>
          <w:ilvl w:val="0"/>
          <w:numId w:val="1"/>
        </w:numPr>
        <w:jc w:val="both"/>
        <w:ind w:left="480"/>
        <w:spacing w:after="240"/>
      </w:pPr>
      <w:r>
        <w:rPr>
          <w:rFonts w:ascii="Times New Roman" w:hAnsi="Times New Roman" w:cs="Times New Roman"/>
          <w:sz w:val="24"/>
          <w:sz-cs w:val="24"/>
        </w:rPr>
        <w:t xml:space="preserve">I have served as the Chair of the 8 Artillery Row Residents Association since its inception until present day. Although I am not a leaseholder, I was a tenant who resided at 8 Artillery Row, London SW1P 1RZ (“the Building”) from 16 April 2016 until 19 May 2024. I have been deeply involved in representing and supporting the leaseholders through the prolonged and distressing process related to the cladding and fire safety issues at our building.</w:t>
      </w:r>
      <w:r>
        <w:rPr>
          <w:rFonts w:ascii="Times New Roman" w:hAnsi="Times New Roman" w:cs="Times New Roman"/>
          <w:sz w:val="24"/>
          <w:sz-cs w:val="24"/>
        </w:rPr>
        <w:t xml:space="preserve"/>
      </w:r>
    </w:p>
    <w:p>
      <w:pPr>
        <w:numPr>
          <w:ilvl w:val="0"/>
          <w:numId w:val="1"/>
        </w:numPr>
        <w:jc w:val="both"/>
        <w:ind w:left="480"/>
        <w:spacing w:after="240"/>
      </w:pPr>
      <w:r>
        <w:rPr>
          <w:rFonts w:ascii="Times New Roman" w:hAnsi="Times New Roman" w:cs="Times New Roman"/>
          <w:sz w:val="24"/>
          <w:sz-cs w:val="24"/>
        </w:rPr>
        <w:t xml:space="preserve">The facts and matter set out in this statement are within my own knowledge unless otherwise stated, and I believe them to be true. Where I refer to information supplied by others the source of the information is identified; facts and matters derived from other sources are true to the best of my knowledge and belief.</w:t>
      </w:r>
      <w:r>
        <w:rPr>
          <w:rFonts w:ascii="Times New Roman" w:hAnsi="Times New Roman" w:cs="Times New Roman"/>
          <w:sz w:val="24"/>
          <w:sz-cs w:val="24"/>
        </w:rPr>
        <w:t xml:space="preserve"/>
      </w:r>
    </w:p>
    <w:p>
      <w:pPr>
        <w:numPr>
          <w:ilvl w:val="0"/>
          <w:numId w:val="1"/>
        </w:numPr>
      </w:pPr>
      <w:pPr>
        <w:numPr>
          <w:ilvl w:val="0"/>
          <w:numId w:val="1"/>
        </w:numPr>
        <w:jc w:val="both"/>
        <w:ind w:left="480"/>
        <w:spacing w:before="100" w:after="240"/>
      </w:pPr>
      <w:r>
        <w:rPr>
          <w:rFonts w:ascii="Times New Roman" w:hAnsi="Times New Roman" w:cs="Times New Roman"/>
          <w:sz w:val="24"/>
          <w:sz-cs w:val="24"/>
          <w:b/>
        </w:rPr>
        <w:t xml:space="preserve">WITNESS STATEMENT OF KEVIN HASTINGS</w:t>
      </w:r>
      <w:r>
        <w:rPr>
          <w:rFonts w:ascii="Times New Roman" w:hAnsi="Times New Roman" w:cs="Times New Roman"/>
          <w:sz w:val="24"/>
          <w:sz-cs w:val="24"/>
        </w:rPr>
        <w:t xml:space="preserve"/>
      </w:r>
    </w:p>
    <w:p>
      <w:pPr>
        <w:numPr>
          <w:ilvl w:val="0"/>
          <w:numId w:val="1"/>
        </w:numPr>
        <w:jc w:val="both"/>
        <w:ind w:left="480"/>
        <w:spacing w:after="240"/>
      </w:pPr>
      <w:r>
        <w:rPr>
          <w:rFonts w:ascii="Times New Roman" w:hAnsi="Times New Roman" w:cs="Times New Roman"/>
          <w:sz w:val="24"/>
          <w:sz-cs w:val="24"/>
        </w:rPr>
        <w:t xml:space="preserve">I, Kevin Hastings of 21 Corbet Close, Wallington SM6 7GB will say as follows:</w:t>
      </w:r>
      <w:r>
        <w:rPr>
          <w:rFonts w:ascii="Times New Roman" w:hAnsi="Times New Roman" w:cs="Times New Roman"/>
          <w:sz w:val="24"/>
          <w:sz-cs w:val="24"/>
        </w:rPr>
        <w:t xml:space="preserve"/>
      </w:r>
    </w:p>
    <w:p>
      <w:pPr>
        <w:numPr>
          <w:ilvl w:val="0"/>
          <w:numId w:val="1"/>
        </w:numPr>
      </w:pPr>
      <w:pPr>
        <w:numPr>
          <w:ilvl w:val="0"/>
          <w:numId w:val="1"/>
        </w:numPr>
        <w:jc w:val="both"/>
        <w:ind w:left="480"/>
        <w:spacing w:after="240"/>
      </w:pPr>
      <w:r>
        <w:rPr>
          <w:rFonts w:ascii="Times New Roman" w:hAnsi="Times New Roman" w:cs="Times New Roman"/>
          <w:sz w:val="24"/>
          <w:sz-cs w:val="24"/>
        </w:rPr>
        <w:t xml:space="preserve">I have served as the Chair of the 8 Artillery Row Residents Association since its inception until presentday. Although I am not a leaseholder, I was a tenant who resided at 8 Artillery Row, London SW1P 1RZ (“the Building”) from 16 April 2016 until 19 May 2024. I have been deeply involved in representing and supporting the leaseholders through the prolonged and distressing process related to the cladding and fire safety issues at our building.</w:t>
      </w:r>
      <w:r>
        <w:rPr>
          <w:rFonts w:ascii="Times New Roman" w:hAnsi="Times New Roman" w:cs="Times New Roman"/>
          <w:sz w:val="24"/>
          <w:sz-cs w:val="24"/>
        </w:rPr>
        <w:t xml:space="preserve"/>
      </w:r>
    </w:p>
    <w:p>
      <w:pPr>
        <w:numPr>
          <w:ilvl w:val="0"/>
          <w:numId w:val="1"/>
        </w:numPr>
      </w:pPr>
      <w:pPr>
        <w:numPr>
          <w:ilvl w:val="0"/>
          <w:numId w:val="1"/>
        </w:numPr>
        <w:jc w:val="both"/>
        <w:ind w:left="480"/>
        <w:spacing w:before="100" w:after="240"/>
      </w:pPr>
      <w:r>
        <w:rPr>
          <w:rFonts w:ascii="Times New Roman" w:hAnsi="Times New Roman" w:cs="Times New Roman"/>
          <w:sz w:val="24"/>
          <w:sz-cs w:val="24"/>
        </w:rPr>
        <w:t xml:space="preserve">The facts and matter set out in this statement are within my own knowledge unless otherwise stated, and I believe them to be true. Where I refer to information supplied by others the source of the information is identified; facts and matters derived from other sources are true to the best of my knowledge and belief.</w:t>
      </w:r>
      <w:r>
        <w:rPr>
          <w:rFonts w:ascii="Times New Roman" w:hAnsi="Times New Roman" w:cs="Times New Roman"/>
          <w:sz w:val="24"/>
          <w:sz-cs w:val="24"/>
        </w:rPr>
        <w:t xml:space="preserve"/>
      </w:r>
    </w:p>
    <w:p>
      <w:pPr>
        <w:numPr>
          <w:ilvl w:val="0"/>
          <w:numId w:val="1"/>
        </w:numPr>
        <w:jc w:val="both"/>
        <w:spacing w:before="100" w:after="240"/>
      </w:pPr>
      <w:r>
        <w:rPr>
          <w:rFonts w:ascii="Times New Roman" w:hAnsi="Times New Roman" w:cs="Times New Roman"/>
          <w:sz w:val="24"/>
          <w:sz-cs w:val="24"/>
        </w:rPr>
        <w:t xml:space="preserve">A. INTRODUCTION AND CAPACITY</w:t>
      </w:r>
      <w:r>
        <w:rPr>
          <w:rFonts w:ascii="Times New Roman" w:hAnsi="Times New Roman" w:cs="Times New Roman"/>
          <w:sz w:val="24"/>
          <w:sz-cs w:val="24"/>
        </w:rPr>
        <w:t xml:space="preserve"/>
      </w:r>
    </w:p>
    <w:p>
      <w:pPr>
        <w:numPr>
          <w:ilvl w:val="1"/>
          <w:numId w:val="1"/>
        </w:numPr>
      </w:pPr>
      <w:pPr>
        <w:numPr>
          <w:ilvl w:val="0"/>
          <w:numId w:val="1"/>
        </w:numPr>
        <w:jc w:val="both"/>
        <w:ind w:left="480"/>
        <w:spacing w:before="100" w:after="240"/>
      </w:pPr>
      <w:r>
        <w:rPr>
          <w:rFonts w:ascii="Times New Roman" w:hAnsi="Times New Roman" w:cs="Times New Roman"/>
          <w:sz w:val="24"/>
          <w:sz-cs w:val="24"/>
        </w:rPr>
        <w:t xml:space="preserve">I lived at 8 Artillery Row with my family from April 2016 until May 2024. I helped to set up, and have since served as Chair of, the 8 Artillery Row Residents’ Association (“8ARRA”). The Association was only formally recognised by the Respondent after an application to this Tribunal.</w:t>
      </w:r>
      <w:r>
        <w:rPr>
          <w:rFonts w:ascii="Times New Roman" w:hAnsi="Times New Roman" w:cs="Times New Roman"/>
          <w:sz w:val="24"/>
          <w:sz-cs w:val="24"/>
        </w:rPr>
        <w:t xml:space="preserve"/>
      </w:r>
    </w:p>
    <w:p>
      <w:pPr>
        <w:numPr>
          <w:ilvl w:val="0"/>
          <w:numId w:val="1"/>
        </w:numPr>
      </w:pPr>
      <w:pPr>
        <w:jc w:val="both"/>
        <w:ind w:left="480"/>
        <w:spacing w:before="100" w:after="240"/>
      </w:pPr>
      <w:r>
        <w:rPr>
          <w:rFonts w:ascii="Times New Roman" w:hAnsi="Times New Roman" w:cs="Times New Roman"/>
          <w:sz w:val="24"/>
          <w:sz-cs w:val="24"/>
        </w:rPr>
        <w:t xml:space="preserve">I make this statement on behalf of the Applicants. The facts and matters set out are within my own knowledge, or are derived from documents held by 8ARRA, from supplier and contractor documents, and from correspondence with Y&amp;Y and representatives of the Respondent. Where I refer to documents, they are exhibited under the reference KH-[number].</w:t>
      </w:r>
      <w:r>
        <w:rPr>
          <w:rFonts w:ascii="Times New Roman" w:hAnsi="Times New Roman" w:cs="Times New Roman"/>
          <w:sz w:val="24"/>
          <w:sz-cs w:val="24"/>
        </w:rPr>
        <w:t xml:space="preserve"/>
      </w:r>
    </w:p>
    <w:p>
      <w:pPr>
        <w:numPr>
          <w:ilvl w:val="0"/>
          <w:numId w:val="1"/>
        </w:numPr>
      </w:pPr>
      <w:pPr>
        <w:numPr>
          <w:ilvl w:val="0"/>
          <w:numId w:val="1"/>
        </w:numPr>
        <w:jc w:val="both"/>
        <w:ind w:left="480"/>
        <w:spacing w:before="100" w:after="240"/>
      </w:pPr>
      <w:r>
        <w:rPr>
          <w:rFonts w:ascii="Times New Roman" w:hAnsi="Times New Roman" w:cs="Times New Roman"/>
          <w:sz w:val="24"/>
          <w:sz-cs w:val="24"/>
        </w:rPr>
        <w:t xml:space="preserve">This statement supports the Applicants’ challenge to the service charges demanded for the years 2017–2024. It addresses, among other things: (i) the reasonableness and payability of key heads of cost; (ii) the management of communal plant and building services (including heating, cooling and pumps); (iii) the procurement and validation of electricity and gas; and (iv) insurance, accounting and consultation issues.</w:t>
      </w:r>
      <w:r>
        <w:rPr>
          <w:rFonts w:ascii="Times New Roman" w:hAnsi="Times New Roman" w:cs="Times New Roman"/>
          <w:sz w:val="24"/>
          <w:sz-cs w:val="24"/>
        </w:rPr>
        <w:t xml:space="preserve"/>
      </w:r>
    </w:p>
    <w:p>
      <w:pPr>
        <w:numPr>
          <w:ilvl w:val="1"/>
          <w:numId w:val="1"/>
        </w:numPr>
      </w:pPr>
      <w:pPr>
        <w:jc w:val="both"/>
        <w:ind w:left="480"/>
        <w:spacing w:before="100" w:after="240"/>
      </w:pPr>
      <w:r>
        <w:rPr>
          <w:rFonts w:ascii="Times New Roman" w:hAnsi="Times New Roman" w:cs="Times New Roman"/>
          <w:sz w:val="24"/>
          <w:sz-cs w:val="24"/>
        </w:rPr>
        <w:t xml:space="preserve">The statement is intended to be read alongside the Applicants’ Scott Schedule (filed on 2 September 2025) and Statement of Case. It is a factual account of my dealings with the Respondent and its managing agent, and of the evidence we have been able to obtain.</w:t>
      </w:r>
      <w:r>
        <w:rPr>
          <w:rFonts w:ascii="Times New Roman" w:hAnsi="Times New Roman" w:cs="Times New Roman"/>
          <w:sz w:val="24"/>
          <w:sz-cs w:val="24"/>
        </w:rPr>
        <w:t xml:space="preserve"/>
      </w:r>
    </w:p>
    <w:p>
      <w:pPr>
        <w:numPr>
          <w:ilvl w:val="0"/>
          <w:numId w:val="1"/>
        </w:numPr>
      </w:pPr>
      <w:pPr>
        <w:numPr>
          <w:ilvl w:val="0"/>
          <w:numId w:val="1"/>
        </w:numPr>
        <w:jc w:val="both"/>
        <w:ind w:left="480"/>
        <w:spacing w:after="240"/>
      </w:pPr>
      <w:r>
        <w:rPr>
          <w:rFonts w:ascii="Times New Roman" w:hAnsi="Times New Roman" w:cs="Times New Roman"/>
          <w:sz w:val="24"/>
          <w:sz-cs w:val="24"/>
          <w:color w:val="0E2841"/>
        </w:rPr>
        <w:t xml:space="preserve">Category</w:t>
      </w:r>
      <w:r>
        <w:rPr>
          <w:rFonts w:ascii="Times New Roman" w:hAnsi="Times New Roman" w:cs="Times New Roman"/>
          <w:sz w:val="24"/>
          <w:sz-cs w:val="24"/>
        </w:rPr>
        <w:t xml:space="preserve"/>
      </w:r>
    </w:p>
    <w:p>
      <w:pPr>
        <w:numPr>
          <w:ilvl w:val="0"/>
          <w:numId w:val="1"/>
        </w:numPr>
        <w:jc w:val="both"/>
        <w:ind w:left="480"/>
        <w:spacing w:after="240"/>
      </w:pPr>
      <w:r>
        <w:rPr>
          <w:rFonts w:ascii="Times New Roman" w:hAnsi="Times New Roman" w:cs="Times New Roman"/>
          <w:sz w:val="24"/>
          <w:sz-cs w:val="24"/>
          <w:color w:val="0E2841"/>
        </w:rPr>
        <w:t xml:space="preserve">Reason for reduction</w:t>
      </w:r>
      <w:r>
        <w:rPr>
          <w:rFonts w:ascii="Times New Roman" w:hAnsi="Times New Roman" w:cs="Times New Roman"/>
          <w:sz w:val="24"/>
          <w:sz-cs w:val="24"/>
        </w:rPr>
        <w:t xml:space="preserve"/>
      </w:r>
    </w:p>
    <w:p>
      <w:pPr>
        <w:numPr>
          <w:ilvl w:val="0"/>
          <w:numId w:val="1"/>
        </w:numPr>
      </w:pPr>
      <w:pPr>
        <w:numPr>
          <w:ilvl w:val="0"/>
          <w:numId w:val="1"/>
        </w:numPr>
        <w:jc w:val="both"/>
        <w:ind w:left="480"/>
        <w:spacing w:after="240"/>
      </w:pPr>
      <w:r>
        <w:rPr>
          <w:rFonts w:ascii="Times New Roman" w:hAnsi="Times New Roman" w:cs="Times New Roman"/>
          <w:sz w:val="24"/>
          <w:sz-cs w:val="24"/>
          <w:color w:val="0E2841"/>
        </w:rPr>
        <w:t xml:space="preserve">Period of overcharge/double charge</w:t>
      </w:r>
      <w:r>
        <w:rPr>
          <w:rFonts w:ascii="Times New Roman" w:hAnsi="Times New Roman" w:cs="Times New Roman"/>
          <w:sz w:val="24"/>
          <w:sz-cs w:val="24"/>
        </w:rPr>
        <w:t xml:space="preserve"/>
      </w:r>
    </w:p>
    <w:p>
      <w:pPr>
        <w:numPr>
          <w:ilvl w:val="0"/>
          <w:numId w:val="1"/>
        </w:numPr>
      </w:pPr>
      <w:pPr>
        <w:numPr>
          <w:ilvl w:val="0"/>
          <w:numId w:val="1"/>
        </w:numPr>
        <w:jc w:val="both"/>
        <w:ind w:left="480"/>
        <w:spacing w:after="240"/>
      </w:pPr>
      <w:r>
        <w:rPr>
          <w:rFonts w:ascii="Times New Roman" w:hAnsi="Times New Roman" w:cs="Times New Roman"/>
          <w:sz w:val="24"/>
          <w:sz-cs w:val="24"/>
          <w:color w:val="0E2841"/>
        </w:rPr>
        <w:t xml:space="preserve">Amount claimed</w:t>
      </w:r>
      <w:r>
        <w:rPr>
          <w:rFonts w:ascii="Times New Roman" w:hAnsi="Times New Roman" w:cs="Times New Roman"/>
          <w:sz w:val="24"/>
          <w:sz-cs w:val="24"/>
        </w:rPr>
        <w:t xml:space="preserve"/>
      </w:r>
    </w:p>
    <w:p>
      <w:pPr>
        <w:numPr>
          <w:ilvl w:val="0"/>
          <w:numId w:val="1"/>
        </w:numPr>
      </w:pPr>
      <w:pPr>
        <w:numPr>
          <w:ilvl w:val="0"/>
          <w:numId w:val="1"/>
        </w:numPr>
        <w:jc w:val="both"/>
        <w:ind w:left="480"/>
        <w:spacing w:after="240"/>
      </w:pPr>
      <w:r>
        <w:rPr>
          <w:rFonts w:ascii="Times New Roman" w:hAnsi="Times New Roman" w:cs="Times New Roman"/>
          <w:sz w:val="24"/>
          <w:sz-cs w:val="24"/>
          <w:color w:val="0E2841"/>
        </w:rPr>
        <w:t xml:space="preserve">Heat and Hot water</w:t>
      </w:r>
      <w:r>
        <w:rPr>
          <w:rFonts w:ascii="Times New Roman" w:hAnsi="Times New Roman" w:cs="Times New Roman"/>
          <w:sz w:val="24"/>
          <w:sz-cs w:val="24"/>
        </w:rPr>
        <w:t xml:space="preserve"/>
      </w:r>
    </w:p>
    <w:p>
      <w:pPr>
        <w:numPr>
          <w:ilvl w:val="0"/>
          <w:numId w:val="1"/>
        </w:numPr>
      </w:pPr>
      <w:pPr>
        <w:numPr>
          <w:ilvl w:val="0"/>
          <w:numId w:val="1"/>
        </w:numPr>
        <w:jc w:val="both"/>
        <w:ind w:left="480"/>
        <w:spacing w:after="240"/>
      </w:pPr>
      <w:r>
        <w:rPr>
          <w:rFonts w:ascii="Times New Roman" w:hAnsi="Times New Roman" w:cs="Times New Roman"/>
          <w:sz w:val="24"/>
          <w:sz-cs w:val="24"/>
          <w:color w:val="0E2841"/>
        </w:rPr>
        <w:t xml:space="preserve">Duplicated maintenance/admin costs</w:t>
      </w:r>
      <w:r>
        <w:rPr>
          <w:rFonts w:ascii="Times New Roman" w:hAnsi="Times New Roman" w:cs="Times New Roman"/>
          <w:sz w:val="24"/>
          <w:sz-cs w:val="24"/>
        </w:rPr>
        <w:t xml:space="preserve"/>
      </w:r>
    </w:p>
    <w:p>
      <w:pPr>
        <w:numPr>
          <w:ilvl w:val="0"/>
          <w:numId w:val="1"/>
        </w:numPr>
      </w:pPr>
      <w:pPr>
        <w:numPr>
          <w:ilvl w:val="0"/>
          <w:numId w:val="1"/>
        </w:numPr>
        <w:jc w:val="both"/>
        <w:ind w:left="480"/>
        <w:spacing w:after="240"/>
      </w:pPr>
      <w:r>
        <w:rPr>
          <w:rFonts w:ascii="Times New Roman" w:hAnsi="Times New Roman" w:cs="Times New Roman"/>
          <w:sz w:val="24"/>
          <w:sz-cs w:val="24"/>
          <w:color w:val="0E2841"/>
        </w:rPr>
        <w:t xml:space="preserve">2017 to date</w:t>
      </w:r>
      <w:r>
        <w:rPr>
          <w:rFonts w:ascii="Times New Roman" w:hAnsi="Times New Roman" w:cs="Times New Roman"/>
          <w:sz w:val="24"/>
          <w:sz-cs w:val="24"/>
        </w:rPr>
        <w:t xml:space="preserve"/>
      </w:r>
    </w:p>
    <w:p>
      <w:pPr>
        <w:numPr>
          <w:ilvl w:val="0"/>
          <w:numId w:val="1"/>
        </w:numPr>
      </w:pPr>
      <w:pPr>
        <w:numPr>
          <w:ilvl w:val="0"/>
          <w:numId w:val="1"/>
        </w:numPr>
        <w:jc w:val="both"/>
        <w:ind w:left="480"/>
        <w:spacing w:after="240"/>
      </w:pPr>
      <w:r>
        <w:rPr>
          <w:rFonts w:ascii="Times New Roman" w:hAnsi="Times New Roman" w:cs="Times New Roman"/>
          <w:sz w:val="24"/>
          <w:sz-cs w:val="24"/>
          <w:color w:val="0E2841"/>
        </w:rPr>
        <w:t xml:space="preserve">£10,000 (or whatever the figure is)</w:t>
      </w:r>
      <w:r>
        <w:rPr>
          <w:rFonts w:ascii="Times New Roman" w:hAnsi="Times New Roman" w:cs="Times New Roman"/>
          <w:sz w:val="24"/>
          <w:sz-cs w:val="24"/>
        </w:rPr>
        <w:t xml:space="preserve"/>
      </w:r>
    </w:p>
    <w:p>
      <w:pPr>
        <w:numPr>
          <w:ilvl w:val="0"/>
          <w:numId w:val="1"/>
        </w:numPr>
      </w:pPr>
      <w:pPr>
        <w:numPr>
          <w:ilvl w:val="0"/>
          <w:numId w:val="1"/>
        </w:numPr>
        <w:jc w:val="both"/>
        <w:ind w:left="480"/>
        <w:spacing w:after="240"/>
      </w:pPr>
      <w:r>
        <w:rPr>
          <w:rFonts w:ascii="Times New Roman" w:hAnsi="Times New Roman" w:cs="Times New Roman"/>
          <w:sz w:val="24"/>
          <w:sz-cs w:val="24"/>
          <w:color w:val="0E2841"/>
        </w:rPr>
        <w:t xml:space="preserve">Electricity charges</w:t>
      </w:r>
      <w:r>
        <w:rPr>
          <w:rFonts w:ascii="Times New Roman" w:hAnsi="Times New Roman" w:cs="Times New Roman"/>
          <w:sz w:val="24"/>
          <w:sz-cs w:val="24"/>
        </w:rPr>
        <w:t xml:space="preserve"/>
      </w:r>
    </w:p>
    <w:p>
      <w:pPr>
        <w:numPr>
          <w:ilvl w:val="0"/>
          <w:numId w:val="1"/>
        </w:numPr>
      </w:pPr>
      <w:pPr>
        <w:jc w:val="both"/>
        <w:ind w:left="480"/>
        <w:spacing w:after="240"/>
      </w:pPr>
      <w:r>
        <w:rPr>
          <w:rFonts w:ascii="Times New Roman" w:hAnsi="Times New Roman" w:cs="Times New Roman"/>
          <w:sz w:val="24"/>
          <w:sz-cs w:val="24"/>
          <w:color w:val="0E2841"/>
        </w:rPr>
        <w:t xml:space="preserve">Double charging of communal supply</w:t>
      </w:r>
      <w:r>
        <w:rPr>
          <w:rFonts w:ascii="Times New Roman" w:hAnsi="Times New Roman" w:cs="Times New Roman"/>
          <w:sz w:val="24"/>
          <w:sz-cs w:val="24"/>
        </w:rPr>
        <w:t xml:space="preserve"/>
      </w:r>
    </w:p>
    <w:p>
      <w:pPr>
        <w:numPr>
          <w:ilvl w:val="0"/>
          <w:numId w:val="1"/>
        </w:numPr>
      </w:pPr>
      <w:pPr>
        <w:numPr>
          <w:ilvl w:val="0"/>
          <w:numId w:val="1"/>
        </w:numPr>
        <w:jc w:val="both"/>
        <w:ind w:left="480"/>
        <w:spacing w:after="240"/>
      </w:pPr>
      <w:r>
        <w:rPr>
          <w:rFonts w:ascii="Times New Roman" w:hAnsi="Times New Roman" w:cs="Times New Roman"/>
          <w:sz w:val="24"/>
          <w:sz-cs w:val="24"/>
          <w:color w:val="0E2841"/>
        </w:rPr>
        <w:t xml:space="preserve">2015 to date</w:t>
      </w:r>
      <w:r>
        <w:rPr>
          <w:rFonts w:ascii="Times New Roman" w:hAnsi="Times New Roman" w:cs="Times New Roman"/>
          <w:sz w:val="24"/>
          <w:sz-cs w:val="24"/>
        </w:rPr>
        <w:t xml:space="preserve"/>
      </w:r>
    </w:p>
    <w:p>
      <w:pPr>
        <w:numPr>
          <w:ilvl w:val="0"/>
          <w:numId w:val="1"/>
        </w:numPr>
      </w:pPr>
      <w:pPr>
        <w:numPr>
          <w:ilvl w:val="0"/>
          <w:numId w:val="1"/>
        </w:numPr>
        <w:jc w:val="both"/>
        <w:ind w:left="480"/>
        <w:spacing w:after="240"/>
      </w:pPr>
      <w:r>
        <w:rPr>
          <w:rFonts w:ascii="Times New Roman" w:hAnsi="Times New Roman" w:cs="Times New Roman"/>
          <w:sz w:val="24"/>
          <w:sz-cs w:val="24"/>
          <w:color w:val="0E2841"/>
        </w:rPr>
        <w:t xml:space="preserve">£1.3m</w:t>
      </w:r>
      <w:r>
        <w:rPr>
          <w:rFonts w:ascii="Times New Roman" w:hAnsi="Times New Roman" w:cs="Times New Roman"/>
          <w:sz w:val="24"/>
          <w:sz-cs w:val="24"/>
        </w:rPr>
        <w:t xml:space="preserve"/>
      </w:r>
    </w:p>
    <w:p>
      <w:pPr>
        <w:numPr>
          <w:ilvl w:val="0"/>
          <w:numId w:val="1"/>
        </w:numPr>
      </w:pPr>
      <w:pPr>
        <w:numPr>
          <w:ilvl w:val="0"/>
          <w:numId w:val="1"/>
        </w:numPr>
        <w:jc w:val="both"/>
        <w:ind w:left="480"/>
        <w:spacing w:after="240"/>
      </w:pPr>
      <w:r>
        <w:rPr>
          <w:rFonts w:ascii="Times New Roman" w:hAnsi="Times New Roman" w:cs="Times New Roman"/>
          <w:sz w:val="24"/>
          <w:sz-cs w:val="24"/>
          <w:color w:val="0E2841"/>
        </w:rPr>
        <w:t xml:space="preserve">AES Systems plant or Heat Interface Maintenance</w:t>
      </w:r>
      <w:r>
        <w:rPr>
          <w:rFonts w:ascii="Times New Roman" w:hAnsi="Times New Roman" w:cs="Times New Roman"/>
          <w:sz w:val="24"/>
          <w:sz-cs w:val="24"/>
        </w:rPr>
        <w:t xml:space="preserve"/>
      </w:r>
    </w:p>
    <w:p>
      <w:pPr>
        <w:numPr>
          <w:ilvl w:val="0"/>
          <w:numId w:val="1"/>
        </w:numPr>
      </w:pPr>
      <w:pPr>
        <w:numPr>
          <w:ilvl w:val="0"/>
          <w:numId w:val="1"/>
        </w:numPr>
        <w:jc w:val="both"/>
        <w:spacing w:before="100" w:after="240"/>
      </w:pPr>
      <w:r>
        <w:rPr>
          <w:rFonts w:ascii="Times New Roman" w:hAnsi="Times New Roman" w:cs="Times New Roman"/>
          <w:sz w:val="24"/>
          <w:sz-cs w:val="24"/>
        </w:rPr>
        <w:t xml:space="preserve">B. DISCLOSURE CONDUCT AND CASE MANAGEMENT</w:t>
      </w:r>
      <w:r>
        <w:rPr>
          <w:rFonts w:ascii="Times New Roman" w:hAnsi="Times New Roman" w:cs="Times New Roman"/>
          <w:sz w:val="24"/>
          <w:sz-cs w:val="24"/>
        </w:rPr>
        <w:t xml:space="preserve"/>
      </w:r>
    </w:p>
    <w:p>
      <w:pPr>
        <w:numPr>
          <w:ilvl w:val="0"/>
          <w:numId w:val="1"/>
        </w:numPr>
      </w:pPr>
      <w:pPr>
        <w:jc w:val="both"/>
        <w:ind w:left="480"/>
        <w:spacing w:before="100" w:after="240"/>
      </w:pPr>
      <w:r>
        <w:rPr>
          <w:rFonts w:ascii="Times New Roman" w:hAnsi="Times New Roman" w:cs="Times New Roman"/>
          <w:sz w:val="24"/>
          <w:sz-cs w:val="24"/>
        </w:rPr>
        <w:t xml:space="preserve">The Respondent and its solicitors have suggested that they required additional time in these proceedings in order to gather documentation and that they have been open and cooperative, including by inviting the Applicants to inspect records.</w:t>
      </w:r>
      <w:r>
        <w:rPr>
          <w:rFonts w:ascii="Times New Roman" w:hAnsi="Times New Roman" w:cs="Times New Roman"/>
          <w:sz w:val="24"/>
          <w:sz-cs w:val="24"/>
        </w:rPr>
        <w:t xml:space="preserve"/>
      </w:r>
    </w:p>
    <w:p>
      <w:pPr>
        <w:numPr>
          <w:ilvl w:val="0"/>
          <w:numId w:val="1"/>
        </w:numPr>
      </w:pPr>
      <w:pPr>
        <w:numPr>
          <w:ilvl w:val="0"/>
          <w:numId w:val="1"/>
        </w:numPr>
        <w:jc w:val="both"/>
        <w:ind w:left="480"/>
        <w:spacing w:before="100" w:after="240"/>
      </w:pPr>
      <w:r>
        <w:rPr>
          <w:rFonts w:ascii="Times New Roman" w:hAnsi="Times New Roman" w:cs="Times New Roman"/>
          <w:sz w:val="24"/>
          <w:sz-cs w:val="24"/>
        </w:rPr>
        <w:t xml:space="preserve">In reality, most of the documents now produced for this reference were already in the Respondent’s possession and had previously been provided – often only after repeated requests – under earlier section 22 Landlord and Tenant Act 1985 requests and in the 2022–2023 remediation proceedings. For example, gas bills for 2023/2024 were already in our possession; yet when disclosure was given in this claim, only those years were supplied and no earlier years, despite our clear requests in the Scott Schedule. The same applies to insurance: key items that we had specifically identified as missing were still not disclosed. In relation to waking-watch charges, the Respondent has produced only a single spreadsheet showing an undated one-week breakdown and a copy of generic government guidance, but no underlying invoices or demands. There are numerous similar examples, but in this statement I focus on the major heads of cost.</w:t>
      </w:r>
      <w:r>
        <w:rPr>
          <w:rFonts w:ascii="Times New Roman" w:hAnsi="Times New Roman" w:cs="Times New Roman"/>
          <w:sz w:val="24"/>
          <w:sz-cs w:val="24"/>
        </w:rPr>
        <w:t xml:space="preserve"/>
      </w:r>
    </w:p>
    <w:p>
      <w:pPr>
        <w:numPr>
          <w:ilvl w:val="0"/>
          <w:numId w:val="1"/>
        </w:numPr>
      </w:pPr>
      <w:pPr>
        <w:numPr>
          <w:ilvl w:val="0"/>
          <w:numId w:val="1"/>
        </w:numPr>
        <w:jc w:val="both"/>
        <w:ind w:left="480"/>
        <w:spacing w:before="100" w:after="240"/>
      </w:pPr>
      <w:r>
        <w:rPr>
          <w:rFonts w:ascii="Times New Roman" w:hAnsi="Times New Roman" w:cs="Times New Roman"/>
          <w:sz w:val="24"/>
          <w:sz-cs w:val="24"/>
        </w:rPr>
        <w:t xml:space="preserve">What is genuinely new in this claim is very limited: a partial set of meter-operator (MOP) data for one year; a partial set of Clever Energy invoices (limited to 15 of the 22 flats); and a single spreadsheet showing one year’s insurance apportionment. The Respondent has still not disclosed, for example, Clever Energy’s monthly reconciliation statements (which its own billing contract states must be produced for the customer every month), complete MOP contracts and full half-hourly data, or full historic service-charge reconciliation statements for all years in issue.</w:t>
      </w:r>
      <w:r>
        <w:rPr>
          <w:rFonts w:ascii="Times New Roman" w:hAnsi="Times New Roman" w:cs="Times New Roman"/>
          <w:sz w:val="24"/>
          <w:sz-cs w:val="24"/>
        </w:rPr>
        <w:t xml:space="preserve"/>
      </w:r>
    </w:p>
    <w:p>
      <w:pPr>
        <w:numPr>
          <w:ilvl w:val="0"/>
          <w:numId w:val="1"/>
        </w:numPr>
      </w:pPr>
      <w:pPr>
        <w:numPr>
          <w:ilvl w:val="0"/>
          <w:numId w:val="1"/>
        </w:numPr>
        <w:jc w:val="both"/>
        <w:ind w:left="480"/>
        <w:spacing w:before="100" w:after="240"/>
      </w:pPr>
      <w:r>
        <w:rPr>
          <w:rFonts w:ascii="Times New Roman" w:hAnsi="Times New Roman" w:cs="Times New Roman"/>
          <w:sz w:val="24"/>
          <w:sz-cs w:val="24"/>
        </w:rPr>
        <w:t xml:space="preserve">On several occasions I wrote to Y&amp;Y and to Mr Richard Simmons of Avon asking for specific documents (including MOP contracts and readings, HIU charges, gas invoices, reconciliation statements, insurance documents and evidence of credits). These requests were either ignored or only partially answered. For example, on 30 June 2025 I emailed Mr Azoulay and Mr Simmons listing eight areas of outstanding disclosure (including MOP data, HIU charges, gas/Clever Energy discrepancies and reconciliation statements for 2016–2020) and asking whether any of this would be provided before the then-imminent hearing; no substantive response was received.</w:t>
      </w:r>
      <w:r>
        <w:rPr>
          <w:rFonts w:ascii="Times New Roman" w:hAnsi="Times New Roman" w:cs="Times New Roman"/>
          <w:sz w:val="24"/>
          <w:sz-cs w:val="24"/>
        </w:rPr>
        <w:t xml:space="preserve"/>
      </w:r>
    </w:p>
    <w:p>
      <w:pPr>
        <w:numPr>
          <w:ilvl w:val="0"/>
          <w:numId w:val="1"/>
        </w:numPr>
      </w:pPr>
      <w:pPr>
        <w:numPr>
          <w:ilvl w:val="0"/>
          <w:numId w:val="1"/>
        </w:numPr>
        <w:jc w:val="both"/>
        <w:ind w:left="480"/>
        <w:spacing w:before="100" w:after="240"/>
      </w:pPr>
      <w:r>
        <w:rPr>
          <w:rFonts w:ascii="Times New Roman" w:hAnsi="Times New Roman" w:cs="Times New Roman"/>
          <w:sz w:val="24"/>
          <w:sz-cs w:val="24"/>
        </w:rPr>
        <w:t xml:space="preserve">Earlier, in March 2023, I sent a series of emails to Mr Simmons querying the disparity between the Respondent’s gas costs and the much higher charges levied on leaseholders by Clever Energy, and asking for the supplier’s actual unit rates and standing charges. Although one partial reply was received, my follow-up emails of 7, 21 and 30 March 2023 seeking clarification of those figures went unanswered.</w:t>
      </w:r>
      <w:r>
        <w:rPr>
          <w:rFonts w:ascii="Times New Roman" w:hAnsi="Times New Roman" w:cs="Times New Roman"/>
          <w:sz w:val="24"/>
          <w:sz-cs w:val="24"/>
        </w:rPr>
        <w:t xml:space="preserve"/>
      </w:r>
    </w:p>
    <w:p>
      <w:pPr>
        <w:numPr>
          <w:ilvl w:val="0"/>
          <w:numId w:val="1"/>
        </w:numPr>
      </w:pPr>
      <w:pPr>
        <w:numPr>
          <w:ilvl w:val="0"/>
          <w:numId w:val="1"/>
        </w:numPr>
        <w:jc w:val="both"/>
        <w:ind w:left="480"/>
        <w:spacing w:before="100" w:after="240"/>
      </w:pPr>
      <w:r>
        <w:rPr>
          <w:rFonts w:ascii="Times New Roman" w:hAnsi="Times New Roman" w:cs="Times New Roman"/>
          <w:sz w:val="24"/>
          <w:sz-cs w:val="24"/>
        </w:rPr>
        <w:t xml:space="preserve">In relation to insurance, when broker Howden finally supplied commission-disclosure letters for 2024 and 2025, the key box stating the amount of remuneration paid to Avon Ground Rents was simply left blank. On 3 July 2025 I wrote to Mr Simmons pointing out that the letters appeared incomplete and asking that Howden re-issue them stating explicitly how much remuneration Avon had received. I also reminded him that we still required an explanation for the discrepancy between gas invoices of around £18,000 per annum and Clever Energy charges to the 22 leaseholders of around £70,000. No substantive response has been provided.</w:t>
      </w:r>
      <w:r>
        <w:rPr>
          <w:rFonts w:ascii="Times New Roman" w:hAnsi="Times New Roman" w:cs="Times New Roman"/>
          <w:sz w:val="24"/>
          <w:sz-cs w:val="24"/>
        </w:rPr>
        <w:t xml:space="preserve"/>
      </w:r>
    </w:p>
    <w:p>
      <w:pPr>
        <w:numPr>
          <w:ilvl w:val="0"/>
          <w:numId w:val="1"/>
        </w:numPr>
      </w:pPr>
      <w:pPr>
        <w:numPr>
          <w:ilvl w:val="0"/>
          <w:numId w:val="1"/>
        </w:numPr>
        <w:jc w:val="both"/>
        <w:ind w:left="480"/>
        <w:spacing w:before="100" w:after="240"/>
      </w:pPr>
      <w:r>
        <w:rPr>
          <w:rFonts w:ascii="Times New Roman" w:hAnsi="Times New Roman" w:cs="Times New Roman"/>
          <w:sz w:val="24"/>
          <w:sz-cs w:val="24"/>
        </w:rPr>
        <w:t xml:space="preserve">A similar pattern occurred when we raised concerns about plant failures. In May 2024 Y&amp;Y first informed us that the main booster pumps were “at the end of their useful life” and required replacement at a cost of over £21,000. On 24 May 2024 I asked for maintenance records, failure history and evidence of competitive tendering. More than a year later, in September 2025, I was still chasing a response. Y&amp;Y stated only that they were “reviewing the pump issue” with their M&amp;E contractor and would revert once they had feedback. No detailed report has ever been supplied and, as at the date of this statement, the building is still operating with only one of three pumps in service.</w:t>
      </w:r>
      <w:r>
        <w:rPr>
          <w:rFonts w:ascii="Times New Roman" w:hAnsi="Times New Roman" w:cs="Times New Roman"/>
          <w:sz w:val="24"/>
          <w:sz-cs w:val="24"/>
        </w:rPr>
        <w:t xml:space="preserve"/>
      </w:r>
    </w:p>
    <w:p>
      <w:pPr>
        <w:numPr>
          <w:ilvl w:val="0"/>
          <w:numId w:val="1"/>
        </w:numPr>
      </w:pPr>
      <w:pPr>
        <w:numPr>
          <w:ilvl w:val="0"/>
          <w:numId w:val="1"/>
        </w:numPr>
        <w:jc w:val="both"/>
        <w:ind w:left="480"/>
        <w:spacing w:before="100" w:after="240"/>
      </w:pPr>
      <w:r>
        <w:rPr>
          <w:rFonts w:ascii="Times New Roman" w:hAnsi="Times New Roman" w:cs="Times New Roman"/>
          <w:sz w:val="24"/>
          <w:sz-cs w:val="24"/>
        </w:rPr>
        <w:t xml:space="preserve">The Respondent’s representatives also assert that we have been “invited” to inspect records. That invitation was extended to one of the Applicants, Mr Raymond Gubbay CBE, who at 79 years of age finds travel increasingly difficult. We asked the Respondent, given his age and health, to provide the relevant documents by email instead, particularly as many of the records in question are electronic reports. That request went unanswered. Instead of genuine cooperation we have encountered repeated delays, partial disclosure and refusals to provide key schedules (in particular, income-receivables and credits to the service-charge accounts, and Clever Energy reconciliation statements), sometimes justified by generic references to “confidentiality” or GDPR. Even now we do not have the full documentation needed to test the Respondent’s assertions properly.</w:t>
      </w:r>
      <w:r>
        <w:rPr>
          <w:rFonts w:ascii="Times New Roman" w:hAnsi="Times New Roman" w:cs="Times New Roman"/>
          <w:sz w:val="24"/>
          <w:sz-cs w:val="24"/>
        </w:rPr>
        <w:t xml:space="preserve"/>
      </w:r>
    </w:p>
    <w:p>
      <w:pPr>
        <w:numPr>
          <w:ilvl w:val="0"/>
          <w:numId w:val="1"/>
        </w:numPr>
      </w:pPr>
      <w:pPr>
        <w:numPr>
          <w:ilvl w:val="0"/>
          <w:numId w:val="1"/>
        </w:numPr>
        <w:jc w:val="both"/>
        <w:ind w:left="480"/>
        <w:spacing w:before="100" w:after="240"/>
      </w:pPr>
      <w:r>
        <w:rPr>
          <w:rFonts w:ascii="Times New Roman" w:hAnsi="Times New Roman" w:cs="Times New Roman"/>
          <w:sz w:val="24"/>
          <w:sz-cs w:val="24"/>
        </w:rPr>
        <w:t xml:space="preserve">Meanwhile, the Respondent continues to issue budgets at historically high levels. For the 2026 service-charge year, Y&amp;Y’s covering letter expressly acknowledges that many categories have been “realigned” to match historic expenditure and that the overall budget is higher than 2025, with communal electricity budgeted at £70,000 and buildings insurance increasing from £45,000 to £53,000. In my view, unless the Tribunal gives a clear steer on what is recoverable and on the need for transparency, there is a real risk that the overcharging and opaque practices identified for 2017–2024 will simply continue in 2025–2026 and beyond, leading to further disputes and potentially further applications.</w:t>
      </w:r>
      <w:r>
        <w:rPr>
          <w:rFonts w:ascii="Times New Roman" w:hAnsi="Times New Roman" w:cs="Times New Roman"/>
          <w:sz w:val="24"/>
          <w:sz-cs w:val="24"/>
        </w:rPr>
        <w:t xml:space="preserve"/>
      </w:r>
    </w:p>
    <w:p>
      <w:pPr>
        <w:numPr>
          <w:ilvl w:val="0"/>
          <w:numId w:val="1"/>
        </w:numPr>
      </w:pPr>
      <w:pPr>
        <w:numPr>
          <w:ilvl w:val="0"/>
          <w:numId w:val="1"/>
        </w:numPr>
        <w:jc w:val="both"/>
        <w:ind w:left="480"/>
        <w:spacing w:before="100" w:after="240"/>
      </w:pPr>
      <w:r>
        <w:rPr>
          <w:rFonts w:ascii="Times New Roman" w:hAnsi="Times New Roman" w:cs="Times New Roman"/>
          <w:sz w:val="24"/>
          <w:sz-cs w:val="24"/>
        </w:rPr>
        <w:t xml:space="preserve">For these reasons I do not accept that the Respondent’s delays in this case were caused by any genuine difficulty in assembling documents. The key materials have existed within Avon’s and Y&amp;Y’s systems for many years. The limited additional disclosure produced during these proceedings, compared with what we already held from earlier requests, reinforces my view that the extensions sought were largely tactical and have added to the Applicants’ costs and stress without materially improving transparency.</w:t>
      </w:r>
      <w:r>
        <w:rPr>
          <w:rFonts w:ascii="Times New Roman" w:hAnsi="Times New Roman" w:cs="Times New Roman"/>
          <w:sz w:val="24"/>
          <w:sz-cs w:val="24"/>
        </w:rPr>
        <w:t xml:space="preserve"/>
      </w:r>
    </w:p>
    <w:p>
      <w:pPr>
        <w:numPr>
          <w:ilvl w:val="0"/>
          <w:numId w:val="1"/>
        </w:numPr>
      </w:pPr>
      <w:pPr>
        <w:numPr>
          <w:ilvl w:val="0"/>
          <w:numId w:val="1"/>
        </w:numPr>
        <w:jc w:val="both"/>
        <w:ind w:left="480"/>
        <w:spacing w:before="100" w:after="240"/>
      </w:pPr>
      <w:r>
        <w:rPr>
          <w:rFonts w:ascii="Times New Roman" w:hAnsi="Times New Roman" w:cs="Times New Roman"/>
          <w:sz w:val="24"/>
          <w:sz-cs w:val="24"/>
        </w:rPr>
        <w:t xml:space="preserve">When completing the Scott Schedule, the Applicants did not yet have the underlying contracts, invoices, reconciliation statements or tender documentation for many of the disputed expenditure headings. In those circumstances, the only realistic way to put such items in issue was to identify the relevant budget line (for example “Mech &amp; Plant Maintenance”, “Clever Energy hot &amp; heating”, “Electricity”, “Building Insurance”) and to request disclosure of the core documents needed to understand and test what had been charged. That is what we did. The Respondent has in many instances replied that there are “no grounds of dispute specified” and has simply pointed to expenditure listings said to be enclosed with its Statement of Case.</w:t>
      </w:r>
      <w:r>
        <w:rPr>
          <w:rFonts w:ascii="Times New Roman" w:hAnsi="Times New Roman" w:cs="Times New Roman"/>
          <w:sz w:val="24"/>
          <w:sz-cs w:val="24"/>
        </w:rPr>
        <w:t xml:space="preserve"/>
      </w:r>
    </w:p>
    <w:p>
      <w:pPr>
        <w:numPr>
          <w:ilvl w:val="0"/>
          <w:numId w:val="1"/>
        </w:numPr>
      </w:pPr>
      <w:pPr>
        <w:numPr>
          <w:ilvl w:val="0"/>
          <w:numId w:val="1"/>
        </w:numPr>
        <w:jc w:val="both"/>
        <w:ind w:left="480"/>
        <w:spacing w:before="100" w:after="240"/>
      </w:pPr>
      <w:r>
        <w:rPr>
          <w:rFonts w:ascii="Times New Roman" w:hAnsi="Times New Roman" w:cs="Times New Roman"/>
          <w:sz w:val="24"/>
          <w:sz-cs w:val="24"/>
        </w:rPr>
        <w:t xml:space="preserve">I do not accept that this means those items were not genuinely disputed. As I describe in my statement later on, there have been numerous emails to the Respondent stating that we need disclosure of such documents and making clear that we have concerns about these charges (KH2 bundle emails Richard Simmons pages 328, 339, 593) The grounds of dispute are, in substance, (a) that the expenditure appears unusually high when compared with historic levels, other comparable buildings or published benchmarks, and/or (b) that, without sight of the underlying contracts and invoices, it is impossible for leaseholders to verify whether the costs were reasonably incurred, properly allocated between the Apartments and Building Service Charges, and correctly credited for any third-party contributions. The Scott Schedule entries were therefore framed as targeted disclosure requests, because at that stage we were being asked to plead “blind”. This witness statement explains, heading by heading, the concerns that have now emerged from the limited documentation disclosed to date.</w:t>
      </w:r>
      <w:r>
        <w:rPr>
          <w:rFonts w:ascii="Times New Roman" w:hAnsi="Times New Roman" w:cs="Times New Roman"/>
          <w:sz w:val="24"/>
          <w:sz-cs w:val="24"/>
        </w:rPr>
        <w:t xml:space="preserve"/>
      </w:r>
    </w:p>
    <w:p>
      <w:pPr>
        <w:numPr>
          <w:ilvl w:val="1"/>
          <w:numId w:val="1"/>
        </w:numPr>
      </w:pPr>
      <w:pPr>
        <w:numPr>
          <w:ilvl w:val="1"/>
          <w:numId w:val="1"/>
        </w:numPr>
        <w:jc w:val="both"/>
        <w:ind w:left="480"/>
        <w:spacing w:before="100" w:after="240"/>
      </w:pPr>
      <w:r>
        <w:rPr>
          <w:rFonts w:ascii="Times New Roman" w:hAnsi="Times New Roman" w:cs="Times New Roman"/>
          <w:sz w:val="24"/>
          <w:sz-cs w:val="24"/>
        </w:rPr>
        <w:t xml:space="preserve">For the avoidance of doubt, where the Respondent has asserted in the Scott Schedule response that “no grounds of dispute [are] specified”, that is not accepted. The Applicants’ position is that those items are properly in issue; that the Respondent’s refusal to provide full contracts, invoices, reconciliation statements and income/credit schedules has itself become a central feature of the dispute; and that any remaining gaps in our analysis arise from continuing deficiencies in disclosure rather than any lack of genuine objection on our part.</w:t>
      </w:r>
      <w:r>
        <w:rPr>
          <w:rFonts w:ascii="Times New Roman" w:hAnsi="Times New Roman" w:cs="Times New Roman"/>
          <w:sz w:val="24"/>
          <w:sz-cs w:val="24"/>
        </w:rPr>
        <w:t xml:space="preserve"/>
      </w:r>
    </w:p>
    <w:p>
      <w:pPr>
        <w:numPr>
          <w:ilvl w:val="1"/>
          <w:numId w:val="1"/>
        </w:numPr>
      </w:pPr>
      <w:pPr>
        <w:numPr>
          <w:ilvl w:val="0"/>
          <w:numId w:val="1"/>
        </w:numPr>
        <w:jc w:val="both"/>
        <w:spacing w:before="100" w:after="240"/>
      </w:pPr>
      <w:r>
        <w:rPr>
          <w:rFonts w:ascii="Times New Roman" w:hAnsi="Times New Roman" w:cs="Times New Roman"/>
          <w:sz w:val="24"/>
          <w:sz-cs w:val="24"/>
        </w:rPr>
        <w:t xml:space="preserve">C. THE BUILDING, LEASES AND SERVICE-CHARGE STRUCTURE</w:t>
      </w:r>
      <w:r>
        <w:rPr>
          <w:rFonts w:ascii="Times New Roman" w:hAnsi="Times New Roman" w:cs="Times New Roman"/>
          <w:sz w:val="24"/>
          <w:sz-cs w:val="24"/>
        </w:rPr>
        <w:t xml:space="preserve"/>
      </w:r>
    </w:p>
    <w:p>
      <w:pPr>
        <w:numPr>
          <w:ilvl w:val="0"/>
          <w:numId w:val="1"/>
        </w:numPr>
      </w:pPr>
      <w:pPr>
        <w:numPr>
          <w:ilvl w:val="0"/>
          <w:numId w:val="1"/>
        </w:numPr>
        <w:jc w:val="both"/>
        <w:ind w:left="480"/>
        <w:spacing w:before="100" w:after="240"/>
      </w:pPr>
      <w:r>
        <w:rPr>
          <w:rFonts w:ascii="Times New Roman" w:hAnsi="Times New Roman" w:cs="Times New Roman"/>
          <w:sz w:val="24"/>
          <w:sz-cs w:val="24"/>
        </w:rPr>
        <w:t xml:space="preserve">8AR is a mixed-use development comprising 22 residential flats and a ground-floor commercial unit (a café). The basement has a car-park area for four cars and contains electricity and gas meters, relevant pipes and cabling, the plant room, rubbish room and car-park lift. It also contains meters serving the neighbouring building, 10 Artillery Row, although we are not sure whether those are included within the same freehold title.</w:t>
      </w:r>
      <w:r>
        <w:rPr>
          <w:rFonts w:ascii="Times New Roman" w:hAnsi="Times New Roman" w:cs="Times New Roman"/>
          <w:sz w:val="24"/>
          <w:sz-cs w:val="24"/>
        </w:rPr>
        <w:t xml:space="preserve"/>
      </w:r>
    </w:p>
    <w:p>
      <w:pPr>
        <w:numPr>
          <w:ilvl w:val="0"/>
          <w:numId w:val="1"/>
        </w:numPr>
      </w:pPr>
      <w:pPr>
        <w:numPr>
          <w:ilvl w:val="0"/>
          <w:numId w:val="1"/>
        </w:numPr>
        <w:jc w:val="both"/>
        <w:ind w:left="480"/>
        <w:spacing w:before="100" w:after="240"/>
      </w:pPr>
      <w:r>
        <w:rPr>
          <w:rFonts w:ascii="Times New Roman" w:hAnsi="Times New Roman" w:cs="Times New Roman"/>
          <w:sz w:val="24"/>
          <w:sz-cs w:val="24"/>
        </w:rPr>
        <w:t xml:space="preserve">The leases divide expenditure between an Apartments Service Charge and a Building Service Charge. In broad terms:</w:t>
      </w:r>
      <w:r>
        <w:rPr>
          <w:rFonts w:ascii="Times New Roman" w:hAnsi="Times New Roman" w:cs="Times New Roman"/>
          <w:sz w:val="24"/>
          <w:sz-cs w:val="24"/>
        </w:rPr>
        <w:t xml:space="preserve"/>
      </w:r>
    </w:p>
    <w:p>
      <w:pPr>
        <w:numPr>
          <w:ilvl w:val="0"/>
          <w:numId w:val="1"/>
        </w:numPr>
      </w:pPr>
      <w:pPr>
        <w:numPr>
          <w:ilvl w:val="0"/>
          <w:numId w:val="1"/>
        </w:numPr>
        <w:jc w:val="both"/>
        <w:ind w:left="480"/>
        <w:spacing w:before="100" w:after="240"/>
      </w:pPr>
      <w:r>
        <w:rPr>
          <w:rFonts w:ascii="Times New Roman" w:hAnsi="Times New Roman" w:cs="Times New Roman"/>
          <w:sz w:val="24"/>
          <w:sz-cs w:val="24"/>
        </w:rPr>
        <w:t xml:space="preserve">a. the Apartments Service Charge relates to items attributable to the residential part only (for example internal cleaning and certain in-flat equipment where the landlord has chosen to service it); and</w:t>
      </w:r>
      <w:r>
        <w:rPr>
          <w:rFonts w:ascii="Times New Roman" w:hAnsi="Times New Roman" w:cs="Times New Roman"/>
          <w:sz w:val="24"/>
          <w:sz-cs w:val="24"/>
        </w:rPr>
        <w:t xml:space="preserve"/>
      </w:r>
    </w:p>
    <w:p>
      <w:pPr>
        <w:numPr>
          <w:ilvl w:val="0"/>
          <w:numId w:val="1"/>
        </w:numPr>
      </w:pPr>
      <w:pPr>
        <w:numPr>
          <w:ilvl w:val="0"/>
          <w:numId w:val="1"/>
        </w:numPr>
        <w:jc w:val="both"/>
        <w:ind w:left="480"/>
        <w:spacing w:before="100" w:after="240"/>
      </w:pPr>
      <w:r>
        <w:rPr>
          <w:rFonts w:ascii="Times New Roman" w:hAnsi="Times New Roman" w:cs="Times New Roman"/>
          <w:sz w:val="24"/>
          <w:sz-cs w:val="24"/>
        </w:rPr>
        <w:t xml:space="preserve">b. the Building Service Charge relates to building-wide matters, including structure, roof, main plant, common parts and other services benefitting both the flats and the ground-floor commercial premises and, where applicable, neighbouring linked buildings such as 10 Artillery Row.</w:t>
      </w:r>
      <w:r>
        <w:rPr>
          <w:rFonts w:ascii="Times New Roman" w:hAnsi="Times New Roman" w:cs="Times New Roman"/>
          <w:sz w:val="24"/>
          <w:sz-cs w:val="24"/>
        </w:rPr>
        <w:t xml:space="preserve"/>
      </w:r>
    </w:p>
    <w:p>
      <w:pPr>
        <w:numPr>
          <w:ilvl w:val="0"/>
          <w:numId w:val="1"/>
        </w:numPr>
      </w:pPr>
      <w:pPr>
        <w:numPr>
          <w:ilvl w:val="0"/>
          <w:numId w:val="1"/>
        </w:numPr>
        <w:jc w:val="both"/>
        <w:ind w:left="480"/>
        <w:spacing w:before="100" w:after="240"/>
      </w:pPr>
      <w:r>
        <w:rPr>
          <w:rFonts w:ascii="Times New Roman" w:hAnsi="Times New Roman" w:cs="Times New Roman"/>
          <w:sz w:val="24"/>
          <w:sz-cs w:val="24"/>
        </w:rPr>
        <w:t xml:space="preserve">Communal plant at 8AR includes, among other things, comfort-cooling equipment (dry coolers, chillers, pumps and associated BMS controls), the main low-voltage electrical intake and distribution, communal water boosters, and a central plant room designed under the planning energy strategy to include a combined heat and power (CHP) unit. The building also has a concierge/estate-office function, CCTV and an access/door-entry system. The concierge service currently operates Monday to Friday 8am–5pm and Saturdays 9am–1pm.</w:t>
      </w:r>
      <w:r>
        <w:rPr>
          <w:rFonts w:ascii="Times New Roman" w:hAnsi="Times New Roman" w:cs="Times New Roman"/>
          <w:sz w:val="24"/>
          <w:sz-cs w:val="24"/>
        </w:rPr>
        <w:t xml:space="preserve"/>
      </w:r>
    </w:p>
    <w:p>
      <w:pPr>
        <w:numPr>
          <w:ilvl w:val="0"/>
          <w:numId w:val="1"/>
        </w:numPr>
      </w:pPr>
      <w:pPr>
        <w:numPr>
          <w:ilvl w:val="0"/>
          <w:numId w:val="1"/>
        </w:numPr>
        <w:jc w:val="both"/>
        <w:spacing w:before="100" w:after="240"/>
      </w:pPr>
      <w:r>
        <w:rPr>
          <w:rFonts w:ascii="Times New Roman" w:hAnsi="Times New Roman" w:cs="Times New Roman"/>
          <w:sz w:val="24"/>
          <w:sz-cs w:val="24"/>
        </w:rPr>
        <w:t xml:space="preserve">D. HIGH-LEVEL SUMMARY OF OUR CONCERNS</w:t>
      </w:r>
      <w:r>
        <w:rPr>
          <w:rFonts w:ascii="Times New Roman" w:hAnsi="Times New Roman" w:cs="Times New Roman"/>
          <w:sz w:val="24"/>
          <w:sz-cs w:val="24"/>
        </w:rPr>
        <w:t xml:space="preserve"/>
      </w:r>
    </w:p>
    <w:p>
      <w:pPr>
        <w:numPr>
          <w:ilvl w:val="0"/>
          <w:numId w:val="1"/>
        </w:numPr>
      </w:pPr>
      <w:pPr>
        <w:numPr>
          <w:ilvl w:val="0"/>
          <w:numId w:val="1"/>
        </w:numPr>
        <w:jc w:val="both"/>
        <w:ind w:left="480"/>
        <w:spacing w:before="100" w:after="240"/>
      </w:pPr>
      <w:r>
        <w:rPr>
          <w:rFonts w:ascii="Times New Roman" w:hAnsi="Times New Roman" w:cs="Times New Roman"/>
          <w:sz w:val="24"/>
          <w:sz-cs w:val="24"/>
        </w:rPr>
        <w:t xml:space="preserve">Over a number of years residents have faced increasing service charges without adequate explanation, against a background of cooling systems that frequently did not work properly, very high communal electricity and gas bills, and incomplete or inconsistent responses to reasonable questions. Exhibit KH1 page 557 shows the increase in service-charge costs over time. In outline, the main areas of concern are:</w:t>
      </w:r>
      <w:r>
        <w:rPr>
          <w:rFonts w:ascii="Times New Roman" w:hAnsi="Times New Roman" w:cs="Times New Roman"/>
          <w:sz w:val="24"/>
          <w:sz-cs w:val="24"/>
        </w:rPr>
        <w:t xml:space="preserve"/>
      </w:r>
    </w:p>
    <w:p>
      <w:pPr>
        <w:numPr>
          <w:ilvl w:val="0"/>
          <w:numId w:val="1"/>
        </w:numPr>
      </w:pPr>
      <w:pPr>
        <w:numPr>
          <w:ilvl w:val="0"/>
          <w:numId w:val="1"/>
        </w:numPr>
        <w:jc w:val="both"/>
        <w:ind w:left="480"/>
        <w:spacing w:before="100" w:after="240"/>
      </w:pPr>
      <w:r>
        <w:rPr>
          <w:rFonts w:ascii="Times New Roman" w:hAnsi="Times New Roman" w:cs="Times New Roman"/>
          <w:sz w:val="24"/>
          <w:sz-cs w:val="24"/>
        </w:rPr>
        <w:t xml:space="preserve">Communal electricity – extremely high invoices, frequent re-bills and credit notes, unclear validation, opaque MOP meter readings, late-payment charges, and strong evidence that the main landlord meter is recording more than purely communal load (Section H).</w:t>
      </w:r>
      <w:r>
        <w:rPr>
          <w:rFonts w:ascii="Times New Roman" w:hAnsi="Times New Roman" w:cs="Times New Roman"/>
          <w:sz w:val="24"/>
          <w:sz-cs w:val="24"/>
        </w:rPr>
        <w:t xml:space="preserve"/>
      </w:r>
    </w:p>
    <w:p>
      <w:pPr>
        <w:numPr>
          <w:ilvl w:val="0"/>
          <w:numId w:val="1"/>
        </w:numPr>
      </w:pPr>
      <w:pPr>
        <w:numPr>
          <w:ilvl w:val="1"/>
          <w:numId w:val="1"/>
        </w:numPr>
        <w:jc w:val="both"/>
        <w:ind w:left="480"/>
        <w:spacing w:before="100" w:after="240"/>
      </w:pPr>
      <w:r>
        <w:rPr>
          <w:rFonts w:ascii="Times New Roman" w:hAnsi="Times New Roman" w:cs="Times New Roman"/>
          <w:sz w:val="24"/>
          <w:sz-cs w:val="24"/>
        </w:rPr>
        <w:t xml:space="preserve">Heat and cooling – Clever Energy tariffs for heating and hot water that materially exceed the Respondent’s underlying gas costs, together with comfort-cooling standing charges that have increased steeply even when cooling has at times been unavailable (Section I).</w:t>
      </w:r>
      <w:r>
        <w:rPr>
          <w:rFonts w:ascii="Times New Roman" w:hAnsi="Times New Roman" w:cs="Times New Roman"/>
          <w:sz w:val="24"/>
          <w:sz-cs w:val="24"/>
        </w:rPr>
        <w:t xml:space="preserve"/>
      </w:r>
    </w:p>
    <w:p>
      <w:pPr>
        <w:numPr>
          <w:ilvl w:val="1"/>
          <w:numId w:val="1"/>
        </w:numPr>
      </w:pPr>
      <w:pPr>
        <w:numPr>
          <w:ilvl w:val="1"/>
          <w:numId w:val="1"/>
        </w:numPr>
        <w:jc w:val="both"/>
        <w:ind w:left="480"/>
        <w:spacing w:before="100" w:after="240"/>
      </w:pPr>
      <w:r>
        <w:rPr>
          <w:rFonts w:ascii="Times New Roman" w:hAnsi="Times New Roman" w:cs="Times New Roman"/>
          <w:sz w:val="24"/>
          <w:sz-cs w:val="24"/>
        </w:rPr>
        <w:t xml:space="preserve">HIU/FCU servicing – charges for in-flat heat interface units and fan-coil units (which the leases treat as demised) being run through the communal accounts, duplication across budget headings, and lack of proper section 20 consultation over any long-term servicing arrangements (Section J).</w:t>
      </w:r>
      <w:r>
        <w:rPr>
          <w:rFonts w:ascii="Times New Roman" w:hAnsi="Times New Roman" w:cs="Times New Roman"/>
          <w:sz w:val="24"/>
          <w:sz-cs w:val="24"/>
        </w:rPr>
        <w:t xml:space="preserve"/>
      </w:r>
    </w:p>
    <w:p>
      <w:pPr>
        <w:numPr>
          <w:ilvl w:val="0"/>
          <w:numId w:val="1"/>
        </w:numPr>
      </w:pPr>
      <w:pPr>
        <w:numPr>
          <w:ilvl w:val="0"/>
          <w:numId w:val="1"/>
        </w:numPr>
        <w:jc w:val="both"/>
        <w:ind w:left="480"/>
        <w:spacing w:before="100" w:after="240"/>
      </w:pPr>
      <w:r>
        <w:rPr>
          <w:rFonts w:ascii="Times New Roman" w:hAnsi="Times New Roman" w:cs="Times New Roman"/>
          <w:sz w:val="24"/>
          <w:sz-cs w:val="24"/>
        </w:rPr>
        <w:t xml:space="preserve">Insurance – lack of transparency over how premiums are allocated between 8AR, 10 Artillery Row and the café unit; addition of terrorism and engineering cover without clear notification; and incomplete disclosure of broker and freeholder remuneration (Section K).</w:t>
      </w:r>
      <w:r>
        <w:rPr>
          <w:rFonts w:ascii="Times New Roman" w:hAnsi="Times New Roman" w:cs="Times New Roman"/>
          <w:sz w:val="24"/>
          <w:sz-cs w:val="24"/>
        </w:rPr>
        <w:t xml:space="preserve"/>
      </w:r>
    </w:p>
    <w:p>
      <w:pPr>
        <w:numPr>
          <w:ilvl w:val="0"/>
          <w:numId w:val="1"/>
        </w:numPr>
        <w:jc w:val="both"/>
        <w:ind w:left="480"/>
        <w:spacing w:before="100" w:after="240"/>
      </w:pPr>
      <w:r>
        <w:rPr>
          <w:rFonts w:ascii="Times New Roman" w:hAnsi="Times New Roman" w:cs="Times New Roman"/>
          <w:sz w:val="24"/>
          <w:sz-cs w:val="24"/>
        </w:rPr>
        <w:t xml:space="preserve">Accounts and statements – in particular, the failure to provide a proper year-end Building Service Charge statement for 2022 with the balancing demand, despite that account being in credit, and ongoing refusals to disclose income receivables and credits (Section L).</w:t>
      </w:r>
      <w:r>
        <w:rPr>
          <w:rFonts w:ascii="Times New Roman" w:hAnsi="Times New Roman" w:cs="Times New Roman"/>
          <w:sz w:val="24"/>
          <w:sz-cs w:val="24"/>
        </w:rPr>
        <w:t xml:space="preserve"/>
      </w:r>
    </w:p>
    <w:p>
      <w:pPr>
        <w:numPr>
          <w:ilvl w:val="0"/>
          <w:numId w:val="1"/>
        </w:numPr>
      </w:pPr>
      <w:pPr>
        <w:numPr>
          <w:ilvl w:val="0"/>
          <w:numId w:val="1"/>
        </w:numPr>
        <w:jc w:val="both"/>
        <w:ind w:left="480"/>
        <w:spacing w:before="100" w:after="240"/>
      </w:pPr>
      <w:r>
        <w:rPr>
          <w:rFonts w:ascii="Times New Roman" w:hAnsi="Times New Roman" w:cs="Times New Roman"/>
          <w:sz w:val="24"/>
          <w:sz-cs w:val="24"/>
        </w:rPr>
        <w:t xml:space="preserve">Reserves and banking of service-charge monies – insufficient evidence that reserve and sinking funds are being held and managed in line with best practice, and lack of clear ledgers (Section M).</w:t>
      </w:r>
      <w:r>
        <w:rPr>
          <w:rFonts w:ascii="Times New Roman" w:hAnsi="Times New Roman" w:cs="Times New Roman"/>
          <w:sz w:val="24"/>
          <w:sz-cs w:val="24"/>
        </w:rPr>
        <w:t xml:space="preserve"/>
      </w:r>
    </w:p>
    <w:p>
      <w:pPr>
        <w:numPr>
          <w:ilvl w:val="1"/>
          <w:numId w:val="1"/>
        </w:numPr>
        <w:jc w:val="both"/>
        <w:ind w:left="480"/>
        <w:spacing w:before="100" w:after="240"/>
      </w:pPr>
      <w:r>
        <w:rPr>
          <w:rFonts w:ascii="Times New Roman" w:hAnsi="Times New Roman" w:cs="Times New Roman"/>
          <w:sz w:val="24"/>
          <w:sz-cs w:val="24"/>
        </w:rPr>
        <w:t xml:space="preserve">Compliance with the original planning/energy strategy – apparent non-operation of the CHP for many years, contrary to the approved energy strategy and to the legitimate expectations of leaseholders who purchased on the basis of an efficient communal system (Section N).</w:t>
      </w:r>
      <w:r>
        <w:rPr>
          <w:rFonts w:ascii="Times New Roman" w:hAnsi="Times New Roman" w:cs="Times New Roman"/>
          <w:sz w:val="24"/>
          <w:sz-cs w:val="24"/>
        </w:rPr>
        <w:t xml:space="preserve"/>
      </w:r>
    </w:p>
    <w:p>
      <w:pPr>
        <w:numPr>
          <w:ilvl w:val="1"/>
          <w:numId w:val="1"/>
        </w:numPr>
      </w:pPr>
      <w:pPr>
        <w:numPr>
          <w:ilvl w:val="1"/>
          <w:numId w:val="1"/>
        </w:numPr>
        <w:jc w:val="both"/>
        <w:spacing w:before="100" w:after="240"/>
      </w:pPr>
      <w:r>
        <w:rPr>
          <w:rFonts w:ascii="Times New Roman" w:hAnsi="Times New Roman" w:cs="Times New Roman"/>
          <w:sz w:val="24"/>
          <w:sz-cs w:val="24"/>
        </w:rPr>
        <w:t xml:space="preserve">E. FORMATION OF THE RESIDENTS’ ASSOCIATION AND EXPERIENCE WITH Y&amp;Y</w:t>
      </w:r>
      <w:r>
        <w:rPr>
          <w:rFonts w:ascii="Times New Roman" w:hAnsi="Times New Roman" w:cs="Times New Roman"/>
          <w:sz w:val="24"/>
          <w:sz-cs w:val="24"/>
        </w:rPr>
        <w:t xml:space="preserve"/>
      </w:r>
    </w:p>
    <w:p>
      <w:pPr>
        <w:numPr>
          <w:ilvl w:val="0"/>
          <w:numId w:val="1"/>
        </w:numPr>
      </w:pPr>
      <w:pPr>
        <w:numPr>
          <w:ilvl w:val="0"/>
          <w:numId w:val="1"/>
        </w:numPr>
        <w:jc w:val="both"/>
        <w:ind w:left="480"/>
        <w:spacing w:before="100" w:after="240"/>
      </w:pPr>
      <w:r>
        <w:rPr>
          <w:rFonts w:ascii="Times New Roman" w:hAnsi="Times New Roman" w:cs="Times New Roman"/>
          <w:sz w:val="24"/>
          <w:sz-cs w:val="24"/>
        </w:rPr>
        <w:t xml:space="preserve">When concerns first arose, the Respondent and Y&amp;Y did not facilitate residents’ attempts to organise collectively. They refused to disclose contact details for other leaseholders or to forward Residents’ Association communications, citing GDPR, which forced us into a protracted process of identifying and contacting fellow leaseholders individually before 13 of us could coordinate an application to this Tribunal for recognition of our Association. Even now we do not hold contact details for many leaseholders.</w:t>
      </w:r>
      <w:r>
        <w:rPr>
          <w:rFonts w:ascii="Times New Roman" w:hAnsi="Times New Roman" w:cs="Times New Roman"/>
          <w:sz w:val="24"/>
          <w:sz-cs w:val="24"/>
        </w:rPr>
        <w:t xml:space="preserve"/>
      </w:r>
    </w:p>
    <w:p>
      <w:pPr>
        <w:numPr>
          <w:ilvl w:val="0"/>
          <w:numId w:val="1"/>
        </w:numPr>
      </w:pPr>
      <w:pPr>
        <w:numPr>
          <w:ilvl w:val="0"/>
          <w:numId w:val="1"/>
        </w:numPr>
        <w:jc w:val="both"/>
        <w:ind w:left="480"/>
        <w:spacing w:before="100" w:after="240"/>
      </w:pPr>
      <w:r>
        <w:rPr>
          <w:rFonts w:ascii="Times New Roman" w:hAnsi="Times New Roman" w:cs="Times New Roman"/>
          <w:sz w:val="24"/>
          <w:sz-cs w:val="24"/>
        </w:rPr>
        <w:t xml:space="preserve">The Respondent initially refused to recognise 8ARRA, relying on outdated legal points. It was only after the Tribunal indicated that, if necessary, it would rule on recognition that the Respondent backed down and accepted 8ARRA as a recognised association.</w:t>
      </w:r>
      <w:r>
        <w:rPr>
          <w:rFonts w:ascii="Times New Roman" w:hAnsi="Times New Roman" w:cs="Times New Roman"/>
          <w:sz w:val="24"/>
          <w:sz-cs w:val="24"/>
        </w:rPr>
        <w:t xml:space="preserve"/>
      </w:r>
    </w:p>
    <w:p>
      <w:pPr>
        <w:numPr>
          <w:ilvl w:val="0"/>
          <w:numId w:val="1"/>
        </w:numPr>
      </w:pPr>
      <w:pPr>
        <w:jc w:val="both"/>
        <w:ind w:left="480"/>
        <w:spacing w:before="100" w:after="240"/>
      </w:pPr>
      <w:r>
        <w:rPr>
          <w:rFonts w:ascii="Times New Roman" w:hAnsi="Times New Roman" w:cs="Times New Roman"/>
          <w:sz w:val="24"/>
          <w:sz-cs w:val="24"/>
        </w:rPr>
        <w:t xml:space="preserve">Direct approaches to the freeholder and its representatives were, for many years, either ignored or acknowledged only after long delay. In practice, we dealt almost exclusively with Y&amp;Y as managing agent and, more recently, with Mr Richard Simmons as Avon’s representative. Even then, substantive engagement typically occurred only once tribunal proceedings were underway.</w:t>
      </w:r>
      <w:r>
        <w:rPr>
          <w:rFonts w:ascii="Times New Roman" w:hAnsi="Times New Roman" w:cs="Times New Roman"/>
          <w:sz w:val="24"/>
          <w:sz-cs w:val="24"/>
        </w:rPr>
        <w:t xml:space="preserve"/>
      </w:r>
    </w:p>
    <w:p>
      <w:pPr>
        <w:numPr>
          <w:ilvl w:val="0"/>
          <w:numId w:val="1"/>
        </w:numPr>
      </w:pPr>
      <w:pPr>
        <w:numPr>
          <w:ilvl w:val="0"/>
          <w:numId w:val="1"/>
        </w:numPr>
        <w:jc w:val="both"/>
        <w:ind w:left="480"/>
        <w:spacing w:before="100" w:after="240"/>
      </w:pPr>
      <w:r>
        <w:rPr>
          <w:rFonts w:ascii="Times New Roman" w:hAnsi="Times New Roman" w:cs="Times New Roman"/>
          <w:sz w:val="24"/>
          <w:sz-cs w:val="24"/>
        </w:rPr>
        <w:t xml:space="preserve">A similar pattern has emerged on cladding and fire-safety issues. It took approximately four years of sustained effort by leaseholders before a remediation application to this Tribunal finally prompted meaningful movement, only for it to emerge during those proceedings that the project remained at a very early stage. In my experience, without tribunal pressure, substantive progress on major issues is rarely achieved.</w:t>
      </w:r>
      <w:r>
        <w:rPr>
          <w:rFonts w:ascii="Times New Roman" w:hAnsi="Times New Roman" w:cs="Times New Roman"/>
          <w:sz w:val="24"/>
          <w:sz-cs w:val="24"/>
        </w:rPr>
        <w:t xml:space="preserve"/>
      </w:r>
    </w:p>
    <w:p>
      <w:pPr>
        <w:numPr>
          <w:ilvl w:val="0"/>
          <w:numId w:val="1"/>
        </w:numPr>
      </w:pPr>
      <w:pPr>
        <w:numPr>
          <w:ilvl w:val="0"/>
          <w:numId w:val="1"/>
        </w:numPr>
        <w:jc w:val="both"/>
        <w:ind w:left="480"/>
        <w:spacing w:before="100" w:after="240"/>
      </w:pPr>
      <w:r>
        <w:rPr>
          <w:rFonts w:ascii="Times New Roman" w:hAnsi="Times New Roman" w:cs="Times New Roman"/>
          <w:sz w:val="24"/>
          <w:sz-cs w:val="24"/>
        </w:rPr>
        <w:t xml:space="preserve">By contrast, where we have sought to assist on smaller, non-contentious matters (for example, modest improvements to the entrance-lobby décor), the Respondent has eventually acted. That experience reinforces the impression that it is primarily on matters affecting the Respondent’s financial interests (energy charges, plant, insurance and similar items) that cooperation is resisted.</w:t>
      </w:r>
      <w:r>
        <w:rPr>
          <w:rFonts w:ascii="Times New Roman" w:hAnsi="Times New Roman" w:cs="Times New Roman"/>
          <w:sz w:val="24"/>
          <w:sz-cs w:val="24"/>
        </w:rPr>
        <w:t xml:space="preserve"/>
      </w:r>
    </w:p>
    <w:p>
      <w:pPr>
        <w:numPr>
          <w:ilvl w:val="0"/>
          <w:numId w:val="1"/>
        </w:numPr>
      </w:pPr>
      <w:pPr>
        <w:numPr>
          <w:ilvl w:val="0"/>
          <w:numId w:val="1"/>
        </w:numPr>
        <w:jc w:val="both"/>
        <w:ind w:left="480"/>
        <w:spacing w:before="100" w:after="240"/>
      </w:pPr>
      <w:r>
        <w:rPr>
          <w:rFonts w:ascii="Times New Roman" w:hAnsi="Times New Roman" w:cs="Times New Roman"/>
          <w:sz w:val="24"/>
          <w:sz-cs w:val="24"/>
        </w:rPr>
        <w:t xml:space="preserve">On communal electricity, we repeatedly warned that the charges were abnormal. A professional landlord with a portfolio of around 177 properties and over 200 MPANs, supported by a specialist bill-validation service, should have identified that 8AR’s reported communal usage (around 240,000 kWh per year) was closer to a medium-sized industrial load than to a 22-flat block. We invited the Respondent to commission an electrical survey at the building’s expense; they refused. Ultimately, 15 Applicants funded the survey themselves at a cost of almost £7,000. The survey has now confirmed that genuine communal load is likely to be only a fraction of what has been charged.</w:t>
      </w:r>
      <w:r>
        <w:rPr>
          <w:rFonts w:ascii="Times New Roman" w:hAnsi="Times New Roman" w:cs="Times New Roman"/>
          <w:sz w:val="24"/>
          <w:sz-cs w:val="24"/>
        </w:rPr>
        <w:t xml:space="preserve"/>
      </w:r>
    </w:p>
    <w:p>
      <w:pPr>
        <w:numPr>
          <w:ilvl w:val="0"/>
          <w:numId w:val="1"/>
        </w:numPr>
      </w:pPr>
      <w:pPr>
        <w:jc w:val="both"/>
        <w:ind w:left="480"/>
        <w:spacing w:before="100" w:after="240"/>
      </w:pPr>
      <w:r>
        <w:rPr>
          <w:rFonts w:ascii="Times New Roman" w:hAnsi="Times New Roman" w:cs="Times New Roman"/>
          <w:sz w:val="24"/>
          <w:sz-cs w:val="24"/>
        </w:rPr>
        <w:t xml:space="preserve">In my experience, the Respondent’s pattern of delayed, partial and sometimes misleading responses, combined with its reluctance to commission obvious investigations (such as the electrical survey and proper pump diagnostics), has made it extremely difficult for leaseholders to verify whether charges are reasonable and has led to additional repair and maintenance costs. This history is important context for the Tribunal when assessing both the reliability of the Respondent’s evidence and the reasonableness of the costs claimed.</w:t>
      </w:r>
      <w:r>
        <w:rPr>
          <w:rFonts w:ascii="Times New Roman" w:hAnsi="Times New Roman" w:cs="Times New Roman"/>
          <w:sz w:val="24"/>
          <w:sz-cs w:val="24"/>
        </w:rPr>
        <w:t xml:space="preserve"/>
      </w:r>
    </w:p>
    <w:p>
      <w:pPr>
        <w:numPr>
          <w:ilvl w:val="0"/>
          <w:numId w:val="1"/>
        </w:numPr>
      </w:pPr>
      <w:pPr>
        <w:numPr>
          <w:ilvl w:val="0"/>
          <w:numId w:val="1"/>
        </w:numPr>
        <w:jc w:val="both"/>
        <w:ind w:left="480"/>
        <w:spacing w:before="100" w:after="240"/>
      </w:pPr>
      <w:r>
        <w:rPr>
          <w:rFonts w:ascii="Times New Roman" w:hAnsi="Times New Roman" w:cs="Times New Roman"/>
          <w:sz w:val="24"/>
          <w:sz-cs w:val="24"/>
        </w:rPr>
        <w:t xml:space="preserve">In the sections that follow I address each disputed subject in turn, explain the calculations the Applicants have carried out, and identify the specific reductions and credits we ask the Tribunal to order in respect of the 2017–2024 service-charge years.</w:t>
      </w:r>
      <w:r>
        <w:rPr>
          <w:rFonts w:ascii="Times New Roman" w:hAnsi="Times New Roman" w:cs="Times New Roman"/>
          <w:sz w:val="24"/>
          <w:sz-cs w:val="24"/>
        </w:rPr>
        <w:t xml:space="preserve"/>
      </w:r>
    </w:p>
    <w:p>
      <w:pPr>
        <w:numPr>
          <w:ilvl w:val="0"/>
          <w:numId w:val="1"/>
        </w:numPr>
      </w:pPr>
      <w:pPr>
        <w:numPr>
          <w:ilvl w:val="0"/>
          <w:numId w:val="1"/>
        </w:numPr>
        <w:jc w:val="both"/>
        <w:ind w:left="480"/>
        <w:spacing w:before="100" w:after="240"/>
      </w:pPr>
      <w:r>
        <w:rPr>
          <w:rFonts w:ascii="Times New Roman" w:hAnsi="Times New Roman" w:cs="Times New Roman"/>
          <w:sz w:val="24"/>
          <w:sz-cs w:val="24"/>
        </w:rPr>
        <w:t xml:space="preserve">HEAT AND HOT WATER – CLEVER ENERGY TARIFFS</w:t>
      </w:r>
      <w:r>
        <w:rPr>
          <w:rFonts w:ascii="Times New Roman" w:hAnsi="Times New Roman" w:cs="Times New Roman"/>
          <w:sz w:val="24"/>
          <w:sz-cs w:val="24"/>
        </w:rPr>
        <w:t xml:space="preserve"/>
      </w:r>
    </w:p>
    <w:p>
      <w:pPr>
        <w:numPr>
          <w:ilvl w:val="0"/>
          <w:numId w:val="1"/>
        </w:numPr>
      </w:pPr>
      <w:pPr>
        <w:jc w:val="both"/>
        <w:ind w:left="480"/>
        <w:spacing w:before="100" w:after="240"/>
      </w:pPr>
      <w:r>
        <w:rPr>
          <w:rFonts w:ascii="Times New Roman" w:hAnsi="Times New Roman" w:cs="Times New Roman"/>
          <w:sz w:val="24"/>
          <w:sz-cs w:val="24"/>
        </w:rPr>
        <w:t xml:space="preserve">8 Artillery Row is served by a communal heating and hot-water system located in the plant room. Heat is generated centrally and distributed via a communal network to each flat and to the ground-floor commercial unit. Residents do not have individual gas boilers; instead, they are billed for heat and hot water by Clever Energy Limited (“Clever Energy”) on behalf of the Respondent.</w:t>
      </w:r>
      <w:r>
        <w:rPr>
          <w:rFonts w:ascii="Times New Roman" w:hAnsi="Times New Roman" w:cs="Times New Roman"/>
          <w:sz w:val="24"/>
          <w:sz-cs w:val="24"/>
        </w:rPr>
        <w:t xml:space="preserve"/>
      </w:r>
    </w:p>
    <w:p>
      <w:pPr>
        <w:numPr>
          <w:ilvl w:val="0"/>
          <w:numId w:val="1"/>
        </w:numPr>
      </w:pPr>
      <w:pPr>
        <w:numPr>
          <w:ilvl w:val="0"/>
          <w:numId w:val="1"/>
        </w:numPr>
        <w:jc w:val="both"/>
        <w:ind w:left="480"/>
        <w:spacing w:before="100" w:after="240"/>
      </w:pPr>
      <w:r>
        <w:rPr>
          <w:rFonts w:ascii="Times New Roman" w:hAnsi="Times New Roman" w:cs="Times New Roman"/>
          <w:sz w:val="24"/>
          <w:sz-cs w:val="24"/>
        </w:rPr>
        <w:t xml:space="preserve">The Respondent has not provided a copy of the Clever Energy contract for 8 Artillery Row. However, from a Clever Energy services agreement obtained for another Avon estate, “The Loxfords” (Exhibit KH2 p.558 - 589) I understand that Clever Energy acts purely as a billing and data-services agent, and that the freeholder, Avon, remains the “energy company” and principal. Under that agreement, Clever Energy collects payments from residents, holds those sums on trust for Avon, and issues monthly reconciliation reports comparing monies collected against the actual costs incurred by Avon in supplying heat and hot water. In addition, I spoke by telephone with Jonathan Nadin, Managing Director of Clever Energy, on 18 June 2025 at 13:17. My note of that call is at Exhibit KH2 p.590-592. Mr Nadin confirmed that Clever Energy applies an “efficiency factor” to convert raw gas costs into billed heat costs, and that they work to contracted rates and budget figures provided by the customer when calculating usage and tariffs.</w:t>
      </w:r>
      <w:r>
        <w:rPr>
          <w:rFonts w:ascii="Times New Roman" w:hAnsi="Times New Roman" w:cs="Times New Roman"/>
          <w:sz w:val="24"/>
          <w:sz-cs w:val="24"/>
        </w:rPr>
        <w:t xml:space="preserve"/>
      </w:r>
    </w:p>
    <w:p>
      <w:pPr>
        <w:numPr>
          <w:ilvl w:val="0"/>
          <w:numId w:val="1"/>
        </w:numPr>
      </w:pPr>
      <w:pPr>
        <w:numPr>
          <w:ilvl w:val="0"/>
          <w:numId w:val="1"/>
        </w:numPr>
        <w:jc w:val="both"/>
        <w:ind w:left="480"/>
        <w:spacing w:before="100" w:after="240"/>
      </w:pPr>
      <w:r>
        <w:rPr>
          <w:rFonts w:ascii="Times New Roman" w:hAnsi="Times New Roman" w:cs="Times New Roman"/>
          <w:sz w:val="24"/>
          <w:sz-cs w:val="24"/>
        </w:rPr>
        <w:t xml:space="preserve">The Loxfords agreement also states at 2.4 that, within fourteen business days of the end of each month, Clever Energy must issue a report to the customer reconciling payments collected from the “units” against the actual costs incurred by the customer in supplying heat and water. At paragraph 2.7 of Appendix 2,  it states that by the 20th of each month, Clever Energy must provide a “Customer Report” summarising aggregate consumption, billing, payments collected, arrears, meter exceptions and resident complaints (Exhibit KH2 page 580). This shows that Avon should, in practice, hold clear monthly records of total income from residents and total underlying heat costs.</w:t>
      </w:r>
      <w:r>
        <w:rPr>
          <w:rFonts w:ascii="Times New Roman" w:hAnsi="Times New Roman" w:cs="Times New Roman"/>
          <w:sz w:val="24"/>
          <w:sz-cs w:val="24"/>
        </w:rPr>
        <w:t xml:space="preserve"/>
      </w:r>
    </w:p>
    <w:p>
      <w:pPr>
        <w:numPr>
          <w:ilvl w:val="0"/>
          <w:numId w:val="1"/>
        </w:numPr>
      </w:pPr>
      <w:pPr>
        <w:numPr>
          <w:ilvl w:val="1"/>
          <w:numId w:val="1"/>
        </w:numPr>
        <w:jc w:val="both"/>
        <w:ind w:left="480"/>
        <w:spacing w:before="100" w:after="240"/>
      </w:pPr>
      <w:r>
        <w:rPr>
          <w:rFonts w:ascii="Times New Roman" w:hAnsi="Times New Roman" w:cs="Times New Roman"/>
          <w:sz w:val="24"/>
          <w:sz-cs w:val="24"/>
        </w:rPr>
        <w:t xml:space="preserve">Despite repeated requests, the Respondent has not disclosed any such monthly reconciliation reports or Customer Reports for 8 Artillery Row. For more than two years our questions were simply ignored (Exhibit KH2 pages 328, 339, 648). More recently we were told that Avon would liaise with Clever Energy to obtain the information, but nothing has been produced (exhibit KH2 pages 1043-1054). This is information which should already be in Avon’s possession, because Clever Energy is contractually bound to provide reconciliation accounts each month .</w:t>
      </w:r>
      <w:r>
        <w:rPr>
          <w:rFonts w:ascii="Times New Roman" w:hAnsi="Times New Roman" w:cs="Times New Roman"/>
          <w:sz w:val="24"/>
          <w:sz-cs w:val="24"/>
        </w:rPr>
        <w:t xml:space="preserve"/>
      </w:r>
    </w:p>
    <w:p>
      <w:pPr>
        <w:numPr>
          <w:ilvl w:val="1"/>
          <w:numId w:val="1"/>
        </w:numPr>
      </w:pPr>
      <w:pPr>
        <w:numPr>
          <w:ilvl w:val="1"/>
          <w:numId w:val="1"/>
        </w:numPr>
        <w:jc w:val="both"/>
        <w:ind w:left="480"/>
        <w:spacing w:before="100" w:after="240"/>
      </w:pPr>
      <w:r>
        <w:rPr>
          <w:rFonts w:ascii="Times New Roman" w:hAnsi="Times New Roman" w:cs="Times New Roman"/>
          <w:sz w:val="24"/>
          <w:sz-cs w:val="24"/>
        </w:rPr>
        <w:t xml:space="preserve">This stance sits uneasily with the Clever Energy contract itself. Clause 2.4 requires Clever Energy to issue monthly reports reconciling payments collected from the units against the actual costs incurred by the customer (Avon) in supplying heat and water. The required Customer Reports must include aggregate resident consumption, billing and payment collection, and lists of arrears and exceptions. Those documents would allow Avon to see, at a glance, total income from residents versus total underlying heat costs. Their absence from disclosure is therefore highly significant.</w:t>
      </w:r>
      <w:r>
        <w:rPr>
          <w:rFonts w:ascii="Times New Roman" w:hAnsi="Times New Roman" w:cs="Times New Roman"/>
          <w:sz w:val="24"/>
          <w:sz-cs w:val="24"/>
        </w:rPr>
        <w:t xml:space="preserve"/>
      </w:r>
    </w:p>
    <w:p>
      <w:pPr>
        <w:numPr>
          <w:ilvl w:val="0"/>
          <w:numId w:val="1"/>
        </w:numPr>
      </w:pPr>
      <w:pPr>
        <w:numPr>
          <w:ilvl w:val="0"/>
          <w:numId w:val="1"/>
        </w:numPr>
        <w:jc w:val="both"/>
        <w:ind w:left="480"/>
        <w:spacing w:before="100" w:after="240"/>
      </w:pPr>
      <w:r>
        <w:rPr>
          <w:rFonts w:ascii="Times New Roman" w:hAnsi="Times New Roman" w:cs="Times New Roman"/>
          <w:sz w:val="24"/>
          <w:sz-cs w:val="24"/>
        </w:rPr>
        <w:t xml:space="preserve">The same agreement makes clear that Clever Energy “takes no responsibility for the tariff being compliant with legislative and regulatory requirements (including landlord and tenant legislation)” and that Avon “must satisfy itself” on those matters. Clever Energy is therefore contractually Avon’s agent, paid a fixed per-flat fee and other charges, and expressly disclaims responsibility for compliance with landlord and tenant law. It is Avon which owns and controls tariff decisions and which must justify them to this Tribunal under sections 19 and 27A of the Landlord and Tenant Act 1985.</w:t>
      </w:r>
      <w:r>
        <w:rPr>
          <w:rFonts w:ascii="Times New Roman" w:hAnsi="Times New Roman" w:cs="Times New Roman"/>
          <w:sz w:val="24"/>
          <w:sz-cs w:val="24"/>
        </w:rPr>
        <w:t xml:space="preserve"/>
      </w:r>
    </w:p>
    <w:p>
      <w:pPr>
        <w:numPr>
          <w:ilvl w:val="0"/>
          <w:numId w:val="1"/>
        </w:numPr>
      </w:pPr>
      <w:pPr>
        <w:numPr>
          <w:ilvl w:val="0"/>
          <w:numId w:val="1"/>
        </w:numPr>
        <w:jc w:val="both"/>
        <w:ind w:left="480"/>
        <w:spacing w:before="100" w:after="240"/>
      </w:pPr>
      <w:r>
        <w:rPr>
          <w:rFonts w:ascii="Times New Roman" w:hAnsi="Times New Roman" w:cs="Times New Roman"/>
          <w:sz w:val="24"/>
          <w:sz-cs w:val="24"/>
        </w:rPr>
        <w:t xml:space="preserve">Avon has also refused to provide the corresponding “income receivables” schedules, citing GDPR and referring to sections 21 and 22 of the Landlord and Tenant Act 1985, even though those provisions do not prohibit such disclosure. Instead, Avon directs us to the single summary total shown in the annual accounts. Leaseholders – and the Tribunal – are effectively asked to trust that figure without any transparency. This makes it extremely difficult to compare total income from residents with Avon’s actual costs of gas and plant operation. (Exhibit KH2 page 614)</w:t>
      </w:r>
      <w:r>
        <w:rPr>
          <w:rFonts w:ascii="Times New Roman" w:hAnsi="Times New Roman" w:cs="Times New Roman"/>
          <w:sz w:val="24"/>
          <w:sz-cs w:val="24"/>
        </w:rPr>
        <w:t xml:space="preserve"/>
      </w:r>
    </w:p>
    <w:p>
      <w:pPr>
        <w:numPr>
          <w:ilvl w:val="0"/>
          <w:numId w:val="1"/>
        </w:numPr>
      </w:pPr>
      <w:pPr>
        <w:numPr>
          <w:ilvl w:val="0"/>
          <w:numId w:val="1"/>
        </w:numPr>
        <w:jc w:val="both"/>
        <w:ind w:left="480"/>
        <w:spacing w:before="100" w:after="240"/>
      </w:pPr>
      <w:r>
        <w:rPr>
          <w:rFonts w:ascii="Times New Roman" w:hAnsi="Times New Roman" w:cs="Times New Roman"/>
          <w:sz w:val="24"/>
          <w:sz-cs w:val="24"/>
        </w:rPr>
        <w:t xml:space="preserve">Clever Energy’s letters of 12 December 2017 to residents set out the unit tariffs to be applied for heating and hot water in 2018. The letter states that the tariff will be 11.053 p/kWh with a standing charge of 5 pence per day per flat. In fact, Clever Energy invoices for 2018 show a rate of 7.90 p/kWh and a standing charge of 38 pence per day. I say that these letters are not reliable and that charges appear to be calculated without proper linkage to energy costs. (Exhibit KH2 p.618-620)</w:t>
      </w:r>
      <w:r>
        <w:rPr>
          <w:rFonts w:ascii="Times New Roman" w:hAnsi="Times New Roman" w:cs="Times New Roman"/>
          <w:sz w:val="24"/>
          <w:sz-cs w:val="24"/>
        </w:rPr>
        <w:t xml:space="preserve"/>
      </w:r>
    </w:p>
    <w:p>
      <w:pPr>
        <w:numPr>
          <w:ilvl w:val="0"/>
          <w:numId w:val="1"/>
        </w:numPr>
        <w:jc w:val="both"/>
        <w:ind w:left="480"/>
        <w:spacing w:before="100" w:after="240"/>
      </w:pPr>
      <w:r>
        <w:rPr>
          <w:rFonts w:ascii="Times New Roman" w:hAnsi="Times New Roman" w:cs="Times New Roman"/>
          <w:sz w:val="24"/>
          <w:sz-cs w:val="24"/>
        </w:rPr>
        <w:t xml:space="preserve">Clever Energy’s own documentation (Exhibit KH2 page 335) uses a “typical” annual usage of 3,200 kWh as an example, with a heat tariff of around 14.5 p/kWh. On that basis, residents are being charged for heat at roughly 3.6–3.7 times the underlying gas unit rate actually paid by the Respondent for the corresponding period, as set out below.</w:t>
      </w:r>
      <w:r>
        <w:rPr>
          <w:rFonts w:ascii="Times New Roman" w:hAnsi="Times New Roman" w:cs="Times New Roman"/>
          <w:sz w:val="24"/>
          <w:sz-cs w:val="24"/>
        </w:rPr>
        <w:t xml:space="preserve"/>
      </w:r>
    </w:p>
    <w:p>
      <w:pPr>
        <w:numPr>
          <w:ilvl w:val="0"/>
          <w:numId w:val="1"/>
        </w:numPr>
      </w:pPr>
      <w:pPr>
        <w:numPr>
          <w:ilvl w:val="0"/>
          <w:numId w:val="1"/>
        </w:numPr>
        <w:jc w:val="both"/>
        <w:ind w:left="480"/>
        <w:spacing w:before="100" w:after="240"/>
      </w:pPr>
      <w:r>
        <w:rPr>
          <w:rFonts w:ascii="Times New Roman" w:hAnsi="Times New Roman" w:cs="Times New Roman"/>
          <w:sz w:val="24"/>
          <w:sz-cs w:val="24"/>
        </w:rPr>
        <w:t xml:space="preserve">I have prepared a spreadsheet (Exhibit KH2 page 621), based on disclosed documents and government data, comparing (a) market energy prices, (b) the rates contracted by Avon, and (c) the tariffs charged to leaseholders. By way of example, a British Gas invoice for the whole building’s gas supply for 1 February 2023–31 March 2023 shows that Avon (via Triplerose Limited) was charged a unit rate of 3.885 p/kWh plus a standing charge of 752 pence per day (Exhibit KH2 pages 622-623). In the same year, leaseholders were paying 15.42 p/kWh and a combined daily standing charge of £21.12. On those figures, Avon is recovering around 3.6 times its gas unit rate and more than three times its building standing charge through Clever Energy tariffs.</w:t>
      </w:r>
      <w:r>
        <w:rPr>
          <w:rFonts w:ascii="Times New Roman" w:hAnsi="Times New Roman" w:cs="Times New Roman"/>
          <w:sz w:val="24"/>
          <w:sz-cs w:val="24"/>
        </w:rPr>
        <w:t xml:space="preserve"/>
      </w:r>
    </w:p>
    <w:p>
      <w:pPr>
        <w:numPr>
          <w:ilvl w:val="0"/>
          <w:numId w:val="1"/>
        </w:numPr>
      </w:pPr>
      <w:pPr>
        <w:numPr>
          <w:ilvl w:val="0"/>
          <w:numId w:val="1"/>
        </w:numPr>
        <w:jc w:val="both"/>
        <w:ind w:left="480"/>
        <w:spacing w:before="100" w:after="240"/>
      </w:pPr>
      <w:r>
        <w:rPr>
          <w:rFonts w:ascii="Times New Roman" w:hAnsi="Times New Roman" w:cs="Times New Roman"/>
          <w:sz w:val="24"/>
          <w:sz-cs w:val="24"/>
        </w:rPr>
        <w:t xml:space="preserve">In order to understand the true scale of the heating and hot-water income, I repeatedly asked the Respondent for a simple annual reconciliation showing (a) the total sums billed and collected by Clever Energy from all 22 flats and (b) the sums credited to Avon or to the service-charge accounts. No such reconciliation has been provided. Instead, following Avon’s request to Clever Energy, I was sent more than 1,200 individual tenant invoices for the period 2017–2025, with no summary schedule or explanation.</w:t>
      </w:r>
      <w:r>
        <w:rPr>
          <w:rFonts w:ascii="Times New Roman" w:hAnsi="Times New Roman" w:cs="Times New Roman"/>
          <w:sz w:val="24"/>
          <w:sz-cs w:val="24"/>
        </w:rPr>
        <w:t xml:space="preserve"/>
      </w:r>
    </w:p>
    <w:p>
      <w:pPr>
        <w:numPr>
          <w:ilvl w:val="0"/>
          <w:numId w:val="1"/>
        </w:numPr>
      </w:pPr>
      <w:pPr>
        <w:numPr>
          <w:ilvl w:val="0"/>
          <w:numId w:val="1"/>
        </w:numPr>
        <w:jc w:val="both"/>
        <w:ind w:left="480"/>
        <w:spacing w:before="100" w:after="240"/>
      </w:pPr>
      <w:r>
        <w:rPr>
          <w:rFonts w:ascii="Times New Roman" w:hAnsi="Times New Roman" w:cs="Times New Roman"/>
          <w:sz w:val="24"/>
          <w:sz-cs w:val="24"/>
        </w:rPr>
        <w:t xml:space="preserve">I have done my best to collate those invoices into a spreadsheet, but they are plainly incomplete and the exercise has taken an unreasonable amount of time. Clever Energy has only disclosed invoices for a subset of flats and, in some years, there are obvious gaps in the invoice sequences. Where data is missing, I have therefore had to work on reasonable averages and extrapolations across the building, as shown in Exhibit KH2 pages 624-644. The conclusions I draw about over-recovery are conservative; the true figures are likely to be higher once all invoices and credits are taken into account.</w:t>
      </w:r>
      <w:r>
        <w:rPr>
          <w:rFonts w:ascii="Times New Roman" w:hAnsi="Times New Roman" w:cs="Times New Roman"/>
          <w:sz w:val="24"/>
          <w:sz-cs w:val="24"/>
        </w:rPr>
        <w:t xml:space="preserve"/>
      </w:r>
    </w:p>
    <w:p>
      <w:pPr>
        <w:numPr>
          <w:ilvl w:val="0"/>
          <w:numId w:val="1"/>
        </w:numPr>
      </w:pPr>
      <w:pPr>
        <w:numPr>
          <w:ilvl w:val="0"/>
          <w:numId w:val="1"/>
        </w:numPr>
        <w:jc w:val="both"/>
        <w:ind w:left="480"/>
        <w:spacing w:before="100" w:after="240"/>
      </w:pPr>
      <w:r>
        <w:rPr>
          <w:rFonts w:ascii="Times New Roman" w:hAnsi="Times New Roman" w:cs="Times New Roman"/>
          <w:sz w:val="24"/>
          <w:sz-cs w:val="24"/>
        </w:rPr>
        <w:t xml:space="preserve">Using that data, as per this exhibit, it sets out our calculation of what leaseholders have paid in heating and hot-water costs, what the freeholder has paid to its gas suppliers in providing those services, and the resulting amounts we believe have been over-recovered by Avon through the Clever Energy tariffs.</w:t>
      </w:r>
      <w:r>
        <w:rPr>
          <w:rFonts w:ascii="Times New Roman" w:hAnsi="Times New Roman" w:cs="Times New Roman"/>
          <w:sz w:val="24"/>
          <w:sz-cs w:val="24"/>
        </w:rPr>
        <w:t xml:space="preserve"/>
      </w:r>
    </w:p>
    <w:p>
      <w:pPr>
        <w:numPr>
          <w:ilvl w:val="0"/>
          <w:numId w:val="1"/>
        </w:numPr>
      </w:pPr>
      <w:pPr>
        <w:numPr>
          <w:ilvl w:val="0"/>
          <w:numId w:val="1"/>
        </w:numPr>
        <w:jc w:val="both"/>
        <w:ind w:left="480"/>
        <w:spacing w:before="100" w:after="240"/>
      </w:pPr>
      <w:r>
        <w:rPr>
          <w:rFonts w:ascii="Times New Roman" w:hAnsi="Times New Roman" w:cs="Times New Roman"/>
          <w:sz w:val="24"/>
          <w:sz-cs w:val="24"/>
        </w:rPr>
        <w:t xml:space="preserve">I also attach the developer’s Energy Performance Certificate for Apartment 101 (Exhibit KH2 pages 645-647). It estimates the cost of heating and hot water for three years at a total of £1,458, which equates to approximately £40.50 per month for a two-bedroom flat in this building, with the plant operating as designed and without any components switched off. In reality, leaseholders are paying up to three times that amount.</w:t>
      </w:r>
      <w:r>
        <w:rPr>
          <w:rFonts w:ascii="Times New Roman" w:hAnsi="Times New Roman" w:cs="Times New Roman"/>
          <w:sz w:val="24"/>
          <w:sz-cs w:val="24"/>
        </w:rPr>
        <w:t xml:space="preserve"/>
      </w:r>
    </w:p>
    <w:p>
      <w:pPr>
        <w:numPr>
          <w:ilvl w:val="0"/>
          <w:numId w:val="1"/>
        </w:numPr>
      </w:pPr>
      <w:pPr>
        <w:numPr>
          <w:ilvl w:val="0"/>
          <w:numId w:val="1"/>
        </w:numPr>
        <w:jc w:val="both"/>
        <w:ind w:left="480"/>
        <w:spacing w:before="100" w:after="240"/>
      </w:pPr>
      <w:r>
        <w:rPr>
          <w:rFonts w:ascii="Times New Roman" w:hAnsi="Times New Roman" w:cs="Times New Roman"/>
          <w:sz w:val="24"/>
          <w:sz-cs w:val="24"/>
        </w:rPr>
        <w:t xml:space="preserve">Clever Energy has provided only partial billing data: invoices for the flats which are parties to these proceedings. Even from this incomplete disclosure, my rough calculations show what the 15 Applicant leaseholders are collectively paying per year for heating and hot water, compared with their pro-rata share of the building’s yearly gas bill. Because we have invoices for only 15 flats, we have had to calculate a pro-quota figure for actual gas costs. The true total billed to all flats must be higher, as no Clever Energy invoices have been disclosed at all for the remaining seven flats, despite repeated requests in the Scott Schedule and further emails to the Respondent’s representative (Exhibit KH2 pages 648-655).</w:t>
      </w:r>
      <w:r>
        <w:rPr>
          <w:rFonts w:ascii="Times New Roman" w:hAnsi="Times New Roman" w:cs="Times New Roman"/>
          <w:sz w:val="24"/>
          <w:sz-cs w:val="24"/>
        </w:rPr>
        <w:t xml:space="preserve"/>
      </w:r>
    </w:p>
    <w:p>
      <w:pPr>
        <w:numPr>
          <w:ilvl w:val="0"/>
          <w:numId w:val="1"/>
        </w:numPr>
      </w:pPr>
      <w:pPr>
        <w:numPr>
          <w:ilvl w:val="0"/>
          <w:numId w:val="1"/>
        </w:numPr>
        <w:jc w:val="both"/>
        <w:ind w:left="480"/>
        <w:spacing w:before="100" w:after="240"/>
      </w:pPr>
      <w:r>
        <w:rPr>
          <w:rFonts w:ascii="Times New Roman" w:hAnsi="Times New Roman" w:cs="Times New Roman"/>
          <w:sz w:val="24"/>
          <w:sz-cs w:val="24"/>
        </w:rPr>
        <w:t xml:space="preserve">For the record, the service-charge accounts include separate line items for plant-room and heating-system breakdowns, repairs and component replacements. There is no evidence that any of these costs are passed through the Clever Energy bills. All such costs appear to be charged through the service-charge accounts, so Clever Energy’s bills should reflect gas costs plus the billing fee only. Any attempt to recover plant failures both via service charges and via tariffs would amount to double charging.</w:t>
      </w:r>
      <w:r>
        <w:rPr>
          <w:rFonts w:ascii="Times New Roman" w:hAnsi="Times New Roman" w:cs="Times New Roman"/>
          <w:sz w:val="24"/>
          <w:sz-cs w:val="24"/>
        </w:rPr>
        <w:t xml:space="preserve"/>
      </w:r>
    </w:p>
    <w:p>
      <w:pPr>
        <w:numPr>
          <w:ilvl w:val="0"/>
          <w:numId w:val="1"/>
        </w:numPr>
      </w:pPr>
      <w:pPr>
        <w:jc w:val="both"/>
        <w:ind w:left="480"/>
        <w:spacing w:before="100" w:after="240"/>
      </w:pPr>
      <w:r>
        <w:rPr>
          <w:rFonts w:ascii="Times New Roman" w:hAnsi="Times New Roman" w:cs="Times New Roman"/>
          <w:sz w:val="24"/>
          <w:sz-cs w:val="24"/>
        </w:rPr>
        <w:t xml:space="preserve">I must also raise the very high gas unit rate agreed by the Respondent in the Crown Gas &amp; Power contract entered into around September 2024. Under that contract, the building is charged 6.753 pence per kWh at a time when published wholesale “spot” prices for gas were approximately 4.49 pence per kWh (Exhibit KH2 pages 656 - 680). The Respondent has not provided any tendering documents, record of a competitive procurement, or alternative quotes, despite the Crown account being classified as a “large business” customer with annual consumption exceeding 23 million kWh. In my submission, a landlord purchasing gas at this scale ought to be able to secure competitive rates; if it fails to do so, any excessive cost arising from poorly tendered or uncompetitive contracts should not simply be passed to leaseholders as “reasonably incurred” service-charge expenditure under section 19 of the Landlord and Tenant Act 1985.</w:t>
      </w:r>
      <w:r>
        <w:rPr>
          <w:rFonts w:ascii="Times New Roman" w:hAnsi="Times New Roman" w:cs="Times New Roman"/>
          <w:sz w:val="24"/>
          <w:sz-cs w:val="24"/>
        </w:rPr>
        <w:t xml:space="preserve"/>
      </w:r>
    </w:p>
    <w:p>
      <w:pPr>
        <w:numPr>
          <w:ilvl w:val="0"/>
          <w:numId w:val="1"/>
        </w:numPr>
      </w:pPr>
      <w:pPr>
        <w:numPr>
          <w:ilvl w:val="0"/>
          <w:numId w:val="1"/>
        </w:numPr>
        <w:jc w:val="both"/>
        <w:ind w:left="480"/>
        <w:spacing w:before="100" w:after="240"/>
      </w:pPr>
      <w:r>
        <w:rPr>
          <w:rFonts w:ascii="Times New Roman" w:hAnsi="Times New Roman" w:cs="Times New Roman"/>
          <w:sz w:val="24"/>
          <w:sz-cs w:val="24"/>
        </w:rPr>
        <w:t xml:space="preserve">I draw to the Tribunal attention the same Crown Gas contract at Section 11, which explains how commissions are included in the rate as a result of an uplift in the rate and standing charge</w:t>
      </w:r>
      <w:r>
        <w:rPr>
          <w:rFonts w:ascii="Times New Roman" w:hAnsi="Times New Roman" w:cs="Times New Roman"/>
          <w:sz w:val="24"/>
          <w:sz-cs w:val="24"/>
        </w:rPr>
        <w:t xml:space="preserve"/>
      </w:r>
    </w:p>
    <w:p>
      <w:pPr>
        <w:numPr>
          <w:ilvl w:val="0"/>
          <w:numId w:val="1"/>
        </w:numPr>
      </w:pPr>
      <w:pPr>
        <w:numPr>
          <w:ilvl w:val="0"/>
          <w:numId w:val="1"/>
        </w:numPr>
        <w:jc w:val="both"/>
        <w:ind w:left="480"/>
        <w:spacing w:before="100" w:after="240"/>
      </w:pPr>
      <w:r>
        <w:rPr>
          <w:rFonts w:ascii="Times New Roman" w:hAnsi="Times New Roman" w:cs="Times New Roman"/>
          <w:sz w:val="24"/>
          <w:sz-cs w:val="24"/>
        </w:rPr>
        <w:t xml:space="preserve">In a letter dated 7 October 2025 disclosed by the Respondent (Exhibit KH2 pages 681-683), Mr Paul Simpson of Clever Energy wrote to Avon “in support of the action raised by the tenants of 8 Artillery Row”. He asserts that gas prices have increased from about 1 p/kWh to 5–6 p/kWh, “peaking at around 12 p/kWh”, and refers to high wholesale volatility. However, the British Gas invoice for February–March 2023 shows that Avon was paying 3.885 p/kWh during that period, and the government quarterly gas price data at Exhibit KH2 p.12 do not show any period when typical prices reached 12 p/kWh.</w:t>
      </w:r>
      <w:r>
        <w:rPr>
          <w:rFonts w:ascii="Times New Roman" w:hAnsi="Times New Roman" w:cs="Times New Roman"/>
          <w:sz w:val="24"/>
          <w:sz-cs w:val="24"/>
        </w:rPr>
        <w:t xml:space="preserve"/>
      </w:r>
    </w:p>
    <w:p>
      <w:pPr>
        <w:numPr>
          <w:ilvl w:val="1"/>
          <w:numId w:val="1"/>
        </w:numPr>
      </w:pPr>
      <w:pPr>
        <w:numPr>
          <w:ilvl w:val="1"/>
          <w:numId w:val="1"/>
        </w:numPr>
        <w:jc w:val="both"/>
        <w:ind w:left="480"/>
        <w:spacing w:before="100" w:after="240"/>
      </w:pPr>
      <w:r>
        <w:rPr>
          <w:rFonts w:ascii="Times New Roman" w:hAnsi="Times New Roman" w:cs="Times New Roman"/>
          <w:sz w:val="24"/>
          <w:sz-cs w:val="24"/>
        </w:rPr>
        <w:t xml:space="preserve">Mr Simpson’s letter also states, at paragraph 9, that “Clever Energy Cooling – standing charges are shown on the monthly tenant invoices… The standing charge is applied by the supplier and must be passed on to tenants whether they use the cooling or not. There is no credit, it pays the supplier bill otherwise the freeholder would not collect sufficient funds and need to add the shortfall to the service charge.”</w:t>
      </w:r>
      <w:r>
        <w:rPr>
          <w:rFonts w:ascii="Times New Roman" w:hAnsi="Times New Roman" w:cs="Times New Roman"/>
          <w:sz w:val="24"/>
          <w:sz-cs w:val="24"/>
        </w:rPr>
        <w:t xml:space="preserve"/>
      </w:r>
    </w:p>
    <w:p>
      <w:pPr>
        <w:numPr>
          <w:ilvl w:val="1"/>
          <w:numId w:val="1"/>
        </w:numPr>
      </w:pPr>
      <w:pPr>
        <w:jc w:val="both"/>
        <w:ind w:left="480"/>
        <w:spacing w:before="100" w:after="240"/>
      </w:pPr>
      <w:r>
        <w:rPr>
          <w:rFonts w:ascii="Times New Roman" w:hAnsi="Times New Roman" w:cs="Times New Roman"/>
          <w:sz w:val="24"/>
          <w:sz-cs w:val="24"/>
        </w:rPr>
        <w:t xml:space="preserve">By contrast, in the Respondent’s Statement of Case (Exhibit KH2 pages 684-690), at paragraph 17, their solicitors state that “the standard charge for cooling is billed by the billing agents and then sums collected are credited to the service charge.” These two positions cannot both be true. Either the cooling standing charges are retained to meet a separate supplier bill (for which no evidence has been supplied) or they are credited back through the service charge (again with no evidence). This inconsistency undermines the reliability of the Respondent’s explanation and suggests that residents may again be exposed to double recovery between cooling standing charges and communal electricity costs.</w:t>
      </w:r>
      <w:r>
        <w:rPr>
          <w:rFonts w:ascii="Times New Roman" w:hAnsi="Times New Roman" w:cs="Times New Roman"/>
          <w:sz w:val="24"/>
          <w:sz-cs w:val="24"/>
        </w:rPr>
        <w:t xml:space="preserve"/>
      </w:r>
    </w:p>
    <w:p>
      <w:pPr>
        <w:numPr>
          <w:ilvl w:val="0"/>
          <w:numId w:val="1"/>
        </w:numPr>
      </w:pPr>
      <w:pPr>
        <w:numPr>
          <w:ilvl w:val="0"/>
          <w:numId w:val="1"/>
        </w:numPr>
        <w:jc w:val="both"/>
        <w:ind w:left="480"/>
        <w:spacing w:before="100" w:after="240"/>
      </w:pPr>
      <w:r>
        <w:rPr>
          <w:rFonts w:ascii="Times New Roman" w:hAnsi="Times New Roman" w:cs="Times New Roman"/>
          <w:sz w:val="24"/>
          <w:sz-cs w:val="24"/>
        </w:rPr>
        <w:t xml:space="preserve">Cooling standing charges have also been levied in periods when cooling was not available in practice. The building has experienced prolonged periods with no chilled-water flow and no heating and hot water, and building-management-system (BMS) records show chiller faults and high temperatures during hot weather. Nevertheless, Clever Energy invoices continued to include cooling standing charges.</w:t>
      </w:r>
      <w:r>
        <w:rPr>
          <w:rFonts w:ascii="Times New Roman" w:hAnsi="Times New Roman" w:cs="Times New Roman"/>
          <w:sz w:val="24"/>
          <w:sz-cs w:val="24"/>
        </w:rPr>
        <w:t xml:space="preserve"/>
      </w:r>
    </w:p>
    <w:p>
      <w:pPr>
        <w:numPr>
          <w:ilvl w:val="0"/>
          <w:numId w:val="1"/>
        </w:numPr>
      </w:pPr>
      <w:pPr>
        <w:numPr>
          <w:ilvl w:val="0"/>
          <w:numId w:val="1"/>
        </w:numPr>
        <w:jc w:val="both"/>
        <w:ind w:left="480"/>
        <w:spacing w:before="100" w:after="240"/>
      </w:pPr>
      <w:r>
        <w:rPr>
          <w:rFonts w:ascii="Times New Roman" w:hAnsi="Times New Roman" w:cs="Times New Roman"/>
          <w:sz w:val="24"/>
          <w:sz-cs w:val="24"/>
        </w:rPr>
        <w:t xml:space="preserve">In his email dated 2 March 2023 (Exhibit KH2 pages 340-345), Richard Simmons of Avon responds to detailed questions from the Residents’ Association. He asserts that the cost of gas to Avon is 10 p/kWh  and seeks to justify the tariffs by reference to market conditions and the war in Ukraine. Mr Simmonds has misinformed us, the 10 p/kwh is not true.  The British Gas invoice to the Respondent for that same month is 3.885 p/kWh and the same rate is shown on the contract too (Exhibit KH2 pages 167-168).</w:t>
      </w:r>
      <w:r>
        <w:rPr>
          <w:rFonts w:ascii="Times New Roman" w:hAnsi="Times New Roman" w:cs="Times New Roman"/>
          <w:sz w:val="24"/>
          <w:sz-cs w:val="24"/>
        </w:rPr>
        <w:t xml:space="preserve"/>
      </w:r>
    </w:p>
    <w:p>
      <w:pPr>
        <w:numPr>
          <w:ilvl w:val="0"/>
          <w:numId w:val="1"/>
        </w:numPr>
      </w:pPr>
      <w:pPr>
        <w:jc w:val="both"/>
        <w:ind w:left="480"/>
        <w:spacing w:before="100" w:after="240"/>
      </w:pPr>
      <w:r>
        <w:rPr>
          <w:rFonts w:ascii="Times New Roman" w:hAnsi="Times New Roman" w:cs="Times New Roman"/>
          <w:sz w:val="24"/>
          <w:sz-cs w:val="24"/>
        </w:rPr>
        <w:t xml:space="preserve">In the same email, Mr Simmons confirms that the cost of billing services provided by Clever Energy is 23 pence per day per flat (equating to £83.95 per year), which is charged directly to leaseholders as part of the heat billing. This is a pure administration/billing fee, separate from gas cost, and we accept it as a genuine cost of providing the service. Our calculations have taken this fee into account.</w:t>
      </w:r>
      <w:r>
        <w:rPr>
          <w:rFonts w:ascii="Times New Roman" w:hAnsi="Times New Roman" w:cs="Times New Roman"/>
          <w:sz w:val="24"/>
          <w:sz-cs w:val="24"/>
        </w:rPr>
        <w:t xml:space="preserve"/>
      </w:r>
    </w:p>
    <w:p>
      <w:pPr>
        <w:numPr>
          <w:ilvl w:val="0"/>
          <w:numId w:val="1"/>
        </w:numPr>
      </w:pPr>
      <w:pPr>
        <w:numPr>
          <w:ilvl w:val="0"/>
          <w:numId w:val="1"/>
        </w:numPr>
        <w:jc w:val="both"/>
        <w:ind w:left="480"/>
        <w:spacing w:before="100" w:after="240"/>
      </w:pPr>
      <w:r>
        <w:rPr>
          <w:rFonts w:ascii="Times New Roman" w:hAnsi="Times New Roman" w:cs="Times New Roman"/>
          <w:sz w:val="24"/>
          <w:sz-cs w:val="24"/>
        </w:rPr>
        <w:t xml:space="preserve">The Residents’ Association has explicitly raised the concern that Avon is retaining the substantial margin between its actual gas costs and the higher tariffs charged to residents. In his emails, Mr Simmons does not deny that Avon keeps the difference. He confirms only that no other party shares in the sums charged by Clever Energy, and instead focuses on wholesale prices and broker commissions without offering any reconciliation to show that the tariffs represent cost recovery rather than profit.</w:t>
      </w:r>
      <w:r>
        <w:rPr>
          <w:rFonts w:ascii="Times New Roman" w:hAnsi="Times New Roman" w:cs="Times New Roman"/>
          <w:sz w:val="24"/>
          <w:sz-cs w:val="24"/>
        </w:rPr>
        <w:t xml:space="preserve"/>
      </w:r>
    </w:p>
    <w:p>
      <w:pPr>
        <w:numPr>
          <w:ilvl w:val="0"/>
          <w:numId w:val="1"/>
        </w:numPr>
      </w:pPr>
      <w:pPr>
        <w:numPr>
          <w:ilvl w:val="0"/>
          <w:numId w:val="1"/>
        </w:numPr>
        <w:jc w:val="both"/>
        <w:ind w:left="480"/>
        <w:spacing w:before="100" w:after="240"/>
      </w:pPr>
      <w:r>
        <w:rPr>
          <w:rFonts w:ascii="Times New Roman" w:hAnsi="Times New Roman" w:cs="Times New Roman"/>
          <w:sz w:val="24"/>
          <w:sz-cs w:val="24"/>
        </w:rPr>
        <w:t xml:space="preserve">Mr Simmons also refers in that email (Exhibits KH2 page 344) to a “spot price” for gas of 23 p/kWh and praises the landlord’s “foresight” in securing “competitive rates”. Government data for the relevant quarter indicate that typical prices were around 6.96 p/kWh. This reinforces the impression that the Respondent has overstated market prices and understated the disparity between what Avon pays and what it recovers from leaseholders.</w:t>
      </w:r>
      <w:r>
        <w:rPr>
          <w:rFonts w:ascii="Times New Roman" w:hAnsi="Times New Roman" w:cs="Times New Roman"/>
          <w:sz w:val="24"/>
          <w:sz-cs w:val="24"/>
        </w:rPr>
        <w:t xml:space="preserve"/>
      </w:r>
    </w:p>
    <w:p>
      <w:pPr>
        <w:numPr>
          <w:ilvl w:val="0"/>
          <w:numId w:val="1"/>
        </w:numPr>
      </w:pPr>
      <w:pPr>
        <w:jc w:val="both"/>
        <w:ind w:left="480"/>
        <w:spacing w:before="100" w:after="240"/>
      </w:pPr>
      <w:r>
        <w:rPr>
          <w:rFonts w:ascii="Times New Roman" w:hAnsi="Times New Roman" w:cs="Times New Roman"/>
          <w:sz w:val="24"/>
          <w:sz-cs w:val="24"/>
        </w:rPr>
        <w:t xml:space="preserve">In an email chain dated 10–22 January 2018 about my own Clever Energy bill, I raised concerns about possible overcharging and asked for a clear explanation of how the 9.5p/kWh tariff had been calculated (exhibit KH2 pages 1022-1027). In his reply of 11 January 2018, Mr Adam Azoulay stated that “Clever Energy then take the amount we get charged for the gas, and re-charge this out to residents based on their consumption at the rate which will then give you your actual bill.” By contrast, in his email of 22 January 2018, Mr Martin Kloos, Operations Manager at Clever Energy, explained that the gas rate for Artillery Row was 3.77p/kWh and that Clever Energy had calculated an “efficiency” of just under 40%; dividing 3.77p by an efficiency of 39.7% produced the resident tariff of 9.5p/kWh.  These two explanations are inconsistent: Mr Azoulay presents the tariff as a straightforward pass-through of the gas cost, whereas Mr Kloos confirms that a very low efficiency factor is applied which uplifts the gas unit rate by around two-and-a-half times. I say this inconsistency illustrates both the lack of transparency and the extent of the hidden margin embedded in the Clever Energy tariffs.</w:t>
      </w:r>
      <w:r>
        <w:rPr>
          <w:rFonts w:ascii="Times New Roman" w:hAnsi="Times New Roman" w:cs="Times New Roman"/>
          <w:sz w:val="24"/>
          <w:sz-cs w:val="24"/>
        </w:rPr>
        <w:t xml:space="preserve"/>
      </w:r>
    </w:p>
    <w:p>
      <w:pPr>
        <w:numPr>
          <w:ilvl w:val="0"/>
          <w:numId w:val="1"/>
        </w:numPr>
      </w:pPr>
      <w:pPr>
        <w:numPr>
          <w:ilvl w:val="0"/>
          <w:numId w:val="1"/>
        </w:numPr>
        <w:jc w:val="both"/>
        <w:ind w:left="480"/>
        <w:spacing w:after="240"/>
      </w:pPr>
      <w:r>
        <w:rPr>
          <w:rFonts w:ascii="Times New Roman" w:hAnsi="Times New Roman" w:cs="Times New Roman"/>
          <w:sz w:val="24"/>
          <w:sz-cs w:val="24"/>
          <w:color w:val="111111"/>
        </w:rPr>
        <w:t xml:space="preserve">That inconsistency is reinforced by Avon’s own welcome letter to occupiers dated 23 June 2017 (exhibit KH2 pages 1028-1029). In that letter, Avon states that it “purchase[s] the gas for the centralised boiler” and that it “need[s] to recover the cost of that gas” from flats, describing the Clever Energy arrangement as a means of billing each flat “transparently and fairly” for the hot water used.  There is no suggestion in that letter that residents would be charged by reference to a notional or fluctuating “efficiency rate”, or that any margin would be added above the landlord’s actual gas cost. In my submission, this supports the view that only the true cost of gas (plus a reasonable billing/admin fee) should be recoverable, and that the later reliance on an opaque “efficiency” percentage, in correspondence from Mr Simmons in 2023 and 2025, is inconsistent with the position originally presented to residents.</w:t>
      </w:r>
      <w:r>
        <w:rPr>
          <w:rFonts w:ascii="Times New Roman" w:hAnsi="Times New Roman" w:cs="Times New Roman"/>
          <w:sz w:val="24"/>
          <w:sz-cs w:val="24"/>
        </w:rPr>
        <w:t xml:space="preserve"/>
      </w:r>
    </w:p>
    <w:p>
      <w:pPr>
        <w:numPr>
          <w:ilvl w:val="0"/>
          <w:numId w:val="1"/>
        </w:numPr>
      </w:pPr>
      <w:pPr>
        <w:numPr>
          <w:ilvl w:val="0"/>
          <w:numId w:val="1"/>
        </w:numPr>
        <w:jc w:val="both"/>
        <w:ind w:left="480"/>
        <w:spacing w:before="100" w:after="240"/>
      </w:pPr>
      <w:r>
        <w:rPr>
          <w:rFonts w:ascii="Times New Roman" w:hAnsi="Times New Roman" w:cs="Times New Roman"/>
          <w:sz w:val="24"/>
          <w:sz-cs w:val="24"/>
        </w:rPr>
        <w:t xml:space="preserve">In their Statement of Case and in Mr Simpson’s letter of 7 October 2025, the Respondent presents Clever Energy as if it were an independent expert validating the overall level of energy costs at 8 Artillery Row. I say this evidence must be treated with considerable caution. Clever Energy is simply a billing company. It has no regulatory function, no independent mandate to opine on what is reasonable under landlord and tenant legislation, and only limited visibility of Avon’s wider service-charge structure, energy sourcing, plant-room repairs and other items that are separately recovered from residents.</w:t>
      </w:r>
      <w:r>
        <w:rPr>
          <w:rFonts w:ascii="Times New Roman" w:hAnsi="Times New Roman" w:cs="Times New Roman"/>
          <w:sz w:val="24"/>
          <w:sz-cs w:val="24"/>
        </w:rPr>
        <w:t xml:space="preserve"/>
      </w:r>
    </w:p>
    <w:p>
      <w:pPr>
        <w:numPr>
          <w:ilvl w:val="0"/>
          <w:numId w:val="1"/>
        </w:numPr>
      </w:pPr>
      <w:pPr>
        <w:jc w:val="both"/>
        <w:ind w:left="480"/>
        <w:spacing w:before="100" w:after="240"/>
      </w:pPr>
      <w:r>
        <w:rPr>
          <w:rFonts w:ascii="Times New Roman" w:hAnsi="Times New Roman" w:cs="Times New Roman"/>
          <w:sz w:val="24"/>
          <w:sz-cs w:val="24"/>
        </w:rPr>
        <w:t xml:space="preserve">The communal plant at 8 Artillery Row includes a Combined Heat and Power (“CHP”) unit, designed to generate electricity for the building while producing useful heat as a by-product. The planning documents and energy strategy for the development assumed that the CHP would operate, with an overall efficiency of around 98%, and that the heat generated would reduce residents’ heating and hot-water costs. I will address the planning aspects separately, but it is relevant to this section.</w:t>
      </w:r>
      <w:r>
        <w:rPr>
          <w:rFonts w:ascii="Times New Roman" w:hAnsi="Times New Roman" w:cs="Times New Roman"/>
          <w:sz w:val="24"/>
          <w:sz-cs w:val="24"/>
        </w:rPr>
        <w:t xml:space="preserve"/>
      </w:r>
    </w:p>
    <w:p>
      <w:pPr>
        <w:numPr>
          <w:ilvl w:val="0"/>
          <w:numId w:val="1"/>
        </w:numPr>
      </w:pPr>
      <w:pPr>
        <w:numPr>
          <w:ilvl w:val="0"/>
          <w:numId w:val="1"/>
        </w:numPr>
        <w:jc w:val="both"/>
        <w:ind w:left="480"/>
        <w:spacing w:before="100" w:after="240"/>
      </w:pPr>
      <w:r>
        <w:rPr>
          <w:rFonts w:ascii="Times New Roman" w:hAnsi="Times New Roman" w:cs="Times New Roman"/>
          <w:sz w:val="24"/>
          <w:sz-cs w:val="24"/>
        </w:rPr>
        <w:t xml:space="preserve">In practice, the CHP unit has been kept switched off and, so far as I am aware, has not operated since Y&amp;Y took over the freehold management. The last known maintenance record is an Acorn invoice dated 20 January 2017 for £4,367, which appears shortly after Avon acquired the property. This shows that Avon knew of the CHP’s existence and authorised maintenance visits, but then chose to switch it off and cease maintaining it. Avon and Clever Energy now rely on very low “network efficiency” figures (quoted as low as 25–40%) to justify higher tariffs. That is the opposite of what was envisaged at design stage. If the CHP is not used, the system cannot operate at the design efficiency, and this may also increase wear and maintenance costs on the remaining boilers and pumps.</w:t>
      </w:r>
      <w:r>
        <w:rPr>
          <w:rFonts w:ascii="Times New Roman" w:hAnsi="Times New Roman" w:cs="Times New Roman"/>
          <w:sz w:val="24"/>
          <w:sz-cs w:val="24"/>
        </w:rPr>
        <w:t xml:space="preserve"/>
      </w:r>
    </w:p>
    <w:p>
      <w:pPr>
        <w:numPr>
          <w:ilvl w:val="1"/>
          <w:numId w:val="1"/>
        </w:numPr>
      </w:pPr>
      <w:pPr>
        <w:numPr>
          <w:ilvl w:val="1"/>
          <w:numId w:val="1"/>
        </w:numPr>
        <w:jc w:val="both"/>
        <w:ind w:left="480"/>
        <w:spacing w:before="100" w:after="240"/>
      </w:pPr>
      <w:r>
        <w:rPr>
          <w:rFonts w:ascii="Times New Roman" w:hAnsi="Times New Roman" w:cs="Times New Roman"/>
          <w:sz w:val="24"/>
          <w:sz-cs w:val="24"/>
        </w:rPr>
        <w:t xml:space="preserve">I say it is not reasonable for Avon to rely on artificially low “efficiency” figures of its own making (by not operating the CHP as designed) to justify charging residents three to four times the underlying gas cost. The “cost” of energy for Avon is the price it actually pays its gas supplier, not an inflated figure derived from an internal “efficiency” metric.</w:t>
      </w:r>
      <w:r>
        <w:rPr>
          <w:rFonts w:ascii="Times New Roman" w:hAnsi="Times New Roman" w:cs="Times New Roman"/>
          <w:sz w:val="24"/>
          <w:sz-cs w:val="24"/>
        </w:rPr>
        <w:t xml:space="preserve"/>
      </w:r>
    </w:p>
    <w:p>
      <w:pPr>
        <w:numPr>
          <w:ilvl w:val="1"/>
          <w:numId w:val="1"/>
        </w:numPr>
      </w:pPr>
      <w:pPr>
        <w:numPr>
          <w:ilvl w:val="0"/>
          <w:numId w:val="1"/>
        </w:numPr>
        <w:jc w:val="both"/>
        <w:ind w:left="480"/>
        <w:spacing w:before="100" w:after="240"/>
      </w:pPr>
      <w:r>
        <w:rPr>
          <w:rFonts w:ascii="Times New Roman" w:hAnsi="Times New Roman" w:cs="Times New Roman"/>
          <w:sz w:val="24"/>
          <w:sz-cs w:val="24"/>
        </w:rPr>
        <w:t xml:space="preserve">Furthermore, efficiency rate is an engineering concept, not a cost. It is a snapshot calculation that changes constantly depending on usage, outside temperature and other variables. It is a metric used to portray how effectively a system operates, not the cost of providing energy. It should never be used as the primary basis for calculating what residents must pay for heating. The cost of heating is a known quantum: the gas bill that the freeholder pays, plus reasonable plant-operation and billing costs.</w:t>
      </w:r>
      <w:r>
        <w:rPr>
          <w:rFonts w:ascii="Times New Roman" w:hAnsi="Times New Roman" w:cs="Times New Roman"/>
          <w:sz w:val="24"/>
          <w:sz-cs w:val="24"/>
        </w:rPr>
        <w:t xml:space="preserve"/>
      </w:r>
    </w:p>
    <w:p>
      <w:pPr>
        <w:numPr>
          <w:ilvl w:val="0"/>
          <w:numId w:val="1"/>
        </w:numPr>
      </w:pPr>
      <w:pPr>
        <w:numPr>
          <w:ilvl w:val="0"/>
          <w:numId w:val="1"/>
        </w:numPr>
        <w:jc w:val="both"/>
        <w:ind w:left="480"/>
        <w:spacing w:before="100" w:after="240"/>
      </w:pPr>
      <w:r>
        <w:rPr>
          <w:rFonts w:ascii="Times New Roman" w:hAnsi="Times New Roman" w:cs="Times New Roman"/>
          <w:sz w:val="24"/>
          <w:sz-cs w:val="24"/>
        </w:rPr>
        <w:t xml:space="preserve">It is also my evidence that the plant room – including pumps, boilers, expansion vessels, CHP and associated heating and cooling equipment – forms part of the “Building” and “Common Parts” as defined in the leases. These systems supply heating, hot water and mechanical services to the building as a whole, including the ground-floor retail unit. I address this in more detail under a separate heading.</w:t>
      </w:r>
      <w:r>
        <w:rPr>
          <w:rFonts w:ascii="Times New Roman" w:hAnsi="Times New Roman" w:cs="Times New Roman"/>
          <w:sz w:val="24"/>
          <w:sz-cs w:val="24"/>
        </w:rPr>
        <w:t xml:space="preserve"/>
      </w:r>
    </w:p>
    <w:p>
      <w:pPr>
        <w:numPr>
          <w:ilvl w:val="1"/>
          <w:numId w:val="1"/>
        </w:numPr>
      </w:pPr>
      <w:pPr>
        <w:numPr>
          <w:ilvl w:val="1"/>
          <w:numId w:val="1"/>
        </w:numPr>
        <w:jc w:val="both"/>
        <w:ind w:left="480"/>
        <w:spacing w:before="100" w:after="240"/>
      </w:pPr>
      <w:r>
        <w:rPr>
          <w:rFonts w:ascii="Times New Roman" w:hAnsi="Times New Roman" w:cs="Times New Roman"/>
          <w:sz w:val="24"/>
          <w:sz-cs w:val="24"/>
        </w:rPr>
        <w:t xml:space="preserve">Supplier online databases show that the retail unit at 8 Artillery Row does not have its own separate gas meter, although it does have its own electricity supply (Exhibit KH2 pages 901-902). In my experience, it would make no practical sense for the retail unit to operate an entirely separate gas-fired plant when a communal plant already exists. I therefore believe the retail unit is supplied with heating and/or hot water from the same plant room as the flats. The Respondent has never confirmed the position. Our overcharge calculations have not taken into account any sums that the retail space ought to contribute towards the cost of heat and hot water.</w:t>
      </w:r>
      <w:r>
        <w:rPr>
          <w:rFonts w:ascii="Times New Roman" w:hAnsi="Times New Roman" w:cs="Times New Roman"/>
          <w:sz w:val="24"/>
          <w:sz-cs w:val="24"/>
        </w:rPr>
        <w:t xml:space="preserve"/>
      </w:r>
    </w:p>
    <w:p>
      <w:pPr>
        <w:numPr>
          <w:ilvl w:val="1"/>
          <w:numId w:val="1"/>
        </w:numPr>
      </w:pPr>
      <w:pPr>
        <w:numPr>
          <w:ilvl w:val="1"/>
          <w:numId w:val="1"/>
        </w:numPr>
        <w:jc w:val="both"/>
        <w:ind w:left="480"/>
        <w:spacing w:before="100" w:after="240"/>
      </w:pPr>
      <w:r>
        <w:rPr>
          <w:rFonts w:ascii="Times New Roman" w:hAnsi="Times New Roman" w:cs="Times New Roman"/>
          <w:sz w:val="24"/>
          <w:sz-cs w:val="24"/>
        </w:rPr>
        <w:t xml:space="preserve">Under clause 3.2 of the leases, the landlord covenants to repair and maintain the Building and Common Parts, which necessarily includes the plant room and all communal mechanical and electrical equipment.</w:t>
      </w:r>
      <w:r>
        <w:rPr>
          <w:rFonts w:ascii="Times New Roman" w:hAnsi="Times New Roman" w:cs="Times New Roman"/>
          <w:sz w:val="24"/>
          <w:sz-cs w:val="24"/>
        </w:rPr>
        <w:t xml:space="preserve"/>
      </w:r>
    </w:p>
    <w:p>
      <w:pPr>
        <w:numPr>
          <w:ilvl w:val="0"/>
          <w:numId w:val="1"/>
        </w:numPr>
      </w:pPr>
      <w:pPr>
        <w:jc w:val="both"/>
        <w:ind w:left="480"/>
        <w:spacing w:before="100" w:after="240"/>
      </w:pPr>
      <w:r>
        <w:rPr>
          <w:rFonts w:ascii="Times New Roman" w:hAnsi="Times New Roman" w:cs="Times New Roman"/>
          <w:sz w:val="24"/>
          <w:sz-cs w:val="24"/>
        </w:rPr>
        <w:t xml:space="preserve">Clause 4 of the leases requires that service-charge expenditure be apportioned so that each class of premises pays its proper share. Clause 4.2.9 provides that any sums recovered from other parts of the Building – including the retail unit – must be credited to the expenditure before the residential proportion is calculated.</w:t>
      </w:r>
      <w:r>
        <w:rPr>
          <w:rFonts w:ascii="Times New Roman" w:hAnsi="Times New Roman" w:cs="Times New Roman"/>
          <w:sz w:val="24"/>
          <w:sz-cs w:val="24"/>
        </w:rPr>
        <w:t xml:space="preserve"/>
      </w:r>
    </w:p>
    <w:p>
      <w:pPr>
        <w:numPr>
          <w:ilvl w:val="0"/>
          <w:numId w:val="1"/>
        </w:numPr>
      </w:pPr>
      <w:pPr>
        <w:numPr>
          <w:ilvl w:val="0"/>
          <w:numId w:val="1"/>
        </w:numPr>
        <w:jc w:val="both"/>
        <w:ind w:left="480"/>
        <w:spacing w:before="100" w:after="240"/>
      </w:pPr>
      <w:r>
        <w:rPr>
          <w:rFonts w:ascii="Times New Roman" w:hAnsi="Times New Roman" w:cs="Times New Roman"/>
          <w:sz w:val="24"/>
          <w:sz-cs w:val="24"/>
        </w:rPr>
        <w:t xml:space="preserve">Accordingly, plant-room repairs, maintenance and replacement costs are not costs which the landlord is entitled to charge exclusively to residential leaseholders. They are building-wide expenses that must be shared with the retail unit, as a direct beneficiary of the central systems. The fact that plant-room costs are apportioned to the retail space in some accounts supports this.</w:t>
      </w:r>
      <w:r>
        <w:rPr>
          <w:rFonts w:ascii="Times New Roman" w:hAnsi="Times New Roman" w:cs="Times New Roman"/>
          <w:sz w:val="24"/>
          <w:sz-cs w:val="24"/>
        </w:rPr>
        <w:t xml:space="preserve"/>
      </w:r>
    </w:p>
    <w:p>
      <w:pPr>
        <w:numPr>
          <w:ilvl w:val="0"/>
          <w:numId w:val="1"/>
        </w:numPr>
      </w:pPr>
      <w:pPr>
        <w:numPr>
          <w:ilvl w:val="0"/>
          <w:numId w:val="1"/>
        </w:numPr>
        <w:jc w:val="both"/>
        <w:ind w:left="480"/>
        <w:spacing w:before="100" w:after="240"/>
      </w:pPr>
      <w:r>
        <w:rPr>
          <w:rFonts w:ascii="Times New Roman" w:hAnsi="Times New Roman" w:cs="Times New Roman"/>
          <w:sz w:val="24"/>
          <w:sz-cs w:val="24"/>
        </w:rPr>
        <w:t xml:space="preserve">Under section 19 of the Landlord and Tenant Act 1985, service charges are only recoverable “to the extent that they are reasonably incurred” and only if works and services are of a reasonable standard. Any profit margin or duplicated cost – for example, recovering plant-room expenditure both through Clever Energy tariffs and again through the service charge – is not a recoverable “relevant cost”.</w:t>
      </w:r>
      <w:r>
        <w:rPr>
          <w:rFonts w:ascii="Times New Roman" w:hAnsi="Times New Roman" w:cs="Times New Roman"/>
          <w:sz w:val="24"/>
          <w:sz-cs w:val="24"/>
        </w:rPr>
        <w:t xml:space="preserve"/>
      </w:r>
    </w:p>
    <w:p>
      <w:pPr>
        <w:numPr>
          <w:ilvl w:val="0"/>
          <w:numId w:val="1"/>
        </w:numPr>
      </w:pPr>
      <w:pPr>
        <w:numPr>
          <w:ilvl w:val="0"/>
          <w:numId w:val="1"/>
        </w:numPr>
        <w:jc w:val="both"/>
        <w:ind w:left="480"/>
        <w:spacing w:before="100" w:after="240"/>
      </w:pPr>
      <w:r>
        <w:rPr>
          <w:rFonts w:ascii="Times New Roman" w:hAnsi="Times New Roman" w:cs="Times New Roman"/>
          <w:sz w:val="24"/>
          <w:sz-cs w:val="24"/>
        </w:rPr>
        <w:t xml:space="preserve">Section 27A of the 1985 Act gives this Tribunal jurisdiction to determine whether a service charge is payable and, if so, in what amount and by whom. I invite the Tribunal to exercise that jurisdiction in relation to the communal gas, heating, hot-water and cooling charges at 8 Artillery Row.</w:t>
      </w:r>
      <w:r>
        <w:rPr>
          <w:rFonts w:ascii="Times New Roman" w:hAnsi="Times New Roman" w:cs="Times New Roman"/>
          <w:sz w:val="24"/>
          <w:sz-cs w:val="24"/>
        </w:rPr>
        <w:t xml:space="preserve"/>
      </w:r>
    </w:p>
    <w:p>
      <w:pPr>
        <w:numPr>
          <w:ilvl w:val="1"/>
          <w:numId w:val="1"/>
        </w:numPr>
      </w:pPr>
      <w:pPr>
        <w:numPr>
          <w:ilvl w:val="1"/>
          <w:numId w:val="1"/>
        </w:numPr>
        <w:jc w:val="both"/>
        <w:ind w:left="480"/>
        <w:spacing w:before="100" w:after="240"/>
      </w:pPr>
      <w:r>
        <w:rPr>
          <w:rFonts w:ascii="Times New Roman" w:hAnsi="Times New Roman" w:cs="Times New Roman"/>
          <w:sz w:val="24"/>
          <w:sz-cs w:val="24"/>
        </w:rPr>
        <w:t xml:space="preserve">I also understand that, under the Heat Network (Metering and Billing) Regulations 2014, the freeholder is treated as the “heat supplier” where it operates a communal heat network and bills the final customers (leaseholders). Where meters are fitted, bills must be based on actual consumption, and the supplier’s costs of providing bills and billing information may only be passed on at cost, with no profit element.</w:t>
      </w:r>
      <w:r>
        <w:rPr>
          <w:rFonts w:ascii="Times New Roman" w:hAnsi="Times New Roman" w:cs="Times New Roman"/>
          <w:sz w:val="24"/>
          <w:sz-cs w:val="24"/>
        </w:rPr>
        <w:t xml:space="preserve"/>
      </w:r>
    </w:p>
    <w:p>
      <w:pPr>
        <w:numPr>
          <w:ilvl w:val="1"/>
          <w:numId w:val="1"/>
        </w:numPr>
      </w:pPr>
      <w:pPr>
        <w:numPr>
          <w:ilvl w:val="0"/>
          <w:numId w:val="1"/>
        </w:numPr>
        <w:jc w:val="both"/>
        <w:ind w:left="480"/>
        <w:spacing w:before="100" w:after="240"/>
      </w:pPr>
      <w:r>
        <w:rPr>
          <w:rFonts w:ascii="Times New Roman" w:hAnsi="Times New Roman" w:cs="Times New Roman"/>
          <w:sz w:val="24"/>
          <w:sz-cs w:val="24"/>
        </w:rPr>
        <w:t xml:space="preserve">In my view, the current arrangements at 8 Artillery Row do not comply with those principles. The tariffs bear no transparent relationship to the actual gas costs; there is a substantial unexplained margin; billing and admin fees are layered on top of existing management fees; and key reconciliation documents have been withheld.</w:t>
      </w:r>
      <w:r>
        <w:rPr>
          <w:rFonts w:ascii="Times New Roman" w:hAnsi="Times New Roman" w:cs="Times New Roman"/>
          <w:sz w:val="24"/>
          <w:sz-cs w:val="24"/>
        </w:rPr>
        <w:t xml:space="preserve"/>
      </w:r>
    </w:p>
    <w:p>
      <w:pPr>
        <w:numPr>
          <w:ilvl w:val="0"/>
          <w:numId w:val="1"/>
        </w:numPr>
      </w:pPr>
      <w:pPr>
        <w:numPr>
          <w:ilvl w:val="0"/>
          <w:numId w:val="1"/>
        </w:numPr>
        <w:jc w:val="both"/>
        <w:ind w:left="480"/>
        <w:spacing w:before="100" w:after="240"/>
      </w:pPr>
      <w:r>
        <w:rPr>
          <w:rFonts w:ascii="Times New Roman" w:hAnsi="Times New Roman" w:cs="Times New Roman"/>
          <w:sz w:val="24"/>
          <w:sz-cs w:val="24"/>
        </w:rPr>
        <w:t xml:space="preserve">In light of the above, I invite the Tribunal to:</w:t>
      </w:r>
      <w:r>
        <w:rPr>
          <w:rFonts w:ascii="Times New Roman" w:hAnsi="Times New Roman" w:cs="Times New Roman"/>
          <w:sz w:val="24"/>
          <w:sz-cs w:val="24"/>
        </w:rPr>
        <w:t xml:space="preserve"/>
      </w:r>
    </w:p>
    <w:p>
      <w:pPr>
        <w:numPr>
          <w:ilvl w:val="0"/>
          <w:numId w:val="1"/>
        </w:numPr>
      </w:pPr>
      <w:pPr>
        <w:numPr>
          <w:ilvl w:val="0"/>
          <w:numId w:val="1"/>
        </w:numPr>
        <w:jc w:val="both"/>
        <w:ind w:left="480"/>
        <w:spacing w:before="100" w:after="240"/>
      </w:pPr>
      <w:r>
        <w:rPr>
          <w:rFonts w:ascii="Times New Roman" w:hAnsi="Times New Roman" w:cs="Times New Roman"/>
          <w:sz w:val="24"/>
          <w:sz-cs w:val="24"/>
        </w:rPr>
        <w:t xml:space="preserve">(a) determine whether the tariffs and standing charges imposed on residents represent a reasonable recovery of Avon’s actual costs of fuel, plant operation and necessary administration, or whether Avon has been making an unlawful profit. To assist, I attach a spreadsheet calculation at Exhibit [ ] showing our workings;</w:t>
      </w:r>
      <w:r>
        <w:rPr>
          <w:rFonts w:ascii="Times New Roman" w:hAnsi="Times New Roman" w:cs="Times New Roman"/>
          <w:sz w:val="24"/>
          <w:sz-cs w:val="24"/>
        </w:rPr>
        <w:t xml:space="preserve"/>
      </w:r>
    </w:p>
    <w:p>
      <w:pPr>
        <w:numPr>
          <w:ilvl w:val="0"/>
          <w:numId w:val="1"/>
        </w:numPr>
        <w:jc w:val="both"/>
        <w:ind w:left="480"/>
        <w:spacing w:before="100" w:after="240"/>
      </w:pPr>
      <w:r>
        <w:rPr>
          <w:rFonts w:ascii="Times New Roman" w:hAnsi="Times New Roman" w:cs="Times New Roman"/>
          <w:sz w:val="24"/>
          <w:sz-cs w:val="24"/>
        </w:rPr>
        <w:t xml:space="preserve">(b) disallow, under section 19 of the Landlord and Tenant Act 1985, any element of the heating, hot-water and cooling charges that exceeds Avon’s proved actual costs of supply and reasonable plant operation, including any duplicated maintenance or administration costs; and</w:t>
      </w:r>
      <w:r>
        <w:rPr>
          <w:rFonts w:ascii="Times New Roman" w:hAnsi="Times New Roman" w:cs="Times New Roman"/>
          <w:sz w:val="24"/>
          <w:sz-cs w:val="24"/>
        </w:rPr>
        <w:t xml:space="preserve"/>
      </w:r>
    </w:p>
    <w:p>
      <w:pPr>
        <w:numPr>
          <w:ilvl w:val="0"/>
          <w:numId w:val="1"/>
        </w:numPr>
      </w:pPr>
      <w:pPr>
        <w:numPr>
          <w:ilvl w:val="0"/>
          <w:numId w:val="1"/>
        </w:numPr>
        <w:jc w:val="both"/>
        <w:ind w:left="480"/>
        <w:spacing w:before="100" w:after="240"/>
      </w:pPr>
      <w:r>
        <w:rPr>
          <w:rFonts w:ascii="Times New Roman" w:hAnsi="Times New Roman" w:cs="Times New Roman"/>
          <w:sz w:val="24"/>
          <w:sz-cs w:val="24"/>
        </w:rPr>
        <w:t xml:space="preserve">(c) direct that any over-recovery or profit element identified in relation to communal heating, hot water and cooling be credited back to leaseholders through the service-charge accounts or otherwise refunded.</w:t>
      </w:r>
      <w:r>
        <w:rPr>
          <w:rFonts w:ascii="Times New Roman" w:hAnsi="Times New Roman" w:cs="Times New Roman"/>
          <w:sz w:val="24"/>
          <w:sz-cs w:val="24"/>
        </w:rPr>
        <w:t xml:space="preserve"/>
      </w:r>
    </w:p>
    <w:p>
      <w:pPr>
        <w:numPr>
          <w:ilvl w:val="0"/>
          <w:numId w:val="1"/>
        </w:numPr>
      </w:pPr>
      <w:pPr>
        <w:numPr>
          <w:ilvl w:val="1"/>
          <w:numId w:val="1"/>
        </w:numPr>
        <w:jc w:val="both"/>
        <w:ind w:left="480"/>
        <w:spacing w:before="100" w:after="240"/>
      </w:pPr>
      <w:r>
        <w:rPr>
          <w:rFonts w:ascii="Times New Roman" w:hAnsi="Times New Roman" w:cs="Times New Roman"/>
          <w:sz w:val="24"/>
          <w:sz-cs w:val="24"/>
        </w:rPr>
        <w:t xml:space="preserve">Taken together, the Respondent’s conduct in (a) refusing to provide straightforward building-level income and credit schedules, (b) resisting disclosure of the monthly Clever Energy reconciliation statements to which it is contractually entitled, (c) limiting gas-cost disclosure to only two years, and (d) seeking to rely on its own billing agent as though it were an independent expert, has made it unnecessarily difficult for leaseholders to analyse whether the communal heating and cooling charges are reasonable. I invite the Tribunal to draw an adverse inference from these omissions and to scrutinise particularly carefully any claimed alignment between what Avon actually pays for gas and plant operation and what it recovers from leaseholders through Clever Energy tariffs and the service charge</w:t>
      </w:r>
      <w:r>
        <w:rPr>
          <w:rFonts w:ascii="Times New Roman" w:hAnsi="Times New Roman" w:cs="Times New Roman"/>
          <w:sz w:val="24"/>
          <w:sz-cs w:val="24"/>
        </w:rPr>
        <w:t xml:space="preserve"/>
      </w:r>
    </w:p>
    <w:p>
      <w:pPr>
        <w:numPr>
          <w:ilvl w:val="1"/>
          <w:numId w:val="1"/>
        </w:numPr>
      </w:pPr>
      <w:pPr>
        <w:numPr>
          <w:ilvl w:val="1"/>
          <w:numId w:val="1"/>
        </w:numPr>
        <w:jc w:val="both"/>
        <w:ind w:left="480"/>
        <w:spacing w:before="100" w:after="240"/>
      </w:pPr>
      <w:r>
        <w:rPr>
          <w:rFonts w:ascii="Times New Roman" w:hAnsi="Times New Roman" w:cs="Times New Roman"/>
          <w:sz w:val="24"/>
          <w:sz-cs w:val="24"/>
          <w:b/>
        </w:rPr>
        <w:t xml:space="preserve">ELECTRICITY CHARGES - COMMUNAL</w:t>
      </w:r>
      <w:r>
        <w:rPr>
          <w:rFonts w:ascii="Times New Roman" w:hAnsi="Times New Roman" w:cs="Times New Roman"/>
          <w:sz w:val="24"/>
          <w:sz-cs w:val="24"/>
        </w:rPr>
        <w:t xml:space="preserve"/>
      </w:r>
    </w:p>
    <w:p>
      <w:pPr>
        <w:numPr>
          <w:ilvl w:val="0"/>
          <w:numId w:val="1"/>
        </w:numPr>
      </w:pPr>
      <w:pPr>
        <w:numPr>
          <w:ilvl w:val="1"/>
          <w:numId w:val="1"/>
        </w:numPr>
        <w:jc w:val="both"/>
        <w:ind w:left="480"/>
        <w:spacing w:before="100" w:after="240"/>
      </w:pPr>
      <w:r>
        <w:rPr>
          <w:rFonts w:ascii="Times New Roman" w:hAnsi="Times New Roman" w:cs="Times New Roman"/>
          <w:sz w:val="24"/>
          <w:sz-cs w:val="24"/>
        </w:rPr>
        <w:t xml:space="preserve">This section concerns the communal electricity arrangements at 8 Artillery Row: the metering configuration, the role of the Meter Operator (“MOP”), the supplier contracts entered into by the Respondent, and the very high electricity charges that have been passed on to leaseholders via the service charge.</w:t>
      </w:r>
      <w:r>
        <w:rPr>
          <w:rFonts w:ascii="Times New Roman" w:hAnsi="Times New Roman" w:cs="Times New Roman"/>
          <w:sz w:val="24"/>
          <w:sz-cs w:val="24"/>
        </w:rPr>
        <w:t xml:space="preserve"/>
      </w:r>
    </w:p>
    <w:p>
      <w:pPr>
        <w:numPr>
          <w:ilvl w:val="1"/>
          <w:numId w:val="1"/>
        </w:numPr>
      </w:pPr>
      <w:pPr>
        <w:numPr>
          <w:ilvl w:val="1"/>
          <w:numId w:val="1"/>
        </w:numPr>
        <w:jc w:val="both"/>
        <w:ind w:left="480"/>
        <w:spacing w:before="100" w:after="240"/>
      </w:pPr>
      <w:r>
        <w:rPr>
          <w:rFonts w:ascii="Times New Roman" w:hAnsi="Times New Roman" w:cs="Times New Roman"/>
          <w:sz w:val="24"/>
          <w:sz-cs w:val="24"/>
        </w:rPr>
        <w:t xml:space="preserve">To assist the Tribunal, I rely in particular on a graph showing the increase in electricity costs over time and a schedule comparing government data on historic non-domestic electricity prices with the rates actually secured by the Respondent for 8 Artillery Row (exhibit KH2 page 691-695)</w:t>
      </w:r>
      <w:r>
        <w:rPr>
          <w:rFonts w:ascii="Times New Roman" w:hAnsi="Times New Roman" w:cs="Times New Roman"/>
          <w:sz w:val="24"/>
          <w:sz-cs w:val="24"/>
        </w:rPr>
        <w:t xml:space="preserve"/>
      </w:r>
    </w:p>
    <w:p>
      <w:pPr>
        <w:numPr>
          <w:ilvl w:val="0"/>
          <w:numId w:val="1"/>
        </w:numPr>
      </w:pPr>
      <w:pPr>
        <w:numPr>
          <w:ilvl w:val="0"/>
          <w:numId w:val="1"/>
        </w:numPr>
        <w:jc w:val="both"/>
        <w:ind w:left="480"/>
        <w:spacing w:before="100" w:after="240"/>
      </w:pPr>
      <w:r>
        <w:rPr>
          <w:rFonts w:ascii="Times New Roman" w:hAnsi="Times New Roman" w:cs="Times New Roman"/>
          <w:sz w:val="24"/>
          <w:sz-cs w:val="24"/>
        </w:rPr>
        <w:t xml:space="preserve">Metering configuration and the “landlord” meter</w:t>
      </w:r>
      <w:r>
        <w:rPr>
          <w:rFonts w:ascii="Times New Roman" w:hAnsi="Times New Roman" w:cs="Times New Roman"/>
          <w:sz w:val="24"/>
          <w:sz-cs w:val="24"/>
        </w:rPr>
        <w:t xml:space="preserve"/>
      </w:r>
    </w:p>
    <w:p>
      <w:pPr>
        <w:numPr>
          <w:ilvl w:val="0"/>
          <w:numId w:val="1"/>
        </w:numPr>
      </w:pPr>
      <w:pPr>
        <w:numPr>
          <w:ilvl w:val="0"/>
          <w:numId w:val="1"/>
        </w:numPr>
        <w:jc w:val="both"/>
        <w:ind w:left="480"/>
        <w:spacing w:before="100" w:after="240"/>
      </w:pPr>
      <w:r>
        <w:rPr>
          <w:rFonts w:ascii="Times New Roman" w:hAnsi="Times New Roman" w:cs="Times New Roman"/>
          <w:sz w:val="24"/>
          <w:sz-cs w:val="24"/>
        </w:rPr>
        <w:t xml:space="preserve">The building has a main incoming three-phase supply and a series of sub-mains and distribution boards serving the apartments, plant room, dry coolers, chillers, pumps, lifts, landlord lighting, concierge and other communal systems. On a three-phase system, consumption is measured via three current transformer (“CT”) clamps.</w:t>
      </w:r>
      <w:r>
        <w:rPr>
          <w:rFonts w:ascii="Times New Roman" w:hAnsi="Times New Roman" w:cs="Times New Roman"/>
          <w:sz w:val="24"/>
          <w:sz-cs w:val="24"/>
        </w:rPr>
        <w:t xml:space="preserve"/>
      </w:r>
    </w:p>
    <w:p>
      <w:pPr>
        <w:numPr>
          <w:ilvl w:val="0"/>
          <w:numId w:val="1"/>
        </w:numPr>
      </w:pPr>
      <w:pPr>
        <w:numPr>
          <w:ilvl w:val="0"/>
          <w:numId w:val="1"/>
        </w:numPr>
        <w:jc w:val="both"/>
        <w:ind w:left="480"/>
        <w:spacing w:after="240"/>
      </w:pPr>
      <w:r>
        <w:rPr>
          <w:rFonts w:ascii="Times New Roman" w:hAnsi="Times New Roman" w:cs="Times New Roman"/>
          <w:sz w:val="24"/>
          <w:sz-cs w:val="24"/>
        </w:rPr>
        <w:t xml:space="preserve">A CT clamp is a device used to measure electrical current on large power cables without cutting or interrupting them. It is a ring-shaped transformer clipped around a live conductor; the magnetic field produced by the current in the cable induces a much smaller proportional current in the secondary winding of the CT. That secondary current is then fed into the meter, which converts it (together with measured voltage and time) into kWh consumption. In simple terms: the main cable carries the “real” load, and the CT clamp acts as a scaled-down copy of that current for the meter to read.</w:t>
      </w:r>
      <w:r>
        <w:rPr>
          <w:rFonts w:ascii="Times New Roman" w:hAnsi="Times New Roman" w:cs="Times New Roman"/>
          <w:sz w:val="24"/>
          <w:sz-cs w:val="24"/>
        </w:rPr>
        <w:t xml:space="preserve"/>
      </w:r>
    </w:p>
    <w:p>
      <w:pPr>
        <w:numPr>
          <w:ilvl w:val="0"/>
          <w:numId w:val="1"/>
        </w:numPr>
      </w:pPr>
      <w:pPr>
        <w:numPr>
          <w:ilvl w:val="0"/>
          <w:numId w:val="1"/>
        </w:numPr>
        <w:jc w:val="both"/>
        <w:ind w:left="480"/>
        <w:spacing w:after="240"/>
      </w:pPr>
      <w:r>
        <w:rPr>
          <w:rFonts w:ascii="Times New Roman" w:hAnsi="Times New Roman" w:cs="Times New Roman"/>
          <w:sz w:val="24"/>
          <w:sz-cs w:val="24"/>
        </w:rPr>
        <w:t xml:space="preserve">As shown at exhibit (exhibit KH2 page 696), in one corner of the car park there is the main incoming cable from the transformer chamber (operated by UK Power Networks), where the supplier’s main meter for MPAN 120010050687 is located also shown on a photo exhibit KH2 pages 699, 701 and 702). From there, substantial cables feed a bank of distribution boards on the opposite side of the car park also shown in photos as per exhibit KH2 pages 697,698,700. Those boards include the apartment feeders, each with its own individual MPAN meter for the flats.</w:t>
      </w:r>
      <w:r>
        <w:rPr>
          <w:rFonts w:ascii="Times New Roman" w:hAnsi="Times New Roman" w:cs="Times New Roman"/>
          <w:sz w:val="24"/>
          <w:sz-cs w:val="24"/>
        </w:rPr>
        <w:t xml:space="preserve"/>
      </w:r>
    </w:p>
    <w:p>
      <w:pPr>
        <w:numPr>
          <w:ilvl w:val="0"/>
          <w:numId w:val="1"/>
        </w:numPr>
      </w:pPr>
      <w:pPr>
        <w:numPr>
          <w:ilvl w:val="0"/>
          <w:numId w:val="1"/>
        </w:numPr>
        <w:jc w:val="both"/>
        <w:ind w:left="480"/>
        <w:spacing w:after="240"/>
      </w:pPr>
      <w:r>
        <w:rPr>
          <w:rFonts w:ascii="Times New Roman" w:hAnsi="Times New Roman" w:cs="Times New Roman"/>
          <w:sz w:val="24"/>
          <w:sz-cs w:val="24"/>
        </w:rPr>
        <w:t xml:space="preserve">From the apartment boards, a further set of three cables feeds the landlord’s distribution board further along the same wall as per photo exhibit KH2 page 708. In this larger cupboard there are several smaller enclosures, one clearly labelled “Landlord Meter” as per photo in exhibit KH2 page 719. Inside that cabinet there are three CT clamps fitted around the three landlord feeder cables, with wiring run directly into the landlord’s meter mounted immediately above. These CTs (exhibit KH2 pages 706, 707, 708, 710, 711, 715, 717, 718 and 720) measure the consumption of the landlord’s distribution board – namely the communal and plant loads (car-park lighting, plant room, chillers, dry coolers, pumps, lifts, etc.). Photographs of this cupboard, distribution board, the cables supplying various landlord equipment, the CT clamps and the associated meter display appear at exhibit (exhibit KH2 pages 703-728).</w:t>
      </w:r>
      <w:r>
        <w:rPr>
          <w:rFonts w:ascii="Times New Roman" w:hAnsi="Times New Roman" w:cs="Times New Roman"/>
          <w:sz w:val="24"/>
          <w:sz-cs w:val="24"/>
        </w:rPr>
        <w:t xml:space="preserve"/>
      </w:r>
    </w:p>
    <w:p>
      <w:pPr>
        <w:numPr>
          <w:ilvl w:val="0"/>
          <w:numId w:val="1"/>
        </w:numPr>
      </w:pPr>
      <w:pPr>
        <w:numPr>
          <w:ilvl w:val="0"/>
          <w:numId w:val="1"/>
        </w:numPr>
        <w:jc w:val="both"/>
        <w:ind w:left="480"/>
        <w:spacing w:after="240"/>
      </w:pPr>
      <w:r>
        <w:rPr>
          <w:rFonts w:ascii="Times New Roman" w:hAnsi="Times New Roman" w:cs="Times New Roman"/>
          <w:sz w:val="24"/>
          <w:sz-cs w:val="24"/>
        </w:rPr>
        <w:t xml:space="preserve">In other words, there is a dedicated landlord-only metering arrangement located adjacent to the landlord distribution board, using CTs mounted on the landlord feeders and wired directly into the landlord’s meter. If the combined heat and power (“CHP”) unit were operating, any electricity it generated and fed into the landlord distribution board would also be recorded here. This configuration makes technical sense: the landlord meter is co-located with, and directly measures, the landlord’s own distribution board.</w:t>
      </w:r>
      <w:r>
        <w:rPr>
          <w:rFonts w:ascii="Times New Roman" w:hAnsi="Times New Roman" w:cs="Times New Roman"/>
          <w:sz w:val="24"/>
          <w:sz-cs w:val="24"/>
        </w:rPr>
        <w:t xml:space="preserve"/>
      </w:r>
    </w:p>
    <w:p>
      <w:pPr>
        <w:numPr>
          <w:ilvl w:val="0"/>
          <w:numId w:val="1"/>
        </w:numPr>
      </w:pPr>
      <w:pPr>
        <w:numPr>
          <w:ilvl w:val="0"/>
          <w:numId w:val="1"/>
        </w:numPr>
        <w:jc w:val="both"/>
        <w:ind w:left="480"/>
        <w:spacing w:after="240"/>
      </w:pPr>
      <w:r>
        <w:rPr>
          <w:rFonts w:ascii="Times New Roman" w:hAnsi="Times New Roman" w:cs="Times New Roman"/>
          <w:sz w:val="24"/>
          <w:sz-cs w:val="24"/>
        </w:rPr>
        <w:t xml:space="preserve">By contrast, the supplier’s main meter on MPAN 120010050687 ADD PHOTOS??is located at the opposite end of the car park, physically upstream of the apartment and landlord distribution boards. On any common-sense engineering view, there is no reason why a meter in that location should be treated as measuring exclusively “landlord” consumption when it is positioned before the split between apartment boards and communal boards. No competent electrical engineer would normally design a system where the landlord-only meter is on the far side of the car park, with communal cables criss-crossing back to it, when a dedicated landlord meter and CTs are already installed on the landlord distribution board itself.</w:t>
      </w:r>
      <w:r>
        <w:rPr>
          <w:rFonts w:ascii="Times New Roman" w:hAnsi="Times New Roman" w:cs="Times New Roman"/>
          <w:sz w:val="24"/>
          <w:sz-cs w:val="24"/>
        </w:rPr>
        <w:t xml:space="preserve"/>
      </w:r>
    </w:p>
    <w:p>
      <w:pPr>
        <w:numPr>
          <w:ilvl w:val="0"/>
          <w:numId w:val="1"/>
        </w:numPr>
      </w:pPr>
      <w:pPr>
        <w:numPr>
          <w:ilvl w:val="0"/>
          <w:numId w:val="1"/>
        </w:numPr>
        <w:jc w:val="both"/>
        <w:ind w:left="480"/>
        <w:spacing w:after="240"/>
      </w:pPr>
      <w:r>
        <w:rPr>
          <w:rFonts w:ascii="Times New Roman" w:hAnsi="Times New Roman" w:cs="Times New Roman"/>
          <w:sz w:val="24"/>
          <w:sz-cs w:val="24"/>
        </w:rPr>
        <w:t xml:space="preserve">The presence of a dedicated landlord meter and CT clamps on the landlord feeders confirms that there is full technical capacity to distinguish communal/plant consumption from the wider building load. It is therefore neither necessary nor reasonable to treat the main intake meter on MPAN 120010050687 as if all of its kWh were purely “communal” for service-charge purposes.</w:t>
      </w:r>
      <w:r>
        <w:rPr>
          <w:rFonts w:ascii="Times New Roman" w:hAnsi="Times New Roman" w:cs="Times New Roman"/>
          <w:sz w:val="24"/>
          <w:sz-cs w:val="24"/>
        </w:rPr>
        <w:t xml:space="preserve"/>
      </w:r>
    </w:p>
    <w:p>
      <w:pPr>
        <w:numPr>
          <w:ilvl w:val="0"/>
          <w:numId w:val="1"/>
        </w:numPr>
      </w:pPr>
      <w:pPr>
        <w:jc w:val="both"/>
        <w:ind w:left="480"/>
        <w:spacing w:after="240"/>
      </w:pPr>
      <w:r>
        <w:rPr>
          <w:rFonts w:ascii="Times New Roman" w:hAnsi="Times New Roman" w:cs="Times New Roman"/>
          <w:sz w:val="24"/>
          <w:sz-cs w:val="24"/>
        </w:rPr>
        <w:t xml:space="preserve">Supplier contracts and scale of costs</w:t>
      </w:r>
      <w:r>
        <w:rPr>
          <w:rFonts w:ascii="Times New Roman" w:hAnsi="Times New Roman" w:cs="Times New Roman"/>
          <w:sz w:val="24"/>
          <w:sz-cs w:val="24"/>
        </w:rPr>
        <w:t xml:space="preserve"/>
      </w:r>
    </w:p>
    <w:p>
      <w:pPr>
        <w:numPr>
          <w:ilvl w:val="0"/>
          <w:numId w:val="1"/>
        </w:numPr>
      </w:pPr>
      <w:pPr>
        <w:numPr>
          <w:ilvl w:val="0"/>
          <w:numId w:val="1"/>
        </w:numPr>
        <w:jc w:val="both"/>
        <w:ind w:left="480"/>
        <w:spacing w:after="240"/>
      </w:pPr>
      <w:r>
        <w:rPr>
          <w:rFonts w:ascii="Times New Roman" w:hAnsi="Times New Roman" w:cs="Times New Roman"/>
          <w:sz w:val="24"/>
          <w:sz-cs w:val="24"/>
        </w:rPr>
        <w:t xml:space="preserve">From 2017 onwards the main building-intake supply has been held, in sequence, with: Scottish Power (1 November 2017 – 31 May 2018); Brook Green Trading (1 June 2018 – 30 September 2019); EDF (1 October 2019 – 31 December 2022); Pozitive Energy (1 January 2023 – 4 November 2024); and Digital Power (from 5 November 2024 onwards).</w:t>
      </w:r>
      <w:r>
        <w:rPr>
          <w:rFonts w:ascii="Times New Roman" w:hAnsi="Times New Roman" w:cs="Times New Roman"/>
          <w:sz w:val="24"/>
          <w:sz-cs w:val="24"/>
        </w:rPr>
        <w:t xml:space="preserve"/>
      </w:r>
    </w:p>
    <w:p>
      <w:pPr>
        <w:numPr>
          <w:ilvl w:val="0"/>
          <w:numId w:val="1"/>
        </w:numPr>
      </w:pPr>
      <w:pPr>
        <w:numPr>
          <w:ilvl w:val="0"/>
          <w:numId w:val="1"/>
        </w:numPr>
        <w:jc w:val="both"/>
        <w:ind w:left="480"/>
        <w:spacing w:after="240"/>
      </w:pPr>
      <w:r>
        <w:rPr>
          <w:rFonts w:ascii="Times New Roman" w:hAnsi="Times New Roman" w:cs="Times New Roman"/>
          <w:sz w:val="24"/>
          <w:sz-cs w:val="24"/>
        </w:rPr>
        <w:t xml:space="preserve">The building-level reconciliations for 2023 and 2024 show total electricity costs for the main meter of approximately £178,000 in 2023 (inclusive of the Energy Bill Relief Scheme (“EBRS”) support and before netting off the government subsidy) and £128,000 in 2024. Of the 2023 figure, roughly £97,000 was recharged to leaseholders and approximately £71,000 was met by government subsidy.</w:t>
      </w:r>
      <w:r>
        <w:rPr>
          <w:rFonts w:ascii="Times New Roman" w:hAnsi="Times New Roman" w:cs="Times New Roman"/>
          <w:sz w:val="24"/>
          <w:sz-cs w:val="24"/>
        </w:rPr>
        <w:t xml:space="preserve"/>
      </w:r>
    </w:p>
    <w:p>
      <w:pPr>
        <w:numPr>
          <w:ilvl w:val="0"/>
          <w:numId w:val="1"/>
        </w:numPr>
      </w:pPr>
      <w:pPr>
        <w:numPr>
          <w:ilvl w:val="0"/>
          <w:numId w:val="1"/>
        </w:numPr>
        <w:jc w:val="both"/>
        <w:ind w:left="480"/>
        <w:spacing w:after="240"/>
      </w:pPr>
      <w:r>
        <w:rPr>
          <w:rFonts w:ascii="Times New Roman" w:hAnsi="Times New Roman" w:cs="Times New Roman"/>
          <w:sz w:val="24"/>
          <w:sz-cs w:val="24"/>
        </w:rPr>
        <w:t xml:space="preserve">By comparison, the benchmark communal-electricity cost in 2015/2016 was around £11,000 per year, at a time when the same core communal plant (lifts, pumps, chillers, lighting, concierge) was in operation. No significant new communal load has been added since. It is therefore extraordinary that supposed “communal” electricity charges should now be approaching twenty times the 2015/2016 level.</w:t>
      </w:r>
      <w:r>
        <w:rPr>
          <w:rFonts w:ascii="Times New Roman" w:hAnsi="Times New Roman" w:cs="Times New Roman"/>
          <w:sz w:val="24"/>
          <w:sz-cs w:val="24"/>
        </w:rPr>
        <w:t xml:space="preserve"/>
      </w:r>
    </w:p>
    <w:p>
      <w:pPr>
        <w:numPr>
          <w:ilvl w:val="0"/>
          <w:numId w:val="1"/>
        </w:numPr>
      </w:pPr>
      <w:pPr>
        <w:numPr>
          <w:ilvl w:val="0"/>
          <w:numId w:val="1"/>
        </w:numPr>
        <w:jc w:val="both"/>
        <w:ind w:left="480"/>
        <w:spacing w:after="240"/>
      </w:pPr>
      <w:r>
        <w:rPr>
          <w:rFonts w:ascii="Times New Roman" w:hAnsi="Times New Roman" w:cs="Times New Roman"/>
          <w:sz w:val="24"/>
          <w:sz-cs w:val="24"/>
        </w:rPr>
        <w:t xml:space="preserve">The Respondent is an experienced purchaser of electricity. An EDF portfolio contract disclosed for 2020 shows Avon or its associated companies contracting for at least 24 sites in a single tranche, with a combined annual electricity spend of around £73,000 for those 24 sites. In that context, the fact that a single meter at 8 Artillery Row alone was quoted and contracted at approximately £51,000 per year is highly anomalous. The same portfolio documentation and later contracts also show that Avon controls at least 200 MPANs nationally, and so should be fully aware of what constitutes typical consumption and a competitive tariff for a building of this size (exhibit KH2 page 768).</w:t>
      </w:r>
      <w:r>
        <w:rPr>
          <w:rFonts w:ascii="Times New Roman" w:hAnsi="Times New Roman" w:cs="Times New Roman"/>
          <w:sz w:val="24"/>
          <w:sz-cs w:val="24"/>
        </w:rPr>
        <w:t xml:space="preserve"/>
      </w:r>
    </w:p>
    <w:p>
      <w:pPr>
        <w:numPr>
          <w:ilvl w:val="0"/>
          <w:numId w:val="1"/>
        </w:numPr>
      </w:pPr>
      <w:pPr>
        <w:numPr>
          <w:ilvl w:val="0"/>
          <w:numId w:val="1"/>
        </w:numPr>
        <w:jc w:val="both"/>
        <w:ind w:left="480"/>
        <w:spacing w:after="240"/>
      </w:pPr>
      <w:r>
        <w:rPr>
          <w:rFonts w:ascii="Times New Roman" w:hAnsi="Times New Roman" w:cs="Times New Roman"/>
          <w:sz w:val="24"/>
          <w:sz-cs w:val="24"/>
        </w:rPr>
        <w:t xml:space="preserve">We also have comparative figures for other Avon/Y&amp;Y-managed blocks in London. 10 Artillery Row, with 11 flats, has communal electricity of around £5,000 per year; “Space Apartments”, with 29 flats, pays roughly £11,000; and “The Loxfords”, with 144 flats, pays about £47,000 annually (including extensive garden lighting). Yet 8 Artillery Row, with 22 flats, has supposed communal electricity being billed at levels over £100,000 per year. On any internal comparison within the Respondent’s own portfolio, 8 Artillery Row is an extreme outlier (exhibit KH2 pages 369-371).</w:t>
      </w:r>
      <w:r>
        <w:rPr>
          <w:rFonts w:ascii="Times New Roman" w:hAnsi="Times New Roman" w:cs="Times New Roman"/>
          <w:sz w:val="24"/>
          <w:sz-cs w:val="24"/>
        </w:rPr>
        <w:t xml:space="preserve"/>
      </w:r>
    </w:p>
    <w:p>
      <w:pPr>
        <w:numPr>
          <w:ilvl w:val="0"/>
          <w:numId w:val="1"/>
        </w:numPr>
      </w:pPr>
      <w:pPr>
        <w:numPr>
          <w:ilvl w:val="0"/>
          <w:numId w:val="1"/>
        </w:numPr>
        <w:jc w:val="both"/>
        <w:ind w:left="480"/>
        <w:spacing w:after="240"/>
      </w:pPr>
      <w:r>
        <w:rPr>
          <w:rFonts w:ascii="Times New Roman" w:hAnsi="Times New Roman" w:cs="Times New Roman"/>
          <w:sz w:val="24"/>
          <w:sz-cs w:val="24"/>
        </w:rPr>
        <w:t xml:space="preserve">MOP services, missing data and dual charges</w:t>
      </w:r>
      <w:r>
        <w:rPr>
          <w:rFonts w:ascii="Times New Roman" w:hAnsi="Times New Roman" w:cs="Times New Roman"/>
          <w:sz w:val="24"/>
          <w:sz-cs w:val="24"/>
        </w:rPr>
        <w:t xml:space="preserve"/>
      </w:r>
    </w:p>
    <w:p>
      <w:pPr>
        <w:numPr>
          <w:ilvl w:val="0"/>
          <w:numId w:val="1"/>
        </w:numPr>
      </w:pPr>
      <w:pPr>
        <w:numPr>
          <w:ilvl w:val="1"/>
          <w:numId w:val="1"/>
        </w:numPr>
        <w:jc w:val="both"/>
        <w:ind w:left="480"/>
        <w:spacing w:after="240"/>
      </w:pPr>
      <w:r>
        <w:rPr>
          <w:rFonts w:ascii="Times New Roman" w:hAnsi="Times New Roman" w:cs="Times New Roman"/>
          <w:sz w:val="24"/>
          <w:sz-cs w:val="24"/>
        </w:rPr>
        <w:t xml:space="preserve">The Respondent says that the “MOP” charge simply comprises “charges raised by the Meter Operators” and relies on the fact that there has been a period of half-hourly (“HH”) metering. However, almost no MOP data has been disclosed for 2017–2022, and only partial MOP and HH data has been produced for 2023–2024 (exhibit KH2 pages 1031-1035). The HH datasets that have been supplied are incomplete, with many days of readings missing, which makes it impossible to reconcile supplier invoices with the actual meter profile. HH metering is now standard for larger non-domestic supplies, yet we have not even been given a complete 12-month dataset. In fact, the Respondent repeatedly confirms in the Scott Schedule for years 2017 to 2022 that meter readings have been enclosed on the statement of case (dated 6 Nov 2025).  When in fact that is not true, with those meter readings showing a incomplete period from 2023 to 2024.</w:t>
      </w:r>
      <w:r>
        <w:rPr>
          <w:rFonts w:ascii="Times New Roman" w:hAnsi="Times New Roman" w:cs="Times New Roman"/>
          <w:sz w:val="24"/>
          <w:sz-cs w:val="24"/>
        </w:rPr>
        <w:t xml:space="preserve"/>
      </w:r>
    </w:p>
    <w:p>
      <w:pPr>
        <w:numPr>
          <w:ilvl w:val="1"/>
          <w:numId w:val="1"/>
        </w:numPr>
      </w:pPr>
      <w:pPr>
        <w:numPr>
          <w:ilvl w:val="1"/>
          <w:numId w:val="1"/>
        </w:numPr>
        <w:jc w:val="both"/>
        <w:ind w:left="480"/>
        <w:spacing w:after="240"/>
      </w:pPr>
      <w:r>
        <w:rPr>
          <w:rFonts w:ascii="Times New Roman" w:hAnsi="Times New Roman" w:cs="Times New Roman"/>
          <w:sz w:val="24"/>
          <w:sz-cs w:val="24"/>
        </w:rPr>
        <w:t xml:space="preserve">The 2023 reconciliation shows charges for both “COP5 HH MOP – SMS Energy Services” and “Siemens Comms Link”, indicating that two separate entities are being paid in relation to the same HH supply. The Respondent has not explained why two firms are required, what each of them does, or what overlap exists between their contracts. Both sets of charges are passed directly to leaseholders via the service charge.</w:t>
      </w:r>
      <w:r>
        <w:rPr>
          <w:rFonts w:ascii="Times New Roman" w:hAnsi="Times New Roman" w:cs="Times New Roman"/>
          <w:sz w:val="24"/>
          <w:sz-cs w:val="24"/>
        </w:rPr>
        <w:t xml:space="preserve"/>
      </w:r>
    </w:p>
    <w:p>
      <w:pPr>
        <w:numPr>
          <w:ilvl w:val="1"/>
          <w:numId w:val="1"/>
        </w:numPr>
      </w:pPr>
      <w:pPr>
        <w:numPr>
          <w:ilvl w:val="1"/>
          <w:numId w:val="1"/>
        </w:numPr>
        <w:jc w:val="both"/>
        <w:ind w:left="480"/>
        <w:spacing w:after="240"/>
      </w:pPr>
      <w:r>
        <w:rPr>
          <w:rFonts w:ascii="Times New Roman" w:hAnsi="Times New Roman" w:cs="Times New Roman"/>
          <w:sz w:val="24"/>
          <w:sz-cs w:val="24"/>
        </w:rPr>
        <w:t xml:space="preserve">We have repeatedly requested the full MOP contracts, meter technical details, commissioning certificates and complete HH data so that supplier invoices can be reconciled against metered kWh and maximum demand. To date we have not received a complete pack. Without that information it is impossible for the Applicants or the Tribunal to verify the correctness of the large Pozitive and Digital Power invoices.</w:t>
      </w:r>
      <w:r>
        <w:rPr>
          <w:rFonts w:ascii="Times New Roman" w:hAnsi="Times New Roman" w:cs="Times New Roman"/>
          <w:sz w:val="24"/>
          <w:sz-cs w:val="24"/>
        </w:rPr>
        <w:t xml:space="preserve"/>
      </w:r>
    </w:p>
    <w:p>
      <w:pPr>
        <w:numPr>
          <w:ilvl w:val="1"/>
          <w:numId w:val="1"/>
        </w:numPr>
      </w:pPr>
      <w:pPr>
        <w:numPr>
          <w:ilvl w:val="1"/>
          <w:numId w:val="1"/>
        </w:numPr>
        <w:jc w:val="both"/>
        <w:ind w:left="480"/>
        <w:spacing w:after="240"/>
      </w:pPr>
      <w:r>
        <w:rPr>
          <w:rFonts w:ascii="Times New Roman" w:hAnsi="Times New Roman" w:cs="Times New Roman"/>
          <w:sz w:val="24"/>
          <w:sz-cs w:val="24"/>
        </w:rPr>
        <w:t xml:space="preserve">Accounting evidence and discrepancies</w:t>
      </w:r>
      <w:r>
        <w:rPr>
          <w:rFonts w:ascii="Times New Roman" w:hAnsi="Times New Roman" w:cs="Times New Roman"/>
          <w:sz w:val="24"/>
          <w:sz-cs w:val="24"/>
        </w:rPr>
        <w:t xml:space="preserve"/>
      </w:r>
    </w:p>
    <w:p>
      <w:pPr>
        <w:numPr>
          <w:ilvl w:val="0"/>
          <w:numId w:val="1"/>
        </w:numPr>
      </w:pPr>
      <w:pPr>
        <w:numPr>
          <w:ilvl w:val="0"/>
          <w:numId w:val="1"/>
        </w:numPr>
        <w:jc w:val="both"/>
        <w:ind w:left="480"/>
        <w:spacing w:after="240"/>
      </w:pPr>
      <w:r>
        <w:rPr>
          <w:rFonts w:ascii="Times New Roman" w:hAnsi="Times New Roman" w:cs="Times New Roman"/>
          <w:sz w:val="24"/>
          <w:sz-cs w:val="24"/>
        </w:rPr>
        <w:t xml:space="preserve">The Respondent has provided a spreadsheet (exhibit KH2 pages 784-785) purporting to list all electricity invoices for 2023 and 2024. No equivalent invoice-level breakdown has been supplied for earlier years and as a result we are forced to rely on the global totals in the annual accounts.</w:t>
      </w:r>
      <w:r>
        <w:rPr>
          <w:rFonts w:ascii="Times New Roman" w:hAnsi="Times New Roman" w:cs="Times New Roman"/>
          <w:sz w:val="24"/>
          <w:sz-cs w:val="24"/>
        </w:rPr>
        <w:t xml:space="preserve"/>
      </w:r>
    </w:p>
    <w:p>
      <w:pPr>
        <w:numPr>
          <w:ilvl w:val="1"/>
          <w:numId w:val="1"/>
        </w:numPr>
      </w:pPr>
      <w:pPr>
        <w:numPr>
          <w:ilvl w:val="1"/>
          <w:numId w:val="1"/>
        </w:numPr>
        <w:jc w:val="both"/>
        <w:ind w:left="480"/>
        <w:spacing w:after="240"/>
      </w:pPr>
      <w:r>
        <w:rPr>
          <w:rFonts w:ascii="Times New Roman" w:hAnsi="Times New Roman" w:cs="Times New Roman"/>
          <w:sz w:val="24"/>
          <w:sz-cs w:val="24"/>
        </w:rPr>
        <w:t xml:space="preserve">I have prepared a parallel spreadsheet which is almost identical to the Respondent’s but with three additional clearly-marked columns and colour-coded months, to assist the Tribunal in following my analysis (exhibit KH2 pages 786-787).</w:t>
      </w:r>
      <w:r>
        <w:rPr>
          <w:rFonts w:ascii="Times New Roman" w:hAnsi="Times New Roman" w:cs="Times New Roman"/>
          <w:sz w:val="24"/>
          <w:sz-cs w:val="24"/>
        </w:rPr>
        <w:t xml:space="preserve"/>
      </w:r>
    </w:p>
    <w:p>
      <w:pPr>
        <w:numPr>
          <w:ilvl w:val="1"/>
          <w:numId w:val="1"/>
        </w:numPr>
      </w:pPr>
      <w:pPr>
        <w:numPr>
          <w:ilvl w:val="0"/>
          <w:numId w:val="1"/>
        </w:numPr>
        <w:jc w:val="both"/>
        <w:ind w:left="480"/>
        <w:spacing w:after="240"/>
      </w:pPr>
      <w:r>
        <w:rPr>
          <w:rFonts w:ascii="Times New Roman" w:hAnsi="Times New Roman" w:cs="Times New Roman"/>
          <w:sz w:val="24"/>
          <w:sz-cs w:val="24"/>
        </w:rPr>
        <w:t xml:space="preserve">Even for 2024, where invoice-level data is available, the figures do not match. The Respondent’s spreadsheet shows a total of £114,946.38 in electricity invoices for that year, yet the 2024 annual accounts charge leaseholders £128,000 for communal electricity. The Respondent has not explained the £13,000+ discrepancy. This mismatch further undermines confidence in the reliability of the electricity figures being presented.</w:t>
      </w:r>
      <w:r>
        <w:rPr>
          <w:rFonts w:ascii="Times New Roman" w:hAnsi="Times New Roman" w:cs="Times New Roman"/>
          <w:sz w:val="24"/>
          <w:sz-cs w:val="24"/>
        </w:rPr>
        <w:t xml:space="preserve"/>
      </w:r>
    </w:p>
    <w:p>
      <w:pPr>
        <w:numPr>
          <w:ilvl w:val="1"/>
          <w:numId w:val="1"/>
        </w:numPr>
      </w:pPr>
      <w:pPr>
        <w:numPr>
          <w:ilvl w:val="1"/>
          <w:numId w:val="1"/>
        </w:numPr>
        <w:jc w:val="both"/>
        <w:ind w:left="480"/>
        <w:spacing w:after="240"/>
      </w:pPr>
      <w:r>
        <w:rPr>
          <w:rFonts w:ascii="Times New Roman" w:hAnsi="Times New Roman" w:cs="Times New Roman"/>
          <w:sz w:val="24"/>
          <w:sz-cs w:val="24"/>
        </w:rPr>
        <w:t xml:space="preserve">Focusing on 2023, Pozitive Energy was the supplier for the entire year. With the exception of February and March, every month’s invoices contain errors, as shown in exhibit KH2 pages 788-833 . January and July invoices are stamped as having “failed” validation but were nonetheless paid. Every monthly invoice other than February and March includes corrections, re-bills or inconsistent readings, yet they were validated and paid.</w:t>
      </w:r>
      <w:r>
        <w:rPr>
          <w:rFonts w:ascii="Times New Roman" w:hAnsi="Times New Roman" w:cs="Times New Roman"/>
          <w:sz w:val="24"/>
          <w:sz-cs w:val="24"/>
        </w:rPr>
        <w:t xml:space="preserve"/>
      </w:r>
    </w:p>
    <w:p>
      <w:pPr>
        <w:numPr>
          <w:ilvl w:val="1"/>
          <w:numId w:val="1"/>
        </w:numPr>
      </w:pPr>
      <w:pPr>
        <w:numPr>
          <w:ilvl w:val="1"/>
          <w:numId w:val="1"/>
        </w:numPr>
        <w:jc w:val="both"/>
        <w:ind w:left="480"/>
        <w:spacing w:after="240"/>
      </w:pPr>
      <w:r>
        <w:rPr>
          <w:rFonts w:ascii="Times New Roman" w:hAnsi="Times New Roman" w:cs="Times New Roman"/>
          <w:sz w:val="24"/>
          <w:sz-cs w:val="24"/>
        </w:rPr>
        <w:t xml:space="preserve">By way of example:</w:t>
      </w:r>
      <w:r>
        <w:rPr>
          <w:rFonts w:ascii="Times New Roman" w:hAnsi="Times New Roman" w:cs="Times New Roman"/>
          <w:sz w:val="24"/>
          <w:sz-cs w:val="24"/>
        </w:rPr>
        <w:t xml:space="preserve"/>
      </w:r>
    </w:p>
    <w:p>
      <w:pPr>
        <w:numPr>
          <w:ilvl w:val="0"/>
          <w:numId w:val="1"/>
        </w:numPr>
        <w:jc w:val="both"/>
        <w:ind w:left="480"/>
        <w:spacing w:after="240"/>
      </w:pPr>
      <w:r>
        <w:rPr>
          <w:rFonts w:ascii="Times New Roman" w:hAnsi="Times New Roman" w:cs="Times New Roman"/>
          <w:sz w:val="24"/>
          <w:sz-cs w:val="24"/>
        </w:rPr>
        <w:t xml:space="preserve">(a) January 2023: the initial invoice shows 21,999 kWh, but the final re-issued invoice for the same period shows 26,576 kWh.</w:t>
      </w:r>
      <w:r>
        <w:rPr>
          <w:rFonts w:ascii="Times New Roman" w:hAnsi="Times New Roman" w:cs="Times New Roman"/>
          <w:sz w:val="24"/>
          <w:sz-cs w:val="24"/>
        </w:rPr>
        <w:t xml:space="preserve"/>
      </w:r>
    </w:p>
    <w:p>
      <w:pPr>
        <w:numPr>
          <w:ilvl w:val="0"/>
          <w:numId w:val="1"/>
        </w:numPr>
      </w:pPr>
      <w:pPr>
        <w:jc w:val="both"/>
        <w:ind w:left="480"/>
        <w:spacing w:after="240"/>
      </w:pPr>
      <w:r>
        <w:rPr>
          <w:rFonts w:ascii="Times New Roman" w:hAnsi="Times New Roman" w:cs="Times New Roman"/>
          <w:sz w:val="24"/>
          <w:sz-cs w:val="24"/>
        </w:rPr>
        <w:t xml:space="preserve">(b) May 2023: the readings are consistent across the sequence of invoices, but the final “re-issued” invoice is for a significantly lower sum, without any clear explanation beyond tariff adjustments.</w:t>
      </w:r>
      <w:r>
        <w:rPr>
          <w:rFonts w:ascii="Times New Roman" w:hAnsi="Times New Roman" w:cs="Times New Roman"/>
          <w:sz w:val="24"/>
          <w:sz-cs w:val="24"/>
        </w:rPr>
        <w:t xml:space="preserve"/>
      </w:r>
    </w:p>
    <w:p>
      <w:pPr>
        <w:numPr>
          <w:ilvl w:val="0"/>
          <w:numId w:val="1"/>
        </w:numPr>
      </w:pPr>
      <w:pPr>
        <w:numPr>
          <w:ilvl w:val="0"/>
          <w:numId w:val="1"/>
        </w:numPr>
        <w:jc w:val="both"/>
        <w:ind w:left="480"/>
        <w:spacing w:after="240"/>
      </w:pPr>
      <w:r>
        <w:rPr>
          <w:rFonts w:ascii="Times New Roman" w:hAnsi="Times New Roman" w:cs="Times New Roman"/>
          <w:sz w:val="24"/>
          <w:sz-cs w:val="24"/>
        </w:rPr>
        <w:t xml:space="preserve">(c) June 2023: the readings on successive invoices differ by only about 6 kWh, yet the final re-issued invoice is approximately £5,000 lower than the first, solely due to changes in how EBRS and other elements are applied.</w:t>
      </w:r>
      <w:r>
        <w:rPr>
          <w:rFonts w:ascii="Times New Roman" w:hAnsi="Times New Roman" w:cs="Times New Roman"/>
          <w:sz w:val="24"/>
          <w:sz-cs w:val="24"/>
        </w:rPr>
        <w:t xml:space="preserve"/>
      </w:r>
    </w:p>
    <w:p>
      <w:pPr>
        <w:numPr>
          <w:ilvl w:val="0"/>
          <w:numId w:val="1"/>
        </w:numPr>
      </w:pPr>
      <w:pPr>
        <w:numPr>
          <w:ilvl w:val="0"/>
          <w:numId w:val="1"/>
        </w:numPr>
        <w:jc w:val="both"/>
        <w:ind w:left="480"/>
        <w:spacing w:after="240"/>
      </w:pPr>
      <w:r>
        <w:rPr>
          <w:rFonts w:ascii="Times New Roman" w:hAnsi="Times New Roman" w:cs="Times New Roman"/>
          <w:sz w:val="24"/>
          <w:sz-cs w:val="24"/>
        </w:rPr>
        <w:t xml:space="preserve">Similar patterns recur throughout the year. The invoices and underlying data are not reliable, and because the HH datasets are themselves incomplete, they cannot be confidently cross-checked against the actual metered profile.</w:t>
      </w:r>
      <w:r>
        <w:rPr>
          <w:rFonts w:ascii="Times New Roman" w:hAnsi="Times New Roman" w:cs="Times New Roman"/>
          <w:sz w:val="24"/>
          <w:sz-cs w:val="24"/>
        </w:rPr>
        <w:t xml:space="preserve"/>
      </w:r>
    </w:p>
    <w:p>
      <w:pPr>
        <w:numPr>
          <w:ilvl w:val="0"/>
          <w:numId w:val="1"/>
        </w:numPr>
      </w:pPr>
      <w:pPr>
        <w:jc w:val="both"/>
        <w:ind w:left="480"/>
        <w:spacing w:after="240"/>
      </w:pPr>
      <w:r>
        <w:rPr>
          <w:rFonts w:ascii="Times New Roman" w:hAnsi="Times New Roman" w:cs="Times New Roman"/>
          <w:sz w:val="24"/>
          <w:sz-cs w:val="24"/>
        </w:rPr>
        <w:t xml:space="preserve">For 2023, the Respondent’s own invoice spreadsheet shows total consumption of 253,548 kWh. The EBRS discount was applied at 29.47p per kWh, giving a government subsidy of £74,720. This implies gross electricity bills of approximately £188,720 for the year. For a 22-flat building, that figure is alarming and has caused the Applicants considerable distress.</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The Pozitive Energy contract was entered into at a unit rate of 62p per kWh. Government data for the relevant quarter when the contract was signed shows average non-domestic electricity prices of around 20.94p per kWh (exhibit KH2 page 36). The Respondent therefore committed leaseholders to a tariff approximately three times the prevailing average rate, without consultation, explanation or evidence of competitive tendering. We also point out that this extreme three-times-market rate applied for 2023, when the EBRS scheme was in place; in other years the contracted rate was also above market, though not by the same factor.</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I have prepared a spreadsheet (exhibit KH2 page 37) comparing, year by year, the Respondent’s contracted unit and standing-charge rates with benchmark government data. That schedule also highlights the sharp increase in standing charges from 2023 onwards. We are unable to determine how commissions are paid to brokers because no broker contracts or commission-sharing agreements have been disclosed.</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A further concern is the misuse of public funds. If, as explained below, the main meter is in fact measuring the whole building rather than just communal load, then the EBRS support of £74,720 for 2023 is based on inflated and mis-allocated consumption. That subsidy was funded by taxpayers at a time of severe post-Covid fiscal pressure.</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Evidence that the main MPAN is measuring more than communal load</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At the Residents’ Association’s insistence, and at our own cost, we commissioned an independent electrical survey from BMCG and installed monitoring devices in August 2025 at the main intake (MPAN 120010050687) and on the chiller sub-main for a 26-day period. The monitoring report (exhibit KH2 page 320) confirms that, over 26 days, the main intake recorded 15,335.79 kWh. Annualised, this supports a yearly figure in the region of 215,000–220,000 kWh, broadly consistent with the billed 250,000–260,000 kWh once seasonal variation is taken into account.</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The BMCG titled ‘Electrical Infrastructure Appraisal’ report, on page 9, estimates that the genuine communal load of the landlord distribution board (dry coolers, chillers, pumps, lifts, common lighting, concierge, CCTV, car-park ventilation, etc.) is in the order of 80,000 kWh per year (exhibit KH2 page 842). These calculations were undertaken in July 2025, before we discovered the additional landlord-only meter described below.</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During a visual inspection with our engineers, we discovered, inside a cupboard connected to the landlord’s distribution board, another meter which records what appears to be only the communal-area consumption (i.e. the load of the landlord distribution board itself). Its cumulative total since 2015 is 756,252 kWh, equating to roughly 75,600 kWh per year (exhibit KH2 pages 704, 705, 716).This closely matches the BMCG estimate, even though the BMCG calculations were performed before we found this meter</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Separately, a sample of apartment electricity bill (exhibit KH2 page 846) shows an average usage of approximately 8,000 kWh per flat per year. Across 22 flats, this equates to about 176,000 kWh annually. Furthermore, in exhibit KH2 pages 710 and 713 there are photos of apartment meters supporting an average apartment use of 8,000 kwh per year.</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Taken together, the landlord-only meter (about 75,600 kWh per year) plus the flats’ own consumption (about 176,000 kWh per year) yields approximately 251,600 kWh per year, which is almost identical to the annual total billed to the freeholder under MPAN 120010050687. This strongly suggests that the main supplier meter is effectively measuring the whole-building load, and that the true landlord/communal consumption is only about one-third of what has been charged through the service charge.</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On 25 November 2023 the landlord distribution board in the basement failed, as evidenced by the AAM Maintenance emergency call-out report (exhibit KH2 page 1030)  The engineer records that “the basement landlord DB had no power” and that the MCCB feeding the landlord DB in the main supply board had tripped, leaving all circuits supplied by the landlord DB without power until it was reset and an RCBO was replaced. During the same day, the half-hourly spreadsheet data for MPAN 120010050687 on row 93, shows a normal day, except for a slight drop compared to other days of about 25% drop. Otherwise, a normal consumption day (exhibit KH2 pages 494-499) This is inconsistent with MPAN 120010050687 being a pure landlord/communal supply: if the landlord board was de-energised, a genuine “landlord only” meter would have recorded  zero consumption. The fact that kWh remained at typical levels strongly indicates that MPAN 120010050687 is measuring wider building load – including apartment consumption – and not just the landlord DB.  In my mind, there is no doubt that the meter measuring consumption that the leaseholders were being charged for is the wrong meter and should have never been charged for.</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The schematic diagram for the original installation, fixed to the car-park wall, bears little resemblance to the actual wiring now in place (exhibit KH2 pages 1055-1056). On the page 2 of the schematic, the meter MPAN 120010050687 is not referenced at all and it should be situated by the UKPN Chamber where it physically situated now.</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In addition, enquiries with the industry database have revealed another MPAN, ending 953, labelled as a “landlord electricity supply” for the building. This MPAN is still live on suppliers’ systems; it is possible to obtain quotations for it (exhibit KH2 pages 849-858). When questioned, the Respondent’s representative asserted that it was “not active”, but we have been able to obtain live tariff quotations, suggesting that the Respondent’s understanding of the metering set-up is incomplete or inaccurate</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On the best evidence available, approximately 30% of the annual kWh recorded on MPAN 120010050687 appears to be genuine communal consumption and the remaining 70% is attributable to apartment or other non-communal loads which should not be recovered via the service charge.</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By way of real-world comparison, I previously operated a commercial bakery/restaurant which ran for 16 hours per day with electric professional bakery ovens, heating, hot water, air-conditioning and refrigeration operating continuously. The annual electricity bill there was approximately £8,000 at a unit rate of 10.96p per kWh, implying usage of around 72,992 kWh per year (exhibit KH2 pages 54–57??????). Yet according to the present billing, the relatively modest communal equipment at 8 Artillery Row is supposedly using more than three times that amount (about 250,000 kWh per year). In my submission, that is simply not credible.</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On 11 November 2025 we wrote to Mr Adam Azoulay of Y&amp;Y formally setting out these findings and explaining why we believed that the main meter was measuring the whole building rather than just communal loads (exhibit KH2 – Azoulay correspondence). Initially Mr Azoulay declined to investigate and asked the Residents’ Association to provide further proof. Following a lengthy email exchange, he stated that the freeholder had agreed to an inspection, but then stopped responding. We submitted an official complaint to which, as at the date of this statement, we have still received no substantive response.</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The current supplier’s contract states at clause 13.1: “In the event that either Party disputes the accuracy of any Meter, we will promptly arrange for such Meter to be inspected and tested in accordance with the Applicable Requirements and any other relevant law.” (exhibit KH2 pages 750). I fail to see why the Respondent is refusing to engage with the Applicants on an issue that falls squarely within that clause.</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The survey undertaken at the Applicants’ cost benefits the whole building. Faced with such unusually high communal electricity bills, especially when compared with other Avon-owned buildings, the Respondent should itself have commissioned such a survey long ago. When we asked that the survey cost be funded from the Building Service Charge account, the Respondent refused, even though the survey clearly benefits all leaseholders and would identify savings for the future. As a result, the 15 Applicants together have paid almost £7,000 for a piece of investigative work that should, in principle, have been undertaken by the Respondent.</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Industry practice is that, where a meter is later found to have been configured or connected incorrectly, the customer is entitled to an adjustment and refund of over-charges for a number of years (typically up to six). It is therefore difficult to understand why the Respondent has been so resistant to a full investigation when, if we are correct, it stands to recover a very substantial refund from the supplier. That resistance further supports our concern that the electricity charges recharged to leaseholders are unreliable and should not simply be accepted at face value.</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Legal implications of mis-metering</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These concerns are not limited to “high bills” in a general sense. If, as our evidence strongly suggests, the main MPAN is configured or wired so that it measures both communal and apartment loads, then the meter is, in regulatory terms, incorrect. Under Schedule 7 to the Electricity Act 1989 a billing meter must be “correct”, meaning it must measure the electricity actually supplied to the premises or customer to whom it is assigned. A meter that records the load of other premises or additional circuits, and is then used for billing, is not a correct meter within that statutory framework.</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Where a supplier continues to bill from a meter that is known or reasonably suspected to be incorrect, this engages the supplier’s regulatory duties (including billing accuracy and metering responsibilities) under its electricity-supply licence. To the extent that the wiring or CT placement lies within the control of the Distribution Network Operator (UK Power Networks), there are also obligations under the Electricity Safety, Quality and Continuity Regulations 2002 to ensure metering points are safely and correctly configured. I am not asking the Tribunal to determine any regulatory breach, but these duties underline the seriousness of leaving a potentially misconfigured “landlord” meter in place for years while charging leaseholders on that basis.</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If the Tribunal accepts that the main meter has been recording apartment loads as well as communal loads, then any service charge derived from that meter is, in my submission, unlawful under landlord and tenant legislation. Section 19 of the Landlord and Tenant Act 1985 limits recoverable service charges to costs that are “reasonably incurred”; section 27A gives this Tribunal jurisdiction to decide whether a service charge is payable and, if so, in what amount. Charging leaseholders, through the service charge, for electricity that properly relates to demised premises (and is already billed via each flat’s private supply), or for other non-communal loads, is not a reasonably incurred communal cost and is therefore not payable.</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Once a serious suspicion of mis-metering exists, suppliers are required under OFGEM rules to investigate, arrange a meter test or attend site within a reasonable period. Here, leaseholders have been raising concerns about the accuracy and allocation of the landlord meter for several years. Rather than pressing the supplier and UK Power Networks to resolve the issue, the Respondent has continued to pay and recharge invoices based on that meter and has even entered into long-term minimum-consumption contracts on the same basis. In my view, that approach is fundamentally inconsistent with the requirement to act reasonably when incurring costs to be recovered from leaseholders.</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Validation failures, bill-validation service and faulty invoices</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The Respondent has engaged Affiliated Utilities (“AU”) as an invoice-validation and energy-management service. AU’s own literature describes its role as including: processing all utility invoices; verifying meter readings against data from data collectors; constantly receiving HH data to compare against invoices; and challenging incorrect charges. These services are paid for indirectly through the contracted kWh rates recovered from leaseholders.</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Despite this, the 2023 Pozitive Energy invoices are riddled with obvious errors, as explained above. Some invoices that AU initially stamped as having “failed” validation were nonetheless paid; most months show multiple re-bills and contradictory readings. If AU’s validation systems were operating effectively, and if the Respondent and Y&amp;Y were exercising proper oversight, these anomalies should have triggered immediate investigation and challenge, especially given the scale of the sums involved.</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Instead, the pattern is of invoices being paid and only partially corrected months later, without clear reconciliation or explanation. In my view the bill-validation service is not fit for purpose. It has not prevented erroneous or excessive charges from being passed on to leaseholders and, in some cases, appears to have given a false sense of reassurance that bills were correct when they plainly were not. The Applicants should not have to bear the cost of a service that has demonstrably failed to protect their interests.</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Comfort cooling and mis-attribution</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In earlier correspondence (for example Y&amp;Y’s letter of 25 July 2018: exhibit KH2 page 901), the managing agent sought to attribute the very high communal electricity costs to “comfort cooling”, suggesting that the apartments’ cooling loads explained an overspend of over £40,000.</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However, the electrical survey undertaken for the Applicants shows that, even on a high-use assumption of 12 hours’ chiller operation per day (which overstates usage, because chillers do not run at that duty throughout the year), total annual consumption for the chillers would be about 36,500 kWh. At a unit rate of 12p per kWh, that equates to approximately £4,380 per year. This does not come close to justifying the Respondent’s suggestion that cooling alone explains the very large communal electricity costs.</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The Respondent in their statement of case, has also repeatedly asserted that cooling-related standing charges collected via Clever Energy are “offsetting” the communal electricity bill. However, there is no evidence of any such credits in the communal-electricity account. Cooling standing charges are collected separately by Clever Energy and there is no corresponding credit line in the service-charge accounts. Flats are therefore being charged twice for the same cooling-related electricity: once through communal electricity and again through Clever Energy standing charges. I address this in more detail in the section of my statement dealing with Clever Energy cooling charges.</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Supplier penalties, minimum-usage obligations and accounting practices</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The 2023 and 2024 reconciliations include multiple “late-payment” fees and other supplier penalties levied by Pozitive Energy and Digital Power. These arise purely from administration failures – late payment of invoices, failure to set up direct debits correctly, or failure to challenge erroneous bills promptly. They are not part of the cost of supplying electricity and cannot be regarded as “reasonably incurred” within the meaning of section 19 of the Landlord and Tenant Act 1985. They should be disallowed in full.</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Similarly, any costs associated with minimum-usage penalties or capacity-related charges embedded in the Pozitive and Digital Power contracts are, in my view, unreasonable. The Respondent knowingly signed a minimum-usage contract at around 260,000 kWh per year, a figure which, given its portfolio of over 200 MPANs, it must have known was extraordinarily high for a 22-flat block. It was not reasonable to commit leaseholders to that level of contractual exposure without first establishing whether the recorded consumption represented genuine communal usage or was the product of metering/allocation problems.</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As noted above, the Respondent’s own spreadsheet for 2024 shows total electricity invoices of £114,946.38, yet the annual accounts charge leaseholders £128,000. This unexplained discrepancy reinforces the conclusion that the electricity charges are inconsistent and unreliable and that any excess over the invoiced total should be refunded.</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Overall position and relief sought</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In summary, the communal electricity charges at 8 Artillery Row are, on the Respondent’s own figures, extraordinarily high when compared with:</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the building’s historic usage;</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comparable Avon-managed properties; and</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reasonable engineering estimates of genuine communal load.</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The billing history is characterised by errors, re-bills and incomplete validation; the MOP arrangements are opaque and potentially duplicated; known inefficiencies (such as poor power factor and phase imbalance) have not been addressed; and there is strong evidence that substantial elements of flats’ own consumption are being wrongly treated as communal.</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In these circumstances, I respectfully invite the Tribunal to find that the Respondent has not demonstrated that the full electricity costs have been “reasonably incurred” or correctly allocated. In the absence of reliable data and proper allocation, I ask the Tribunal to adopt our pragmatic approach that only 30% of the billed electricity on the main intake meter should be treated as recoverable communal cost, with the remaining 70% disallowed or treated as non-service-charge expenditure.</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I also ask the Tribunal to:</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disallow all supplier penalties and late-payment charges;</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disallow or substantially reduce the cost of the ineffective bill-validation service; and</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Determine that the invoices do not reflect a true consumption of the communal landlord electrical appliances/plants and reduce the cost of electricity so far invoiced.</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require the Respondent, at its own cost, to put in place appropriate metering, verification, phase-balancing and power-factor-correction measures so that future communal electricity costs are reduced to a reasonable level and are based on accurate, properly allocated consumption.</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COOLING STANDING CHARGES AND DOUBLE RECOVERY OF ELECTRICITY COSTS</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8 Artillery Row is served by a central comfort-cooling system (chillers and associated plant) located in the communal plant room. This runs on electricity only and connected to the Landlord’s distribution board (exhibit KH02 pages 722 and 1055). The full cost of communal electricity – including the electricity used by the chillers, pumps and cooling plant – is charged to leaseholders through the service charge as “communal electricity” and related headings. In addition, residents who are connected to the comfort-cooling system are billed a separate “Comfort Cooling” standing charge on their Clever Energy invoices.</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My analysis of the Clever Energy invoices shows that the cooling standing charge has increased dramatically over time. In 2017 it was approximately £0.16 per day per flat; by 2025 it had risen to around £1.82 per day per flat. This represents an increase by a factor of more than eleven over eight years. Using the monthly breakdowns on the Clever Energy invoices, I have prepared a spreadsheet and graph showing the total cooling standing charges collected each year and the sharp escalation in the daily rate. (Exhibit KH02 page 904)</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In his email dated 23 June 2025 responding to questions from the Residents’ Association, at Q14 Richard Simmons states in answer to Q14 that the Comfort Cooling standing charge “covers the electricity costs of operating the plant room” and that electricity costs have increased significantly. He also says that there is an “outstanding issue with the installation of cooling meters”, which has prevented accurate measurement of consumption, and that billing based on usage will resume once this is resolved.  (Exhibit KH2 page 595)</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In answer to Q16 of the same email, Mr Simmons states that “The Comfort Cooling standing charge is intended to offset part of the communal electricity bill” and that, once metering issues are resolved and individual usage is billed directly, more of the communal energy cost will be recouped through those usage bills. He also confirms that the communal electricity bill includes lifts, car-park lighting and other shared systems, not just cooling.</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Paul Simpson of Clever Energy gives a different account in his letter dated 7 October 2025. At paragraph 9 he states: “Clever Energy Cooling – standing charges are shown on the monthly tenant invoices attached. The standing charge is applied by the supplier and must be passed on to tenants whether they use the cooling or not. There is no credit, it pays the supplier bill otherwise the freeholder would not collect sufficient funds and need to add the shortfall to the service charge.”  (exhibit KH2 pages 681-682)</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The Respondent’s Statement of Case at paragraph 17, however, asserts that the standard charge for cooling is billed by the billing agents and that the sums collected “are credited to the service charge”. (Exhibit KH2 page 686). Taken together, these three descriptions are mutually inconsistent:</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(a) Mr Simmons says the standing charge is “intended to offset” the communal electricity bill.</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(b) Mr Simpson says there is “no credit” and that the charge is needed to avoid a shortfall which would otherwise be added to the service charge.</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(c) The solicitors of the Respondent say the sums collected are credited back to the service charge.</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No documentary evidence has been produced to show any actual credit entries from Clever Energy cooling income to the service-charge accounts, despite our repeated requests, citing GDPR reasons.</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My own review of the service-charge accounts, supported by reconciliation accounts and annual accounts, shows the full communal electricity bill being charged to leaseholders through the service charge, with no separate line showing any credit or deduction corresponding to the Comfort Cooling standing charges collected by Clever Energy. The Respondent has refused to disclose the underlying income ledgers or a simple schedule of credits, citing confidentiality and GDPR, and the Applicants are asked to accept “on trust” that such credits have been included somewhere within the income reconciliation. In the absence of evidence, I do not accept that assertion.</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There is therefore a real risk – and on the current documents I say a strong likelihood – that leaseholders are being charged twice for the same electricity: once via the communal electricity line in the service charge, and again via Clever Energy Comfort Cooling standing charges, without any corresponding credit back to the service-charge account. If Mr Simpson’s description is correct, the position is even worse: the Comfort Cooling standing charge is passed straight on to Freeholder to offset the cost incurred from the supplier to the Freeholder whilst it is evident that leaseholders are paying the full cost of the electricity.</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The position is further aggravated by the fact that cooling has not always been available in practice. As explained elsewhere in my statement, there have been prolonged periods in which certain flats (including the Penthouse) have had no chilled-water flow, and building management records show repeated chiller faults during hot weather. Yet throughout these periods, residents have continued to be billed the full Comfort Cooling standing charge on a daily basis, at the greatly increased rate.</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Under section 19 of the Landlord and Tenant Act 1985, service charges are only recoverable to the extent that the relevant costs are reasonably incurred and the services are provided to a reasonable standard. A charging structure that (a) appears to recover the full communal electricity bill through the service charge, (b) adds a large and rapidly increasing Comfort Cooling standing charge on top, (c) provides no transparent credit back to the service-charge accounts, and (d) continues to levy those standing charges even when cooling is not available, cannot in my view be regarded as “reasonably incurred”. Any duplicated or profit element in the Comfort Cooling charges, and any standing charges levied during periods of non-availability, should therefore be disallowed by the Tribunal</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CHP – DESIGN INTENT, NON-OPERATION AND CONSEQUENCES</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8 Artillery Row was designed and granted planning permission on the condition no.12 that it would be served by a communal energy centre incorporating a Combined Heat and Power (“CHP”) unit in the plant room. (Exhibit KH2 page 279). Under the approved Energy Strategy Report at page 4, and the planning statement for the development, the CHP and high-efficiency boilers were intended to provide space heating and domestic hot water to the dwellings and common parts, with the CHP sized to meet 100% of the domestic hot-water demand and to make a substantial contribution to the building’s heating and electricity needs. The strategy documents explain that the CHP system would operate at around 80% overall efficiency, compared with roughly 55% for a traditional system, delivering around a 25% improvement in overall efficiency and a targeted carbon-emission reduction of around 21%. (exhibit KH2 page 974 and 988)</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The CHP is clearly referenced and explained to residents in the Resident’s Guide document at para 3.4.1 clearly explaining the role of the CHP unit (exhibit KH2 page 935-936).</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A CHP unit (exhibit KH2 pages 1000-1013)  is, in simple terms, an engine that burns gas to produce both heat and electricity at the same time. In this building, the intention was that:</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a. Gas would be burned in the CHP engine, producing heat that would heat the water for the communal heating and hot-water system;</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b. At the same time, the CHP would generate electricity (around 9 kW for the XRGI-9 model installed here) to power communal loads such as pumps, boilers, lifts, lighting and controls; and</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c. The back-up gas boilers would act as “lag” or top-up plant,  whilst most of the time the CHP would run steadily as a “base-load” engine</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If the CHP is switched off, the system does not simply become slightly less efficient. A number of specific and serious consequences follow:</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a. All of the electricity that could have been generated by the CHP has to be imported from the National Grid at full commercial tariffs, instead of effectively being produced as a byproduct of generating heat for the hot water &amp; heating systems. In practical terms, where gas costs might be 6–7 pence per kWh, grid electricity has cost in the region of 25–40 pence per kWh. Switching the CHP off therefore removes a source of very low cost electricity which should have reduced the communal electricity bill by a significant amount (the Energy Strategy envisaged that CHP would cover around 20% of the building’s electricity demand).</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b. The boilers have to pick up all of the heating and hot-water duty. Because boilers are designed as fast-response “sprinters” rather than steady-state engines, this leads to frequent on/off cycling (“short-cycling”) as they try to maintain constant store temperatures. Short-cycling is well-known to cause increased wear on boiler burners, fans and controls, shortening plant life and increasing maintenance and breakdown costs.</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c. The hydraulic system (pumps, flow and return temperatures) was designed around the CHP acting as the “lead” unit. With the CHP off, the return-temperature regime can prevent modern boilers from operating in their most efficient “condensing” mode, further reducing efficiency and increasing gas usage.</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In addition to these technical consequences, there is a planning and regulatory dimension. Westminster City Council (“WCC”) granted permission on the basis of the Energy Strategy and accompanying diagrams, which explicitly relied on CHP operation to achieve the targeted carbon-emission reductions. If the CHP is not run, the building is no longer operating in accordance with the basis on which planning permission was granted. Residents were entitled to assume that the system described in the Energy Strategy and marketing brochure (which emphasised the “high-efficiency” communal plant and CHP contribution) would actually be used.</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We raised concerns with WCC that the CHP was not running, notwithstanding that it formed part of the approved energy strategy and planning justification. Our understanding is that WCC accepted that the CHP should be operating, at least in principle, to deliver the promised carbon and energy-efficiency benefits. At the time of writing, WCC has asked the Respondent to prove that the CHP has been operational (exhibit KH2 pages 1014-1018)</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The service-charge records provide strong evidence that the CHP was most likely switched off at or shortly after the Respondent purchased the Freehold (exhibit KH2 page 1020). In the 2017 mechanical and plant reconciliation (apartments service charge), the only reference to CHP maintenance is an Acorn Maintenance invoice dated 20 January 2017 for “CHP maintenance” in the sum of £4,367. That is the last time the CHP is mentioned in our accounts. There are no subsequent invoices for CHP servicing, gas engine overhauls, oil changes, or other routine tasks that would be expected if the unit were in operation.</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The building management system (“BMS”) screen in the plant room, as photographed in August 2025, shows the CHP plant as “Off” with associated fault or trip indications (for example, “CHP supply fan trip”) while other plant items are live. (exhibit KH2 page 1021) These BMS flags would have been visible to the managing agent and any attending engineers whenever they logged into the system. Together with the absence of any CHP maintenance records after early 2017, this strongly suggests that the CHP has been deliberately left non-operational for many years.</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There are schematics displayed throughout the plant room, electricity distribution cabinets and there is a whole big room dedicated to the CHP plant (exhibit KH2 pages713, 719, 721, 726, 1008, 1055)</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The Respondent and Y&amp;Y cannot credibly claim that they were unaware of the CHP or its purpose. The developers’ manual, the labelling of the Landlord’s distribution board, as shown on photos provided, the clear BMS screen warning, the existence of a separate room dedicated to the CHP equipment, the early Acorn “CHP maintenance” invoice confirms that the freeholder knew of the unit’s existence and authorised at least one maintenance visit. On that evidence, I believe that a positive decision was taken at some point not to operate the CHP.</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I also note that similar concerns have arisen at another Avon-owned development, The Loxfords, where residents have reported that the CHP was effectively turned off from day one. That pattern reinforces my concern that non-operation of CHP plant may be a commercial choice by the Respondent rather than a technical necessity.  NOT SURE TO INCLUDE??</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The Respondent and Clever Energy have, in correspondence, sought to justify high heating tariffs by reference to a very low “network efficiency” figure (sometimes quoted as low as 30–40%). In my view this is the reverse of what should be happening. The original energy strategy envisaged high overall efficiency – at 80% – precisely because the CHP would capture useful heat while generating electricity. If the CHP is kept off, the “network efficiency” inevitably falls, but that is a consequence of how the Respondent chooses to operate the plant. (exhibit KH2 page 974 and 988) (Exhibit KH2 page 448). It cannot sensibly be used as a justification for charging leaseholders three to four times the underlying gas cost.</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In my submission, the relevant “cost” of energy for the purposes of service-charge recovery is the price actually paid by the landlord for gas and electricity, not an inflated notional figure derived from an artificially depressed “efficiency” percentage. An “efficiency rate” is an engineering metric that fluctuates with load, outside temperature and operating conditions; it is not, and should not be treated as, a substitute for the actual fuel cost paid by the Respondent.</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The practical effect of switching off the CHP is that all communal electricity demand is met from the grid at high tariffs, the boilers and pumps are worked harder than intended (with increased breakdowns and leaks), and the building fails to achieve the energy performance that WCC and purchasers were led to expect. All of the additional electrical and mechanical costs arising from that choice have been charged through to leaseholders via the service charge.</w:t>
      </w:r>
      <w:r>
        <w:rPr>
          <w:rFonts w:ascii="Times New Roman" w:hAnsi="Times New Roman" w:cs="Times New Roman"/>
          <w:sz w:val="24"/>
          <w:sz-cs w:val="24"/>
        </w:rPr>
        <w:t xml:space="preserve"/>
      </w:r>
    </w:p>
    <w:p>
      <w:pPr>
        <w:jc w:val="both"/>
        <w:ind w:left="480"/>
        <w:spacing w:before="100" w:after="240"/>
      </w:pPr>
      <w:r>
        <w:rPr>
          <w:rFonts w:ascii="Times New Roman" w:hAnsi="Times New Roman" w:cs="Times New Roman"/>
          <w:sz w:val="24"/>
          <w:sz-cs w:val="24"/>
        </w:rPr>
        <w:t xml:space="preserve">The Respondent has also been on clear notice, throughout these proceedings, that the operation of the CHP is a live and contested issue. At the first case management hearing on 1 July 2025, the draft Scott Schedule already identified concerns that there was no evidence of the CHP running as envisaged under the planning permission. Those concerns were reiterated and expanded in the full Scott Schedule filed on 2 September 2025, which expressly stated under the relevant heading that “as per planning permission, there should be an operational CHP unit producing 75,840 kWh annually”. The Respondent has never produced any contemporaneous evidence to demonstrate that the CHP has in fact been operated in that way.</w:t>
      </w:r>
      <w:r>
        <w:rPr>
          <w:rFonts w:ascii="Times New Roman" w:hAnsi="Times New Roman" w:cs="Times New Roman"/>
          <w:sz w:val="24"/>
          <w:sz-cs w:val="24"/>
        </w:rPr>
        <w:t xml:space="preserve"/>
      </w:r>
    </w:p>
    <w:p>
      <w:pPr>
        <w:jc w:val="both"/>
        <w:ind w:left="480"/>
        <w:spacing w:before="100" w:after="240"/>
      </w:pPr>
      <w:r>
        <w:rPr>
          <w:rFonts w:ascii="Times New Roman" w:hAnsi="Times New Roman" w:cs="Times New Roman"/>
          <w:sz w:val="24"/>
          <w:sz-cs w:val="24"/>
        </w:rPr>
        <w:t xml:space="preserve">Despite this clear and repeated flagging of the issue within the Tribunal process, no meaningful steps were taken by the Respondent to investigate, reinstate or evidence the operation of the CHP until after leaseholders made a formal complaint to Westminster City Council alleging breach of the relevant planning condition. In my submission, that is not consistent with a landlord acting promptly and reasonably to address serious plant and efficiency concerns which go to the heart of both energy costs and compliance.</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I say that this is not reasonable within the meaning of section 19 of the Landlord and Tenant Act 1985. A landlord who elects not to operate key efficiency plant that formed part of the original design and planning justification should not be entitled to pass the resulting avoidable extra costs on to leaseholders. At the very least, the Tribunal should treat a material portion of the elevated communal electricity costs, boiler/pump maintenance costs and any claimed “inefficiency” margin on Clever Energy tariffs as not reasonably incurred to the extent that they flow from the Respondent’s decision not to run the CHP.</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I therefore invite the Tribunal to:</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Find that the CHP has not been operated as envisaged in the planning and design documents since at least 2017;</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Treat the additional electricity and plant-maintenance costs attributable to that non-operation as not reasonably incurred and disallow an appropriate proportion of those costs from the service charge; and</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Direct that the Respondent, at its own expense, either brings the CHP back into proper operation in accordance with the original energy strategy and planning commitments, or, if it chooses not to do so, bears the cost of the additional electricity and plant wear itself rather than passing it on to leaseholders.</w:t>
      </w:r>
      <w:r>
        <w:rPr>
          <w:rFonts w:ascii="Times New Roman" w:hAnsi="Times New Roman" w:cs="Times New Roman"/>
          <w:sz w:val="24"/>
          <w:sz-cs w:val="24"/>
        </w:rPr>
        <w:t xml:space="preserve"/>
      </w:r>
    </w:p>
    <w:p>
      <w:pPr>
        <w:jc w:val="both"/>
        <w:ind w:left="480"/>
        <w:spacing w:before="100" w:after="240"/>
      </w:pPr>
      <w:r>
        <w:rPr>
          <w:rFonts w:ascii="Times New Roman" w:hAnsi="Times New Roman" w:cs="Times New Roman"/>
          <w:sz w:val="24"/>
          <w:sz-cs w:val="24"/>
        </w:rPr>
        <w:t xml:space="preserve">HIU AND FCU SERVICING – DEMISED EQUIPMENT AND LACK OF CONSULTATION</w:t>
      </w:r>
      <w:r>
        <w:rPr>
          <w:rFonts w:ascii="Times New Roman" w:hAnsi="Times New Roman" w:cs="Times New Roman"/>
          <w:sz w:val="24"/>
          <w:sz-cs w:val="24"/>
        </w:rPr>
        <w:t xml:space="preserve"/>
      </w:r>
    </w:p>
    <w:p>
      <w:pPr>
        <w:jc w:val="both"/>
        <w:ind w:left="480"/>
        <w:spacing w:before="100" w:after="240"/>
      </w:pPr>
      <w:r>
        <w:rPr>
          <w:rFonts w:ascii="Times New Roman" w:hAnsi="Times New Roman" w:cs="Times New Roman"/>
          <w:sz w:val="24"/>
          <w:sz-cs w:val="24"/>
        </w:rPr>
        <w:t xml:space="preserve">Each flat at 8 Artillery Row is served by a Heat Interface Unit (“HIU”) for heating and domestic hot water and by one or more Fan Coil Units (“FCUs”, also referred to as CIU – Cooling Interface Unit) providing cooling as described at Section 8.1 and 8.2 in the Resident’s Guide. (exhibit KH2 page 500-543) In simple terms, an HIU is a boxed unit within the flat which takes hot water from the communal primary circuit and transfers heat into the flat’s own secondary heating and hot-water pipework; an FCU is a small fan-assisted heat-exchanger which uses chilled water from the communal system to provide cooling to individual rooms. Both the HIU and FCUs are located wholly within the demised premises and serve only the individual flat as described in the Resident’s Guide</w:t>
      </w:r>
      <w:r>
        <w:rPr>
          <w:rFonts w:ascii="Times New Roman" w:hAnsi="Times New Roman" w:cs="Times New Roman"/>
          <w:sz w:val="24"/>
          <w:sz-cs w:val="24"/>
        </w:rPr>
        <w:t xml:space="preserve"/>
      </w:r>
    </w:p>
    <w:p>
      <w:pPr>
        <w:jc w:val="both"/>
        <w:ind w:left="480"/>
        <w:spacing w:before="100" w:after="240"/>
      </w:pPr>
      <w:r>
        <w:rPr>
          <w:rFonts w:ascii="Times New Roman" w:hAnsi="Times New Roman" w:cs="Times New Roman"/>
          <w:sz w:val="24"/>
          <w:sz-cs w:val="24"/>
        </w:rPr>
        <w:t xml:space="preserve">The lease treats the HIU and FCUs as part of the demised premises, with the leaseholder responsible for keeping them in good repair and condition. STATE CLAUSES IN LEASE The 8 Artillery Row Residents’ Guide, at sections 8.2 and 8.3, also states in clear terms that the maintenance of in-flat mechanical equipment, including HIUs and FCUs, is the responsibility of the apartment owner. That was the understanding when I first moved into Apartment 101 in April 2016. My landlady told me she was responsible for arranging the servicing of the HIU and FCU, and I assisted her in finding a contractor because it was difficult to locate firms familiar with the system.</w:t>
      </w:r>
      <w:r>
        <w:rPr>
          <w:rFonts w:ascii="Times New Roman" w:hAnsi="Times New Roman" w:cs="Times New Roman"/>
          <w:sz w:val="24"/>
          <w:sz-cs w:val="24"/>
        </w:rPr>
        <w:t xml:space="preserve"/>
      </w:r>
    </w:p>
    <w:p>
      <w:pPr>
        <w:jc w:val="both"/>
        <w:ind w:left="480"/>
        <w:spacing w:before="100" w:after="240"/>
      </w:pPr>
      <w:r>
        <w:rPr>
          <w:rFonts w:ascii="Times New Roman" w:hAnsi="Times New Roman" w:cs="Times New Roman"/>
          <w:sz w:val="24"/>
          <w:sz-cs w:val="24"/>
        </w:rPr>
        <w:t xml:space="preserve">Mr Raymond Gubbay CBE, one of the Applicants, has retained copies of HIU/FCU servicing records over a number of years, demonstrating that he arranged such servicing himself in the belief that the leases required leaseholders to do so. A sample of those are in exhibit KH2 pages 1057-1062.</w:t>
      </w:r>
      <w:r>
        <w:rPr>
          <w:rFonts w:ascii="Times New Roman" w:hAnsi="Times New Roman" w:cs="Times New Roman"/>
          <w:sz w:val="24"/>
          <w:sz-cs w:val="24"/>
        </w:rPr>
        <w:t xml:space="preserve"/>
      </w:r>
    </w:p>
    <w:p>
      <w:pPr>
        <w:jc w:val="both"/>
        <w:ind w:left="480"/>
        <w:spacing w:before="100" w:after="240"/>
      </w:pPr>
      <w:r>
        <w:rPr>
          <w:rFonts w:ascii="Times New Roman" w:hAnsi="Times New Roman" w:cs="Times New Roman"/>
          <w:sz w:val="24"/>
          <w:sz-cs w:val="24"/>
        </w:rPr>
        <w:t xml:space="preserve">Contemporaneous documents reinforce this position. A 2017 email for Apartment 101 shows a one-off FCU service by Acorn Engineering Ltd ordered by the flat owner (exhibit KH2 page 1063), and an email from Y&amp;Y’s building manager  in May 2017 confirming that leaseholders are expected to arrange their own maintenance and recommending Acorn Engineering (exhibit KH2 page 1065). The original practice was therefore that these units were privately serviced by, and at the cost of, individual leaseholders.</w:t>
      </w:r>
      <w:r>
        <w:rPr>
          <w:rFonts w:ascii="Times New Roman" w:hAnsi="Times New Roman" w:cs="Times New Roman"/>
          <w:sz w:val="24"/>
          <w:sz-cs w:val="24"/>
        </w:rPr>
        <w:t xml:space="preserve"/>
      </w:r>
    </w:p>
    <w:p>
      <w:pPr>
        <w:jc w:val="both"/>
        <w:ind w:left="480"/>
        <w:spacing w:before="100" w:after="240"/>
      </w:pPr>
      <w:r>
        <w:rPr>
          <w:rFonts w:ascii="Times New Roman" w:hAnsi="Times New Roman" w:cs="Times New Roman"/>
          <w:sz w:val="24"/>
          <w:sz-cs w:val="24"/>
        </w:rPr>
        <w:t xml:space="preserve">On 27 November 2018, Y&amp;Y sent a circular letter suggesting that HIU servicing would in future be organised collectively and recharged through the service charge, apparently via Heat Interface Team Ltd. (exhibit KH2 page 1067). That letter followed a residents’ meeting attended by only a small number of leaseholders. There was no formal vote, no minutes recording any resolution to vary the leases, no explanation of long-term costs, and no reference to statutory consultation. In my submission, such a letter and informal discussion cannot amount to a variation of the leases or create a contractual right for the landlord to treat the servicing of demised HIUs/FCUs as a communal service-charge item.</w:t>
      </w:r>
      <w:r>
        <w:rPr>
          <w:rFonts w:ascii="Times New Roman" w:hAnsi="Times New Roman" w:cs="Times New Roman"/>
          <w:sz w:val="24"/>
          <w:sz-cs w:val="24"/>
        </w:rPr>
        <w:t xml:space="preserve"/>
      </w:r>
    </w:p>
    <w:p>
      <w:pPr>
        <w:jc w:val="both"/>
        <w:ind w:left="480"/>
        <w:spacing w:before="100" w:after="240"/>
      </w:pPr>
      <w:r>
        <w:rPr>
          <w:rFonts w:ascii="Times New Roman" w:hAnsi="Times New Roman" w:cs="Times New Roman"/>
          <w:sz w:val="24"/>
          <w:sz-cs w:val="24"/>
        </w:rPr>
        <w:t xml:space="preserve">Even if a number of leaseholders were content in principle for the managing agent to recommend or coordinate a contractor, that is a very different thing from agreeing that the landlord may (a) procure a long-term servicing arrangement on behalf of all flats, (b) recharge all costs through the service charge, and (c) override the clear lease provisions that place maintenance of the HIUs and FCUs on the individual flat owners. A meeting with a small, undefined group of residents, without any formal procedure, cannot lawfully bind all leaseholders or change their contractual obligations.</w:t>
      </w:r>
      <w:r>
        <w:rPr>
          <w:rFonts w:ascii="Times New Roman" w:hAnsi="Times New Roman" w:cs="Times New Roman"/>
          <w:sz w:val="24"/>
          <w:sz-cs w:val="24"/>
        </w:rPr>
        <w:t xml:space="preserve"/>
      </w:r>
    </w:p>
    <w:p>
      <w:pPr>
        <w:jc w:val="both"/>
        <w:ind w:left="480"/>
        <w:spacing w:before="100" w:after="240"/>
      </w:pPr>
      <w:r>
        <w:rPr>
          <w:rFonts w:ascii="Times New Roman" w:hAnsi="Times New Roman" w:cs="Times New Roman"/>
          <w:sz w:val="24"/>
          <w:sz-cs w:val="24"/>
        </w:rPr>
        <w:t xml:space="preserve">No section 20 Landlord and Tenant Act 1985 consultation has ever been carried out in relation to any long-term HIU/FCU servicing agreement or plant-room maintenance contract with Heat Interface. The yearly totals for Heat Interface work are well above the £250 per-flat threshold, so any such agreement would plainly be a “qualifying long term agreement”. The 27 November 2018 letter is not a section 20 notice, does not describe proposed costs or alternative tenders, and was not followed by any formal consultation stages.</w:t>
      </w:r>
      <w:r>
        <w:rPr>
          <w:rFonts w:ascii="Times New Roman" w:hAnsi="Times New Roman" w:cs="Times New Roman"/>
          <w:sz w:val="24"/>
          <w:sz-cs w:val="24"/>
        </w:rPr>
        <w:t xml:space="preserve"/>
      </w:r>
    </w:p>
    <w:p>
      <w:pPr>
        <w:jc w:val="both"/>
        <w:ind w:left="480"/>
        <w:spacing w:before="100" w:after="240"/>
      </w:pPr>
      <w:r>
        <w:rPr>
          <w:rFonts w:ascii="Times New Roman" w:hAnsi="Times New Roman" w:cs="Times New Roman"/>
          <w:sz w:val="24"/>
          <w:sz-cs w:val="24"/>
        </w:rPr>
        <w:t xml:space="preserve">The reconciliation accounts for 2018–2024 list substantial and sometimes quarterly-patterned payments to Heat Interface under “Mech &amp; Plant Maintenance” and related headings, with yearly totals ranging from roughly £22,000 to over £34,000. On their face, those entries suggest an intensive regime of both plant-room and in-flat servicing, in some years appearing to involve four quarterly programmes and, in 2024, as many as six equal “maintenance” charges. I have prepared a spreadsheet showing such a clear account of the charges for Plant Room, Boiler &amp; HIU maintenance exhibit KH2 page 1097.</w:t>
      </w:r>
      <w:r>
        <w:rPr>
          <w:rFonts w:ascii="Times New Roman" w:hAnsi="Times New Roman" w:cs="Times New Roman"/>
          <w:sz w:val="24"/>
          <w:sz-cs w:val="24"/>
        </w:rPr>
        <w:t xml:space="preserve"/>
      </w:r>
    </w:p>
    <w:p>
      <w:pPr>
        <w:jc w:val="both"/>
        <w:ind w:left="480"/>
        <w:spacing w:before="100" w:after="240"/>
      </w:pPr>
      <w:r>
        <w:rPr>
          <w:rFonts w:ascii="Times New Roman" w:hAnsi="Times New Roman" w:cs="Times New Roman"/>
          <w:sz w:val="24"/>
          <w:sz-cs w:val="24"/>
        </w:rPr>
        <w:t xml:space="preserve">Despite repeated requests, the Respondent has not disclosed any contracts specifying what maintenance is included for the HIUs/FCUs or for the main boilers. However, the Applicants have obtained a quarterly invoice dated 28 February 2023 which expressly breaks down the charges between apartment HIU/FCU servicing and main boiler/plant-room maintenance (exhibit KH2 page 1098). As can be seen from this invoice, approximately 50% of the costs relate to apartment-level maintenance. If, as the Respondent asserts in its letter of 27 November 2018, HIU maintenance had already been brought into the service charge by that date, it is difficult to reconcile this with the fact that the Heat Interface contract sums were broadly the same before and after 2018, only rising significantly from 2022 onwards; indeed, in 2020 the contract value was approximately 20% lower than in earlier years. In my submission, this pattern is inconsistent with the Respondent’s account and reinforces our concern that (a) demised HIU/FCU servicing has been run through the communal accounts without proper contractual authority or consultation and (b) plant-room/boiler maintenance costs have not been transparently identified or allocated. I refer to exhibit KH2 page 1097 showing annual contract sums.</w:t>
      </w:r>
      <w:r>
        <w:rPr>
          <w:rFonts w:ascii="Times New Roman" w:hAnsi="Times New Roman" w:cs="Times New Roman"/>
          <w:sz w:val="24"/>
          <w:sz-cs w:val="24"/>
        </w:rPr>
        <w:t xml:space="preserve"/>
      </w:r>
    </w:p>
    <w:p>
      <w:pPr>
        <w:jc w:val="both"/>
        <w:ind w:left="480"/>
        <w:spacing w:before="100" w:after="240"/>
      </w:pPr>
      <w:r>
        <w:rPr>
          <w:rFonts w:ascii="Times New Roman" w:hAnsi="Times New Roman" w:cs="Times New Roman"/>
          <w:sz w:val="24"/>
          <w:sz-cs w:val="24"/>
        </w:rPr>
        <w:t xml:space="preserve">The reconciliation accounts suggest a  pattern that is inconsistent with what the building manager, Bernard, has repeatedly told residents, namely that HIU/FCU maintenance is carried out only once per year (exhibit KH2 page 1068-1069). It is also inconsistent with the documents disclosed by the Respondent. Despite specific requests, the Respondent has not produced any formal maintenance contract with Heat Interface, any schedule of service visits matching the quarterly charges shown in the reconciliation accounts or any boiler-service sheets or plant-room reports corresponding to the sums said to have been spent.</w:t>
      </w:r>
      <w:r>
        <w:rPr>
          <w:rFonts w:ascii="Times New Roman" w:hAnsi="Times New Roman" w:cs="Times New Roman"/>
          <w:sz w:val="24"/>
          <w:sz-cs w:val="24"/>
        </w:rPr>
        <w:t xml:space="preserve"/>
      </w:r>
    </w:p>
    <w:p>
      <w:pPr>
        <w:jc w:val="both"/>
        <w:ind w:left="480"/>
        <w:spacing w:before="100" w:after="240"/>
      </w:pPr>
      <w:r>
        <w:rPr>
          <w:rFonts w:ascii="Times New Roman" w:hAnsi="Times New Roman" w:cs="Times New Roman"/>
          <w:sz w:val="24"/>
          <w:sz-cs w:val="24"/>
        </w:rPr>
        <w:t xml:space="preserve">In practice, the HIU and FCU reports provided start only from 2022 and relate largely to fault-finding within individual flats rather than routine quarterly servicing of all equipment. They also show that maintenance visits are carried out annually. They show sporadic attendance addressing specific problems (seized pumps, stuck valves, low pressures, leaks) rather than a regular, building-wide planned-maintenance regime going back to 2018. When I discussed the plant with Bernard , Y&amp;Y’s building manager, he indicated that he is, in fact, wary of allowing Heat Interface into the plant room and only calls them out when there is a problem. This again sits badly with the notion that they have been attending quarterly over many years to service the main boilers and communal plant.</w:t>
      </w:r>
      <w:r>
        <w:rPr>
          <w:rFonts w:ascii="Times New Roman" w:hAnsi="Times New Roman" w:cs="Times New Roman"/>
          <w:sz w:val="24"/>
          <w:sz-cs w:val="24"/>
        </w:rPr>
        <w:t xml:space="preserve"/>
      </w:r>
    </w:p>
    <w:p>
      <w:pPr>
        <w:jc w:val="both"/>
        <w:ind w:left="480"/>
        <w:spacing w:before="100" w:after="240"/>
      </w:pPr>
      <w:r>
        <w:rPr>
          <w:rFonts w:ascii="Times New Roman" w:hAnsi="Times New Roman" w:cs="Times New Roman"/>
          <w:sz w:val="24"/>
          <w:sz-cs w:val="24"/>
        </w:rPr>
        <w:t xml:space="preserve">The boilers’ own control panel print-outs in the plant room, as seen by me on 29 August 2025, record the last Heat Interface maintenance visit as having taken place on 7 November 2023 (exhibit KH2 page 1070-1071). Yet the 2024 accounts contain multiple entries described as “boiler maintenance” or “plant room maintenance” attributed to Heat Interface and charged to leaseholders. The Respondent has not disclosed any evidence of such maintenance reports, visit logs or engineer reports, without which it is simply not possible to see what, if anything, was done in return for these charges.</w:t>
      </w:r>
      <w:r>
        <w:rPr>
          <w:rFonts w:ascii="Times New Roman" w:hAnsi="Times New Roman" w:cs="Times New Roman"/>
          <w:sz w:val="24"/>
          <w:sz-cs w:val="24"/>
        </w:rPr>
        <w:t xml:space="preserve"/>
      </w:r>
    </w:p>
    <w:p>
      <w:pPr>
        <w:jc w:val="both"/>
        <w:ind w:left="480"/>
        <w:spacing w:before="100" w:after="240"/>
      </w:pPr>
      <w:r>
        <w:rPr>
          <w:rFonts w:ascii="Times New Roman" w:hAnsi="Times New Roman" w:cs="Times New Roman"/>
          <w:sz w:val="24"/>
          <w:sz-cs w:val="24"/>
        </w:rPr>
        <w:t xml:space="preserve">The HIU/FCU reports that have been disclosed show a pattern of significant faults being recorded repeatedly, with no evidence of timely follow-up or repair. There is no corresponding trail of contractor invoices or follow-up reports showing that these items were systematically remedied. In my submission, this demonstrates that HIU/FCU “servicing” has too often been treated as a box-ticking and filing exercise, rather than a managed process aimed at maintaining the </w:t>
        <w:tab/>
        <w:t xml:space="preserve">system in good, efficient order. By way of example, exhibit KH2 pages 1072- 1096 :</w:t>
      </w:r>
      <w:r>
        <w:rPr>
          <w:rFonts w:ascii="Times New Roman" w:hAnsi="Times New Roman" w:cs="Times New Roman"/>
          <w:sz w:val="24"/>
          <w:sz-cs w:val="24"/>
        </w:rPr>
        <w:t xml:space="preserve"/>
      </w:r>
    </w:p>
    <w:p>
      <w:pPr>
        <w:jc w:val="both"/>
        <w:ind w:left="480"/>
        <w:spacing w:before="100" w:after="240"/>
      </w:pPr>
      <w:r>
        <w:rPr>
          <w:rFonts w:ascii="Times New Roman" w:hAnsi="Times New Roman" w:cs="Times New Roman"/>
          <w:sz w:val="24"/>
          <w:sz-cs w:val="24"/>
        </w:rPr>
        <w:t xml:space="preserve">Flat 103 – FCU controls reported on 11 May 2023 as not working and providing no cool air, with similar issues again recorded on 20 March 2024 and 3 June 2025.</w:t>
      </w:r>
      <w:r>
        <w:rPr>
          <w:rFonts w:ascii="Times New Roman" w:hAnsi="Times New Roman" w:cs="Times New Roman"/>
          <w:sz w:val="24"/>
          <w:sz-cs w:val="24"/>
        </w:rPr>
        <w:t xml:space="preserve"/>
      </w:r>
    </w:p>
    <w:p>
      <w:pPr>
        <w:jc w:val="both"/>
        <w:ind w:left="480"/>
        <w:spacing w:before="100" w:after="240"/>
      </w:pPr>
      <w:r>
        <w:rPr>
          <w:rFonts w:ascii="Times New Roman" w:hAnsi="Times New Roman" w:cs="Times New Roman"/>
          <w:sz w:val="24"/>
          <w:sz-cs w:val="24"/>
        </w:rPr>
        <w:t xml:space="preserve">Flat 201 – HIU report dated 3 June 2025 records that the system pressure needed topping up, but the hose was not long enough to connect, so the issue could not be remedied at the visit.</w:t>
      </w:r>
      <w:r>
        <w:rPr>
          <w:rFonts w:ascii="Times New Roman" w:hAnsi="Times New Roman" w:cs="Times New Roman"/>
          <w:sz w:val="24"/>
          <w:sz-cs w:val="24"/>
        </w:rPr>
        <w:t xml:space="preserve"/>
      </w:r>
    </w:p>
    <w:p>
      <w:pPr>
        <w:jc w:val="both"/>
        <w:ind w:left="480"/>
        <w:spacing w:before="100" w:after="240"/>
      </w:pPr>
      <w:r>
        <w:rPr>
          <w:rFonts w:ascii="Times New Roman" w:hAnsi="Times New Roman" w:cs="Times New Roman"/>
          <w:sz w:val="24"/>
          <w:sz-cs w:val="24"/>
        </w:rPr>
        <w:t xml:space="preserve">Flat 203 – FCU thermostat recorded on 20 March 2024 as faulty, so cooling and fans could not be properly tested; similar problems are still recorded on 29 May 2025.</w:t>
      </w:r>
      <w:r>
        <w:rPr>
          <w:rFonts w:ascii="Times New Roman" w:hAnsi="Times New Roman" w:cs="Times New Roman"/>
          <w:sz w:val="24"/>
          <w:sz-cs w:val="24"/>
        </w:rPr>
        <w:t xml:space="preserve"/>
      </w:r>
    </w:p>
    <w:p>
      <w:pPr>
        <w:jc w:val="both"/>
        <w:ind w:left="480"/>
        <w:spacing w:before="100" w:after="240"/>
      </w:pPr>
      <w:r>
        <w:rPr>
          <w:rFonts w:ascii="Times New Roman" w:hAnsi="Times New Roman" w:cs="Times New Roman"/>
          <w:sz w:val="24"/>
          <w:sz-cs w:val="24"/>
        </w:rPr>
        <w:t xml:space="preserve">Flat 302 – HIU secondary pump recorded on 21 March 2024 as seized and unable to be freed manually, with “replacement required” noted.</w:t>
      </w:r>
      <w:r>
        <w:rPr>
          <w:rFonts w:ascii="Times New Roman" w:hAnsi="Times New Roman" w:cs="Times New Roman"/>
          <w:sz w:val="24"/>
          <w:sz-cs w:val="24"/>
        </w:rPr>
        <w:t xml:space="preserve"/>
      </w:r>
    </w:p>
    <w:p>
      <w:pPr>
        <w:jc w:val="both"/>
        <w:ind w:left="480"/>
        <w:spacing w:before="100" w:after="240"/>
      </w:pPr>
      <w:r>
        <w:rPr>
          <w:rFonts w:ascii="Times New Roman" w:hAnsi="Times New Roman" w:cs="Times New Roman"/>
          <w:sz w:val="24"/>
          <w:sz-cs w:val="24"/>
        </w:rPr>
        <w:t xml:space="preserve">Flat 403 – living-room thermostat recorded as broken on 11 May 2023 and again on 21 March 2024 and 29 May 2025, meaning the FCU could not be tested and fan operation could not be confirmed.</w:t>
      </w:r>
      <w:r>
        <w:rPr>
          <w:rFonts w:ascii="Times New Roman" w:hAnsi="Times New Roman" w:cs="Times New Roman"/>
          <w:sz w:val="24"/>
          <w:sz-cs w:val="24"/>
        </w:rPr>
        <w:t xml:space="preserve"/>
      </w:r>
    </w:p>
    <w:p>
      <w:pPr>
        <w:jc w:val="both"/>
        <w:ind w:left="480"/>
        <w:spacing w:before="100" w:after="240"/>
      </w:pPr>
      <w:r>
        <w:rPr>
          <w:rFonts w:ascii="Times New Roman" w:hAnsi="Times New Roman" w:cs="Times New Roman"/>
          <w:sz w:val="24"/>
          <w:sz-cs w:val="24"/>
        </w:rPr>
        <w:t xml:space="preserve">Across multiple flats and years, the reports also record cooling probes left disconnected, high temperatures and, in some cases, exposed wiring.</w:t>
      </w:r>
      <w:r>
        <w:rPr>
          <w:rFonts w:ascii="Times New Roman" w:hAnsi="Times New Roman" w:cs="Times New Roman"/>
          <w:sz w:val="24"/>
          <w:sz-cs w:val="24"/>
        </w:rPr>
        <w:t xml:space="preserve"/>
      </w:r>
    </w:p>
    <w:p>
      <w:pPr>
        <w:jc w:val="both"/>
        <w:ind w:left="480"/>
        <w:spacing w:before="100" w:after="240"/>
      </w:pPr>
      <w:r>
        <w:rPr>
          <w:rFonts w:ascii="Times New Roman" w:hAnsi="Times New Roman" w:cs="Times New Roman"/>
          <w:sz w:val="24"/>
          <w:sz-cs w:val="24"/>
        </w:rPr>
        <w:t xml:space="preserve">The Respondent has disclosed no subsequent service reports or correspondence showing that this temporary bypass was ever rectified, so we do not know whether this HIU has been running in this compromised state on a 24-hour basis ever since. It is particularly concerning that the report itself does not recommend a follow-up visit or permanent repair, but simply records this crude workaround, which increases heat consumption and costs and undermines the proper operation and efficiency of the communal network.</w:t>
      </w:r>
      <w:r>
        <w:rPr>
          <w:rFonts w:ascii="Times New Roman" w:hAnsi="Times New Roman" w:cs="Times New Roman"/>
          <w:sz w:val="24"/>
          <w:sz-cs w:val="24"/>
        </w:rPr>
        <w:t xml:space="preserve"/>
      </w:r>
    </w:p>
    <w:p>
      <w:pPr>
        <w:jc w:val="both"/>
        <w:ind w:left="480"/>
        <w:spacing w:before="100" w:after="240"/>
      </w:pPr>
      <w:r>
        <w:rPr>
          <w:rFonts w:ascii="Times New Roman" w:hAnsi="Times New Roman" w:cs="Times New Roman"/>
          <w:sz w:val="24"/>
          <w:sz-cs w:val="24"/>
        </w:rPr>
        <w:t xml:space="preserve">The Respondent has produced no evidence that the retail unit has its own separate HIU/FCU or gas boiler. On the contrary, the wider evidence suggests that the café also benefits from the communal plant. Yet the Plant &amp; Heat Interface charges under the Apartments Service Charge appear to be split equally between the 22 flats only, at 4.55% each, with no consistent contribution shown from the commercial unit. If HIU/FCU or related plant-room maintenance is genuinely communal, it ought to be apportioned in accordance with the lease so that the retail unit bears its proper share.</w:t>
      </w:r>
      <w:r>
        <w:rPr>
          <w:rFonts w:ascii="Times New Roman" w:hAnsi="Times New Roman" w:cs="Times New Roman"/>
          <w:sz w:val="24"/>
          <w:sz-cs w:val="24"/>
        </w:rPr>
        <w:t xml:space="preserve"/>
      </w:r>
    </w:p>
    <w:p>
      <w:pPr>
        <w:jc w:val="both"/>
        <w:ind w:left="480"/>
        <w:spacing w:before="100" w:after="240"/>
      </w:pPr>
      <w:r>
        <w:rPr>
          <w:rFonts w:ascii="Times New Roman" w:hAnsi="Times New Roman" w:cs="Times New Roman"/>
          <w:sz w:val="24"/>
          <w:sz-cs w:val="24"/>
        </w:rPr>
        <w:t xml:space="preserve">Against that background, I say the Respondent has failed to show that:</w:t>
      </w:r>
      <w:r>
        <w:rPr>
          <w:rFonts w:ascii="Times New Roman" w:hAnsi="Times New Roman" w:cs="Times New Roman"/>
          <w:sz w:val="24"/>
          <w:sz-cs w:val="24"/>
        </w:rPr>
        <w:t xml:space="preserve"/>
      </w:r>
    </w:p>
    <w:p>
      <w:pPr>
        <w:jc w:val="both"/>
        <w:ind w:left="480"/>
        <w:spacing w:before="100" w:after="240"/>
      </w:pPr>
      <w:r>
        <w:rPr>
          <w:rFonts w:ascii="Times New Roman" w:hAnsi="Times New Roman" w:cs="Times New Roman"/>
          <w:sz w:val="24"/>
          <w:sz-cs w:val="24"/>
        </w:rPr>
        <w:t xml:space="preserve">a. it is contractually entitled under the leases to recover the cost of servicing demised HIUs and FCUs through the service charge;</w:t>
      </w:r>
      <w:r>
        <w:rPr>
          <w:rFonts w:ascii="Times New Roman" w:hAnsi="Times New Roman" w:cs="Times New Roman"/>
          <w:sz w:val="24"/>
          <w:sz-cs w:val="24"/>
        </w:rPr>
        <w:t xml:space="preserve"/>
      </w:r>
    </w:p>
    <w:p>
      <w:pPr>
        <w:jc w:val="both"/>
        <w:ind w:left="480"/>
        <w:spacing w:before="100" w:after="240"/>
      </w:pPr>
      <w:r>
        <w:rPr>
          <w:rFonts w:ascii="Times New Roman" w:hAnsi="Times New Roman" w:cs="Times New Roman"/>
          <w:sz w:val="24"/>
          <w:sz-cs w:val="24"/>
        </w:rPr>
        <w:t xml:space="preserve">b. any long-term arrangement with Heat Interface complies with the section 20 consultation requirements; or</w:t>
      </w:r>
      <w:r>
        <w:rPr>
          <w:rFonts w:ascii="Times New Roman" w:hAnsi="Times New Roman" w:cs="Times New Roman"/>
          <w:sz w:val="24"/>
          <w:sz-cs w:val="24"/>
        </w:rPr>
        <w:t xml:space="preserve"/>
      </w:r>
    </w:p>
    <w:p>
      <w:pPr>
        <w:jc w:val="both"/>
        <w:ind w:left="480"/>
        <w:spacing w:before="100" w:after="240"/>
      </w:pPr>
      <w:r>
        <w:rPr>
          <w:rFonts w:ascii="Times New Roman" w:hAnsi="Times New Roman" w:cs="Times New Roman"/>
          <w:sz w:val="24"/>
          <w:sz-cs w:val="24"/>
        </w:rPr>
        <w:t xml:space="preserve">c. the large and at times “quarterly” Heat Interface charges shown in the reconciliation accounts were actually incurred for genuine communal maintenance rather than flat-specific works.</w:t>
      </w:r>
      <w:r>
        <w:rPr>
          <w:rFonts w:ascii="Times New Roman" w:hAnsi="Times New Roman" w:cs="Times New Roman"/>
          <w:sz w:val="24"/>
          <w:sz-cs w:val="24"/>
        </w:rPr>
        <w:t xml:space="preserve"/>
      </w:r>
    </w:p>
    <w:p>
      <w:pPr>
        <w:jc w:val="both"/>
        <w:ind w:left="480"/>
        <w:spacing w:before="100" w:after="240"/>
      </w:pPr>
      <w:r>
        <w:rPr>
          <w:rFonts w:ascii="Times New Roman" w:hAnsi="Times New Roman" w:cs="Times New Roman"/>
          <w:sz w:val="24"/>
          <w:sz-cs w:val="24"/>
        </w:rPr>
        <w:t xml:space="preserve">In these circumstances, I invite the Tribunal to:</w:t>
      </w:r>
      <w:r>
        <w:rPr>
          <w:rFonts w:ascii="Times New Roman" w:hAnsi="Times New Roman" w:cs="Times New Roman"/>
          <w:sz w:val="24"/>
          <w:sz-cs w:val="24"/>
        </w:rPr>
        <w:t xml:space="preserve"/>
      </w:r>
    </w:p>
    <w:p>
      <w:pPr>
        <w:jc w:val="both"/>
        <w:ind w:left="480"/>
        <w:spacing w:before="100" w:after="240"/>
      </w:pPr>
      <w:r>
        <w:rPr>
          <w:rFonts w:ascii="Times New Roman" w:hAnsi="Times New Roman" w:cs="Times New Roman"/>
          <w:sz w:val="24"/>
          <w:sz-cs w:val="24"/>
        </w:rPr>
        <w:t xml:space="preserve">declare that the servicing, repair and replacement of in-flat HIUs and FCUs are, under the leases, the responsibility of individual leaseholders and not a recoverable communal service-charge item;</w:t>
      </w:r>
      <w:r>
        <w:rPr>
          <w:rFonts w:ascii="Times New Roman" w:hAnsi="Times New Roman" w:cs="Times New Roman"/>
          <w:sz w:val="24"/>
          <w:sz-cs w:val="24"/>
        </w:rPr>
        <w:t xml:space="preserve"/>
      </w:r>
    </w:p>
    <w:p>
      <w:pPr>
        <w:jc w:val="both"/>
        <w:ind w:left="480"/>
        <w:spacing w:before="100" w:after="240"/>
      </w:pPr>
      <w:r>
        <w:rPr>
          <w:rFonts w:ascii="Times New Roman" w:hAnsi="Times New Roman" w:cs="Times New Roman"/>
          <w:sz w:val="24"/>
          <w:sz-cs w:val="24"/>
        </w:rPr>
        <w:t xml:space="preserve">disallow, as not reasonably incurred and/or not contractually recoverable, the majority of the Heat Interface charges shown under “Mech &amp; Plant Maintenance” to the extent that they relate to demised equipment or to unproven “quarterly” plant-room servicing;</w:t>
      </w:r>
      <w:r>
        <w:rPr>
          <w:rFonts w:ascii="Times New Roman" w:hAnsi="Times New Roman" w:cs="Times New Roman"/>
          <w:sz w:val="24"/>
          <w:sz-cs w:val="24"/>
        </w:rPr>
        <w:t xml:space="preserve"/>
      </w:r>
    </w:p>
    <w:p>
      <w:pPr>
        <w:jc w:val="both"/>
        <w:ind w:left="480"/>
        <w:spacing w:before="100" w:after="240"/>
      </w:pPr>
      <w:r>
        <w:rPr>
          <w:rFonts w:ascii="Times New Roman" w:hAnsi="Times New Roman" w:cs="Times New Roman"/>
          <w:sz w:val="24"/>
          <w:sz-cs w:val="24"/>
        </w:rPr>
        <w:t xml:space="preserve">in the alternative, treat any servicing arrangement with Heat Interface as a qualifying long-term agreement and cap each leaseholder’s liability to £250 per year for the relevant years in which no valid section 20 consultation was carried out; and</w:t>
      </w:r>
      <w:r>
        <w:rPr>
          <w:rFonts w:ascii="Times New Roman" w:hAnsi="Times New Roman" w:cs="Times New Roman"/>
          <w:sz w:val="24"/>
          <w:sz-cs w:val="24"/>
        </w:rPr>
        <w:t xml:space="preserve"/>
      </w:r>
    </w:p>
    <w:p>
      <w:pPr>
        <w:jc w:val="both"/>
        <w:ind w:left="480"/>
        <w:spacing w:before="100" w:after="240"/>
      </w:pPr>
      <w:r>
        <w:rPr>
          <w:rFonts w:ascii="Times New Roman" w:hAnsi="Times New Roman" w:cs="Times New Roman"/>
          <w:sz w:val="24"/>
          <w:sz-cs w:val="24"/>
        </w:rPr>
        <w:t xml:space="preserve">require the Respondent, going forward, either to leave HIU/FCU maintenance to the leaseholders as originally intended or, if it wishes to offer a communal servicing scheme, to do so on an opt-in basis with costs recharged only to participating flats and not through the general Apartments or Building Service Charge.</w:t>
      </w:r>
      <w:r>
        <w:rPr>
          <w:rFonts w:ascii="Times New Roman" w:hAnsi="Times New Roman" w:cs="Times New Roman"/>
          <w:sz w:val="24"/>
          <w:sz-cs w:val="24"/>
        </w:rPr>
        <w:t xml:space="preserve"/>
      </w:r>
    </w:p>
    <w:p>
      <w:pPr>
        <w:jc w:val="both"/>
        <w:ind w:left="480"/>
        <w:spacing w:before="100" w:after="240"/>
      </w:pPr>
      <w:r>
        <w:rPr>
          <w:rFonts w:ascii="Times New Roman" w:hAnsi="Times New Roman" w:cs="Times New Roman"/>
          <w:sz w:val="24"/>
          <w:sz-cs w:val="24"/>
        </w:rPr>
        <w:t xml:space="preserve">MAINTENANCE RECORDS AND INSURANCE CLAIMS</w:t>
      </w:r>
      <w:r>
        <w:rPr>
          <w:rFonts w:ascii="Times New Roman" w:hAnsi="Times New Roman" w:cs="Times New Roman"/>
          <w:sz w:val="24"/>
          <w:sz-cs w:val="24"/>
        </w:rPr>
        <w:t xml:space="preserve"/>
      </w:r>
    </w:p>
    <w:p>
      <w:pPr>
        <w:jc w:val="both"/>
        <w:ind w:left="480"/>
        <w:spacing w:before="100" w:after="240"/>
      </w:pPr>
      <w:r>
        <w:rPr>
          <w:rFonts w:ascii="Times New Roman" w:hAnsi="Times New Roman" w:cs="Times New Roman"/>
          <w:sz w:val="24"/>
          <w:sz-cs w:val="24"/>
        </w:rPr>
        <w:t xml:space="preserve">This section addresses the Respondent’s approach to maintenance and repair of the communal plant, pumps, heating and cooling systems, intercom and fire systems and roof, as reflected in the “Mech &amp; Plant Maintenance”, “BMS Maintenance”, “Repairs &amp; Maintenance”, “Roof Repairs” and related headings in the service-charge accounts and the Scott Schedule. In summary, the charges are high and volatile from year to year, not supported by coherent contracts or service records, and in many instances appear to reflect reactive “fire-fighting” rather than planned preventative maintenance.</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Heat Interface Team – chaotic and opaque plant/HIU invoicing</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The “Mech &amp; Plant Maintenance” ledgers show multiple invoices each year from Acorn Maintenance in 2017 and from Heat Interface Team from 2018 onwards for plant-room maintenance, boiler servicing and HIU/FCU servicing. By my count there are at least five separate Heat Interface invoices in 2023 and six in 2024 alone, all coded to the same broad heading but with differing descriptions. Across the eight-year period the totals fluctuate markedly: in some years Heat Interface-related costs are in the region of £22,000, while in others they rise above £40,000, with no clear explanation of any change in scope, plant inventory or visit frequency.  These are clearly ongoing contracts, yet no Section 20 consultation was ever carried out.</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Despite this, the Respondent has not disclosed any underlying term contract or schedule of rates with Heat Interface, nor any coherent maintenance plan showing what is to be done quarterly versus annually. There is a fundamental mismatch between what is being charged, what is said to be done, and the maintenance evidence actually disclosed. The Respondent has not even disclosed one single boiler maintenance report, despite repeated requests.</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There is also no evidence of any individual within Avon or Y&amp;Y taking ownership of these reports and ensuring that identified defects are followed up. The same plant has been on site throughout, yet the maintenance costs vary wildly from year to year. In my view this reflects a lack of accountability and of a structured, planned-preventative maintenance regime.</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On 14 Apr 2019, there is an entry on the reconciliation accounts for an invoice of 5,220 pounds from DWP Services Ltd, with a description of “working with pipes”.  No other explanation and the Respondent has not disclosed any copies of this invoice or report.</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Boiler and pump servicing – missing reports and ignored recommendations</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The plant-room equipment – boilers, pumps, pressurisation units, expansion vessels and associated controls – is critical to the safe and efficient operation of the communal heating and cooling system. The Respondent’s own descriptions and the charges coded to “Mech &amp; Plant Maintenance” suggest regular boiler maintenance and plant-room servicing throughout the period in dispute. However based on the limited disclosure by the Respondent:</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The boiler control-panel print-out currently displayed in the plant room shows the last recorded boiler service as taking place in or around November 2023 (exhibit KH2 page 1070-1071) . Despite this, substantial sums have been charged in 2024 and 2025 for “boiler maintenance” and “plant-room maintenance”, without any corresponding service sheets, Gas Safe certificates or commissioning reports being disclosed.</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A report from AES dated 15 October 2020 recommends that a particular pump in the system be replaced rather than repeatedly repaired (exhibit KH2 page 1101). A later Heat Interface report over one year later, dated 16 December 2021 records that a motor/pump has already been fixed twice and again recommends replacement remarking: “Please be advised, the plant will fail again without these remedial works” (exhibit KH2 page 1102)</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Around this time, the building went without heating and hot water for 8 days, then occurring again for 2 days (exhibit KH2 pages 546-556).  There is no evidence that these recommendations were actioned. No later report has been disclosed confirming that the pump was replaced, and the Residents’ Association has seen no section 20 consultation or competitive tender process for such works.</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2 years later, AAM Maintenance attend site to find the basement and plant room flooded with the pumps needing resetting (exhibit KH2 pages 1119).</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1 year later, on 24 May 2024, the Residents Association receives an email from Adam Azoulay to ask me to waive the Section 20 requirement and to authorise the replacement of pumps at a cost of 25,000 pounds (exhibit KH2 pages 355-358).  I responded that I have no authority to waive a consultation process with Mr Raymond Gubbay asking for the relevant process to take place to replace such critical equipment (exhibit KH2 pages 1036).  No response was received to our emails.  1 year later, on 11 September 2025, I follow it up to remind Mr Azoulay that with winter approaching, it is important to have critical equipment in working order.  I follow it up with another reminder on 22 September 2025, with Mr Azoulay responding that they are reviewing the pump issue and will revert to the Applicants (exhibit KH2 pages 1037-1040).  To this date, nothing has happened, no update was sent and on my 2 October 2025 visit to the plant room the pumps still showed as critical (exhibit KH2 pages 1105-1106)</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This pattern is repeated elsewhere. Reports flag failed or seizing pumps, low pressures, stuck valves and faulty thermostats, but there is either no follow-up invoice showing that the work was carried out or no subsequent service report confirming that the defect was closed out. The Respondent appears to be charging repeatedly for “maintenance” without demonstrating a proper end-to-end process from defect identification through to completed remedial works.</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It appears from records that despite having a Heat Interface maintenance contract covering “regular routine maintenance to the main boilers and associated items of plant and control gear to the plant room” since 2018, the Respondent has engaged other companies to carry out repairs and maintenance on the plant room.  The AES Systems report refers to similar repairs and maintenance that Heat Interface refers to.  It appears that the Applicants are paying twice for the same service, unnecessarily.  AAM Maintenance also attended on 3 May 2023 to fix the pumps in the plant room, yet it is my understanding that Heat Interface maintains these pumps.</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Recent photographs of the MCC1 control panel and the building-management-system (“BMS”) screen taken in August 2025 and October 2025 show persistent red alarm indicators for several primary and secondary pumps (including CHW and LTHW pumps 1 and 2) and associated plant. Some of these alarm lights had, according to the building manager, been illuminated for many months. In my view this is further evidence that the Respondent is not responding adequately to plant faults and is allowing critical equipment to operate in alarm condition for prolonged periods.</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An AAM Maintenance invoice dated 23 August 2023 records a call-out simply described as “switch on cooler unit” at a cost of £1,299.60. There is no evidence of any major repair, parts replacement or fault-finding that could justify such a high charge for what appears to be a basic operational task. This is symptomatic of a wider pattern of reactive and expensive call-outs rather than planned, competitively-tendered maintenance.</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It is also relevant that the whole heating and hot-water system was designed on the assumption that the CHP would operate as the lead plant. Running the system without the CHP alters the duty on the boilers, pumps and other components. In my view, the combination of non-operation of the CHP and piecemeal, reactive attention to pumps and boilers has increased failures and premature wear, which in turn has driven up the “Mech &amp; Plant and General Maintenance” costs that are now being passed on to leaseholders.</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Apartment HIU/FCU servicing and plant-room allocation</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As explained in the HIU/FCU section of this statement, the leases treat the HIU and FCU units within flats as part of the demised premises. The 8 Artillery Row Residents’ Guide (sections 8.2 and 8.3) confirms that the maintenance of these in-flat units is the responsibility of apartment owners. Mr Raymond Gubbay CBE, one of the Applicants, has kept contemporaneous records of in-flat HIU/FCU servicing over the years which he arranged himself on that understanding.</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A quarterly Heat Interface invoice dated 28 February 2023, which we have obtained, shows that approximately half of the charge relates to in-flat HIU/FCU servicing and half to boiler/plant-room checks. If, as the Respondent asserts, HIU/FCU servicing had been added to the communal contract from 2018 onwards, it is difficult to reconcile this with the fact that the overall Heat Interface contract values are broadly similar before and after 2018, actually dropping by around 20% in 2020 and then increasing sharply only from 2022. The pattern does not support the Respondent’s suggestion that there is a clear, additional contract in place for demised-apparatus servicing.</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In any event, even if some element of shared HIU/FCU work were capable of recovery through the service charge (which is not accepted), the Respondent has failed to disclose any contract, tender documentation or cost allocation showing that the present charges are reasonable or that any discount is applied to reflect the demised nature of much of the work.</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Finally, I reiterate that the plant room itself is part of the Building and Common Parts as defined in the leases and serves both the residential flats and the ground-floor commercial unit. Any genuine plant-room maintenance that the Tribunal finds to be reasonably incurred should therefore be charged through the Building Service Charge and apportioned between all benefiting premises, including the retail unit, with appropriate credits under clause 4.2.9 for any contributions received. There is no justification for loading all such costs exclusively onto the residential Apartments Service Charge.</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Fire systems – multiple contractors and unclear allocation</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The fire-safety systems (sprinklers, dry risers, alarms, controls) appear to be serviced and repaired by at least three different firms.  FAFS Ltd carry out the maintenance of the alarms, fire panels and related items. The sprinklers appears to be maintained by two companies: Heat Interface carrying out brief visual checks to sprinkler heads; Dry Risers Direct Ltd undertaking formal BS9251:2021 sprinkler testing and flow checks.  It is not clear how much does Heat Interface charge for this service, but it is the Applicants view that Dry Risers Direct carry out a thorough servicing of the sprinklers and any charges that Heat Interface invoice are not reasonable. (exhibit KH2 pages 1107-1118)</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The Respondent has not provided a clear breakdown of which contractor is responsible for which element of the fire systems, how the scopes overlap, or how costs are allocated between “Mech &amp; Plant Maintenance”, “BMS Maintenance” and “H&amp;S/Fire” headings. It is not clear why one competent fire-systems firm could not perform all of these tasks, rather than paying three separate contractors. FAFS Limited can carry out all these tasks.  In particular, there is no explanation of why Heat Interface is paid to undertake annual visual sprinkler checks when Dry Risers Direct already inspects the same sprinkler system twice a year. In my view this fragmented and opaque approach increases the risk of duplication and makes it impossible for leaseholders – or the Tribunal – to see whether the overall cost of maintaining fire systems is reasonable and properly controlled.</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Roof and leak repairs; missing credits</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The SCP reports show significant expenditure on roof works and leak investigation, including substantial payments to contractors such as Sandhurst Plumbing, Integra Technical, Simon Levy and AAM Maintenance for roof remedial works and water-ingress investigations affecting the Penthouse and other flats. For example, the accounts record Sandhurst Plumbing invoices of approximately £2,009 and £2,500, Simon Levy invoices of approximately £9,988 and £2,843.33 and a further “repairs” fee of £25,553, all coded under roof or leak-related headings. SPREADSHEET ++++</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At the same time, correspondence from the managing agents refers to: (a) a credit of around £5,500 said to have been received from the developer or building-defects process in respect of Penthouse leaks; and (b) an insurance claim payment relating to an expansion-vessel failure and major leak in winter 2021. Despite these assurances, I have been unable to identify either the alleged £5,500 defects credit or any clear insurance-claim receipts in the reconciliation accounts for 2021–2022. Substantial sums have plainly been paid out, but there is no transparent matching credit for defects or insurance recoveries. The Applicants are therefore being asked to meet the full cost of roof and leak remedials, contrary to what has been indicated in correspondence.</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The roof-repair saga itself has been prolonged and unsatisfactory. Various contractors have been sent out over a period of years to apply silicone sealants and similar “sticking-plaster” solutions rather than undertaking a proper remedial scheme. The surveyor’s fees for overseeing these works are of a similar order to the builders’ costs, which in my view is disproportionate for repeated patch repairs. In the Scott Schedule the Respondent states that further details are being sought from insurers, yet this is now more than four years after the major leak event. This again suggests a lack of effective tracking of claims and recoveries.</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In addition, the SCP reports show that certain roof- and structure-related items are being coded entirely to the “Apartments” service-charge account, with no contribution from the ground-floor retail unit. By contrast, other building-wide items such as satellite-aerial maintenance, pest control, communal electricity and H&amp;S/fire expenditures are correctly treated as Building costs to which the retail space contributes. There is no logical reason why roof repairs and associated water-ingress works should be treated as apartments-only expenditure. Under the leases, the roof and structure are part of the Building, and any repair costs should be apportioned in accordance with the Building Service Charge, with the retail unit paying its proper share.</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Mr Raymond Gubbay CBE, one of the Applicants, has maintained contemporaneous records of roof-repair attendances and correspondence with surveyors and contractors, including his email of 12 January 2022 raising concerns about the quality of earlier roof repairs. Those records support the view that some of the roof works now being charged may in substance be repeat works to remedy earlier defective repairs, for which leaseholders should not be asked to pay again. (Exhibit KH2 XXX and spreadsheet XXX) EXPAND ON WHAT YOURE CLAIMING</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To this date, there are still problems with the roof and Mr Gubbay has recently reported damage to the ceiling in the same area.</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Engineering insurance, BMS maintenance and the 2021 flood</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The service-charge accounts show that from around 2020 the Respondent decided to take out “engineering insurance” in addition to standard buildings cover. This change in scope and cost of insurance was not clearly notified to leaseholders or estimated in advance. More importantly, there is no evidence that major plant breakdowns and lift failures have actually been claimed under that policy. Instead, significant plant-failure costs have been charged directly to the service charge.</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A notable example is the major flood in winter 2021. Leaseholders were charged for a “temporary expansion vessel” at a cost of £6,187.66, together with various consequential works and a new BMS panel associated with the incident. Market information indicates that a permanent replacement vessel of the same model costs in the region of £1,000 (exhibit KH2 pages 1112). The so-called “temporary” vessel remains installed in the plant room and continues to be used; it was plainly bought and kept in situ as part of the permanent system (exhibit KH2 pages 1120-1121). The Respondent has not disclosed any underlying invoices or a breakdown of how the £6,187.66 was calculated.  DO A SUMMARY HERE OF ALL COSTS; AS THEYRE across all 3 recon sheets</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On 30 December 2021, only a few weeks later, there is an entry on the reconciliation account for an invoice by Heat Interface for 3,672 pounds with a description “water tank servicing”.  It is not clear if this should be part of the maintenance contract for the plant room, or part of the larger insurance claim that the Respondent is seeking more details, or indeed a separate issue.  No invoices has been disclosed and no insurance reconciliation statement has been provided.</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In correspondence and in its Scott Schedule response, the Respondent states that a credit of £9,479 was received from Zurich Insurance in 2022 “to cover the temporary expansion vessel” and that the position is still being investigated several years later. No insurance schedule, claim form, loss adjuster’s report or remittance advice has been produced to show what the Zurich payment related to, whether it covered only the vessel or wider damage, and how (or whether) it has been credited through the service-charge accounts. Given the size of the claimed insurance credit, the continuing absence of clear evidence is troubling.</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Similarly, in relation to multiple leaks affecting the Penthouse and other areas in 2022, a letter from Mr Meir Dove dated 22 June 2022 stated that the insurers were expected to pay £5,500 towards remedial works and that any excess would be dealt with through the service charge. There is, however, no corresponding credit entry visible in the 2022 or 2023 reconciliations and no explanation in the Respondent’s evidence of how that £5,500 has been applied. The Respondent now says only that it is “liaising with insurers”. After more than three years, this again suggests a lack of proper tracking of insurance claims and of ensuring that any recoveries are credited back to leaseholders.</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A further example is the expenditure of £8,610 described as “BMS maintenance” in the 2020 Apartments Service Charge reconciliation. In the Scott Schedule response the Respondent’s solicitors state that “this contract does not exceed one year” and therefore say no consultation was required. However, no copy of the contract, specification, tender comparison or invoices has been disclosed, despite my specific request for “contracts, reconciliation statements, invoices and section 20 notices”. This appears to be a one-off high-value item in 2020, with no equivalent charges in other years, and I remain unclear why the Respondent entered into a single-year contract at that level of cost without consultation or explanation. In the absence of supporting documentation, the Applicants are simply asked to trust that the Respondent’s characterisation is accurate.</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Taken together, the unexplained one-off BMS “maintenance” contract, the costly “temporary” expansion vessel and associated BMS works, and the missing or unexplained insurance credits reinforce my concern that there is no effective system of accountability or continuous checking of major maintenance expenditure. Significant sums are committed without clear justification, and when insurers do pay out, there is inadequate evidence that those monies are being passed back to the service-charge accounts for the benefit of leaseholders.</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Overall assessment</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When one looks across the various maintenance-related headings in the Scott Schedule – Mech &amp; Plant Maintenance, BMS Maintenance, Roof Repairs, Repairs &amp; Maintenance, Fire/H&amp;S and related items – a clear pattern emerges:</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An inconsistent charging os expenses across the various service charge headings.  Leaks, flood repairs and maintenance are charged across both Building and Apartment service charge accounts, with no clear demarcation as to why certain leaks are a matter for apartments whilst others are a matter for the whole bulding.  Indeed the roof repairs are charged to the Apartment Service charge accounts when it is the Applicant view that these should be charged to the Building Service charge account.  To assist the Tribunal, I have prepared a summary of Plant, Mech and General Maintenance spreadsheet. (see exhibit KH2 XXXXXX)</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High and volatile annual spend, with no consistent planned-maintenance regime demonstrated;</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Multiple overlapping contractors (particularly Heat Interface, AES, Dry Risers and fire-system firms) without clear demarcation of responsibilities;</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Service reports that repeatedly flag the same problems year after year, with no clear evidence of follow-up or closure;</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Plant-room servicing that appears to be billed more frequently than the disclosed service records support; and</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A lack of transparency over defects and insurance credits, which appear to have been promised in correspondence but are not clearly reflected in the accounts.</w:t>
      </w:r>
      <w:r>
        <w:rPr>
          <w:rFonts w:ascii="Times New Roman" w:hAnsi="Times New Roman" w:cs="Times New Roman"/>
          <w:sz w:val="24"/>
          <w:sz-cs w:val="24"/>
        </w:rPr>
        <w:t xml:space="preserve"/>
      </w:r>
    </w:p>
    <w:p>
      <w:pPr>
        <w:jc w:val="both"/>
        <w:ind w:left="480"/>
        <w:spacing w:after="240"/>
      </w:pPr>
      <w:r>
        <w:rPr>
          <w:rFonts w:ascii="Times New Roman" w:hAnsi="Times New Roman" w:cs="Times New Roman"/>
          <w:sz w:val="24"/>
          <w:sz-cs w:val="24"/>
        </w:rPr>
        <w:t xml:space="preserve">In my submission, the Respondent has not shown that these maintenance and repair costs have been “reasonably incurred” within the meaning of section 19 of the Landlord and Tenant Act 1985. At the very least, I invite the Tribunal to scrutinise these headings closely, to disallow any elements that represent duplicated work, repeat repairs due to earlier poor workmanship, or costs that ought to have been met by defects/insurance recoveries, and to make such directions as are necessary to ensure that future maintenance is carried out on a planned, transparent and genuinely preventative basis rather than through expensive, ad hoc interventions.</w:t>
      </w:r>
      <w:r>
        <w:rPr>
          <w:rFonts w:ascii="Times New Roman" w:hAnsi="Times New Roman" w:cs="Times New Roman"/>
          <w:sz w:val="24"/>
          <w:sz-cs w:val="24"/>
        </w:rPr>
        <w:t xml:space="preserve"/>
      </w:r>
    </w:p>
    <w:p>
      <w:pPr>
        <w:jc w:val="both"/>
        <w:ind w:left="480"/>
        <w:spacing w:before="100" w:after="240"/>
      </w:pPr>
      <w:r>
        <w:rPr>
          <w:rFonts w:ascii="Times New Roman" w:hAnsi="Times New Roman" w:cs="Times New Roman"/>
          <w:sz w:val="24"/>
          <w:sz-cs w:val="24"/>
        </w:rPr>
        <w:t xml:space="preserve">sdfkhsflkjashlkj</w:t>
      </w:r>
      <w:r>
        <w:rPr>
          <w:rFonts w:ascii="Times New Roman" w:hAnsi="Times New Roman" w:cs="Times New Roman"/>
          <w:sz w:val="24"/>
          <w:sz-cs w:val="24"/>
        </w:rPr>
        <w:t xml:space="preserve"/>
      </w:r>
    </w:p>
    <w:sectPr/>
  </w:body>
</w:document>
</file>

<file path=word/numbering.xml><?xml version="1.0" encoding="utf-8"?>
<w:numbering xmlns:w="http://schemas.openxmlformats.org/wordprocessingml/2006/main">
  <w:abstractNum w:abstractNumId="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abstractNum>
  <w:num w:numId="1">
    <w:abstractNumId w:val="0"/>
  </w:num>
</w:numbering>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  <Relationship Id="rIdNumbering" Type="http://schemas.openxmlformats.org/officeDocument/2006/relationships/numbering" Target="numbering.xml"/>
</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CocoaOOXMLWriter/2685.2</generator>
</meta>
</file>