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jc w:val="center"/>
      </w:pPr>
      <w:r>
        <w:rPr>
          <w:b/>
          <w:sz w:val="32"/>
        </w:rPr>
        <w:t>Assignment 2 - Git &amp; GitHub Fundamentals</w:t>
      </w:r>
    </w:p>
    <w:p>
      <w:pPr>
        <w:keepLines/>
        <w:jc w:val="center"/>
      </w:pPr>
      <w:r>
        <w:rPr>
          <w:b/>
          <w:sz w:val="28"/>
        </w:rPr>
        <w:t>Group Report</w:t>
      </w:r>
    </w:p>
    <w:p>
      <w:pPr>
        <w:keepLines/>
        <w:jc w:val="center"/>
      </w:pPr>
      <w:r>
        <w:rPr>
          <w:b w:val="0"/>
        </w:rPr>
        <w:t>GitHub Collaboration &amp; Automation</w:t>
      </w:r>
    </w:p>
    <w:p>
      <w:pPr>
        <w:keepLines/>
        <w:jc w:val="center"/>
      </w:pPr>
      <w:r>
        <w:rPr>
          <w:b w:val="0"/>
          <w:sz w:val="28"/>
        </w:rPr>
        <w:t>Unit Converter</w:t>
      </w:r>
    </w:p>
    <w:p/>
    <w:tbl>
      <w:tblPr>
        <w:tblStyle w:val="TableGrid"/>
        <w:tblW w:type="auto" w:w="0"/>
        <w:jc w:val="center"/>
        <w:tblLayout w:type="fixed"/>
        <w:tblLook w:firstColumn="1" w:firstRow="1" w:lastColumn="0" w:lastRow="0" w:noHBand="0" w:noVBand="1" w:val="04A0"/>
      </w:tblPr>
      <w:tblGrid>
        <w:gridCol w:w="2448"/>
        <w:gridCol w:w="6480"/>
      </w:tblGrid>
      <w:tr>
        <w:trPr>
          <w:tblHeader w:val="true"/>
          <w:cantSplit/>
        </w:trPr>
        <w:tc>
          <w:tcPr>
            <w:tcW w:type="dxa" w:w="2448"/>
            <w:vAlign w:val="center"/>
          </w:tcPr>
          <w:p>
            <w:pPr>
              <w:spacing w:line="252" w:lineRule="auto" w:after="80" w:before="80"/>
            </w:pPr>
            <w:r>
              <w:rPr>
                <w:rFonts w:ascii="Times New Roman" w:hAnsi="Times New Roman"/>
                <w:b/>
                <w:color w:val="000000"/>
                <w:sz w:val="21"/>
              </w:rPr>
              <w:t>Field</w:t>
            </w:r>
          </w:p>
        </w:tc>
        <w:tc>
          <w:tcPr>
            <w:tcW w:type="dxa" w:w="6480"/>
            <w:vAlign w:val="center"/>
          </w:tcPr>
          <w:p>
            <w:pPr>
              <w:spacing w:line="252" w:lineRule="auto" w:after="80" w:before="80"/>
            </w:pPr>
            <w:r>
              <w:rPr>
                <w:rFonts w:ascii="Times New Roman" w:hAnsi="Times New Roman"/>
                <w:b/>
                <w:color w:val="000000"/>
                <w:sz w:val="21"/>
              </w:rPr>
              <w:t>Details</w:t>
            </w:r>
          </w:p>
        </w:tc>
      </w:tr>
      <w:tr>
        <w:trPr>
          <w:cantSplit/>
        </w:trPr>
        <w:tc>
          <w:tcPr>
            <w:tcW w:type="dxa" w:w="2448"/>
            <w:vAlign w:val="center"/>
          </w:tcPr>
          <w:p>
            <w:pPr>
              <w:spacing w:line="252" w:lineRule="auto" w:after="80" w:before="80"/>
            </w:pPr>
            <w:r>
              <w:rPr>
                <w:rFonts w:ascii="Times New Roman" w:hAnsi="Times New Roman"/>
                <w:b w:val="0"/>
                <w:color w:val="000000"/>
                <w:sz w:val="21"/>
              </w:rPr>
              <w:t>Group Size</w:t>
            </w:r>
          </w:p>
        </w:tc>
        <w:tc>
          <w:tcPr>
            <w:tcW w:type="dxa" w:w="6480"/>
            <w:vAlign w:val="center"/>
          </w:tcPr>
          <w:p>
            <w:pPr>
              <w:spacing w:line="252" w:lineRule="auto" w:after="80" w:before="80"/>
            </w:pPr>
            <w:r>
              <w:rPr>
                <w:rFonts w:ascii="Times New Roman" w:hAnsi="Times New Roman"/>
                <w:b w:val="0"/>
                <w:color w:val="000000"/>
                <w:sz w:val="21"/>
              </w:rPr>
              <w:t>3 members</w:t>
            </w:r>
          </w:p>
        </w:tc>
      </w:tr>
      <w:tr>
        <w:trPr>
          <w:cantSplit/>
        </w:trPr>
        <w:tc>
          <w:tcPr>
            <w:tcW w:type="dxa" w:w="2448"/>
            <w:vAlign w:val="center"/>
          </w:tcPr>
          <w:p>
            <w:pPr>
              <w:spacing w:line="252" w:lineRule="auto" w:after="80" w:before="80"/>
            </w:pPr>
            <w:r>
              <w:rPr>
                <w:rFonts w:ascii="Times New Roman" w:hAnsi="Times New Roman"/>
                <w:b w:val="0"/>
                <w:color w:val="000000"/>
                <w:sz w:val="21"/>
              </w:rPr>
              <w:t>Chosen Theme</w:t>
            </w:r>
          </w:p>
        </w:tc>
        <w:tc>
          <w:tcPr>
            <w:tcW w:type="dxa" w:w="6480"/>
            <w:vAlign w:val="center"/>
          </w:tcPr>
          <w:p>
            <w:pPr>
              <w:spacing w:line="252" w:lineRule="auto" w:after="80" w:before="80"/>
            </w:pPr>
            <w:r>
              <w:rPr>
                <w:rFonts w:ascii="Times New Roman" w:hAnsi="Times New Roman"/>
                <w:b w:val="0"/>
                <w:color w:val="000000"/>
                <w:sz w:val="21"/>
              </w:rPr>
              <w:t>Unit Converter</w:t>
            </w:r>
          </w:p>
        </w:tc>
      </w:tr>
      <w:tr>
        <w:trPr>
          <w:cantSplit/>
        </w:trPr>
        <w:tc>
          <w:tcPr>
            <w:tcW w:type="dxa" w:w="2448"/>
            <w:vAlign w:val="center"/>
          </w:tcPr>
          <w:p>
            <w:pPr>
              <w:spacing w:line="252" w:lineRule="auto" w:after="80" w:before="80"/>
            </w:pPr>
            <w:r>
              <w:rPr>
                <w:rFonts w:ascii="Times New Roman" w:hAnsi="Times New Roman"/>
                <w:b w:val="0"/>
                <w:color w:val="000000"/>
                <w:sz w:val="21"/>
              </w:rPr>
              <w:t>Full Names</w:t>
            </w:r>
          </w:p>
        </w:tc>
        <w:tc>
          <w:tcPr>
            <w:tcW w:type="dxa" w:w="6480"/>
            <w:vAlign w:val="center"/>
          </w:tcPr>
          <w:p>
            <w:pPr>
              <w:spacing w:line="252" w:lineRule="auto" w:after="80" w:before="80"/>
            </w:pPr>
            <w:r>
              <w:rPr>
                <w:rFonts w:ascii="Times New Roman" w:hAnsi="Times New Roman"/>
                <w:b w:val="0"/>
                <w:color w:val="000000"/>
                <w:sz w:val="21"/>
              </w:rPr>
              <w:t>Sara Benslimane; Amr Kabelma; Mira Negra</w:t>
            </w:r>
          </w:p>
        </w:tc>
      </w:tr>
      <w:tr>
        <w:trPr>
          <w:cantSplit/>
        </w:trPr>
        <w:tc>
          <w:tcPr>
            <w:tcW w:type="dxa" w:w="2448"/>
            <w:vAlign w:val="center"/>
          </w:tcPr>
          <w:p>
            <w:pPr>
              <w:spacing w:line="252" w:lineRule="auto" w:after="80" w:before="80"/>
            </w:pPr>
            <w:r>
              <w:rPr>
                <w:rFonts w:ascii="Times New Roman" w:hAnsi="Times New Roman"/>
                <w:b w:val="0"/>
                <w:color w:val="000000"/>
                <w:sz w:val="21"/>
              </w:rPr>
              <w:t>Student IDs</w:t>
            </w:r>
          </w:p>
        </w:tc>
        <w:tc>
          <w:tcPr>
            <w:tcW w:type="dxa" w:w="6480"/>
            <w:vAlign w:val="center"/>
          </w:tcPr>
          <w:p>
            <w:pPr>
              <w:spacing w:line="252" w:lineRule="auto" w:after="80" w:before="80"/>
            </w:pPr>
            <w:r>
              <w:rPr>
                <w:rFonts w:ascii="Times New Roman" w:hAnsi="Times New Roman"/>
                <w:b w:val="0"/>
                <w:color w:val="000000"/>
                <w:sz w:val="21"/>
              </w:rPr>
              <w:t>Sara Benslimane: 161206</w:t>
              <w:br/>
              <w:t>Amr Kabelma: 145927</w:t>
              <w:br/>
              <w:t>Mira Negra: 157694</w:t>
            </w:r>
          </w:p>
        </w:tc>
      </w:tr>
      <w:tr>
        <w:trPr>
          <w:cantSplit/>
        </w:trPr>
        <w:tc>
          <w:tcPr>
            <w:tcW w:type="dxa" w:w="2448"/>
            <w:vAlign w:val="center"/>
          </w:tcPr>
          <w:p>
            <w:pPr>
              <w:spacing w:line="252" w:lineRule="auto" w:after="80" w:before="80"/>
            </w:pPr>
            <w:r>
              <w:rPr>
                <w:rFonts w:ascii="Times New Roman" w:hAnsi="Times New Roman"/>
                <w:b w:val="0"/>
                <w:color w:val="000000"/>
                <w:sz w:val="21"/>
              </w:rPr>
              <w:t>Course Code</w:t>
            </w:r>
          </w:p>
        </w:tc>
        <w:tc>
          <w:tcPr>
            <w:tcW w:type="dxa" w:w="6480"/>
            <w:vAlign w:val="center"/>
          </w:tcPr>
          <w:p>
            <w:pPr>
              <w:spacing w:line="252" w:lineRule="auto" w:after="80" w:before="80"/>
            </w:pPr>
            <w:r>
              <w:rPr>
                <w:rFonts w:ascii="Times New Roman" w:hAnsi="Times New Roman"/>
                <w:b w:val="0"/>
                <w:color w:val="000000"/>
                <w:sz w:val="21"/>
              </w:rPr>
              <w:t>CSC3324 - Software Engineering</w:t>
            </w:r>
          </w:p>
        </w:tc>
      </w:tr>
      <w:tr>
        <w:trPr>
          <w:cantSplit/>
        </w:trPr>
        <w:tc>
          <w:tcPr>
            <w:tcW w:type="dxa" w:w="2448"/>
            <w:vAlign w:val="center"/>
          </w:tcPr>
          <w:p>
            <w:pPr>
              <w:spacing w:line="252" w:lineRule="auto" w:after="80" w:before="80"/>
            </w:pPr>
            <w:r>
              <w:rPr>
                <w:rFonts w:ascii="Times New Roman" w:hAnsi="Times New Roman"/>
                <w:b w:val="0"/>
                <w:color w:val="000000"/>
                <w:sz w:val="21"/>
              </w:rPr>
              <w:t>GitHub Usernames</w:t>
            </w:r>
          </w:p>
        </w:tc>
        <w:tc>
          <w:tcPr>
            <w:tcW w:type="dxa" w:w="6480"/>
            <w:vAlign w:val="center"/>
          </w:tcPr>
          <w:p>
            <w:pPr>
              <w:spacing w:line="252" w:lineRule="auto" w:after="80" w:before="80"/>
            </w:pPr>
            <w:r>
              <w:rPr>
                <w:rFonts w:ascii="Times New Roman" w:hAnsi="Times New Roman"/>
                <w:b w:val="0"/>
                <w:color w:val="000000"/>
                <w:sz w:val="21"/>
              </w:rPr>
              <w:t>Sara Benslimane: sarabenslimane14</w:t>
              <w:br/>
              <w:t>Amr Kabelma: KBLLL05</w:t>
              <w:br/>
              <w:t>Mira Negra: Amramix108</w:t>
            </w:r>
          </w:p>
        </w:tc>
      </w:tr>
      <w:tr>
        <w:trPr>
          <w:cantSplit/>
        </w:trPr>
        <w:tc>
          <w:tcPr>
            <w:tcW w:type="dxa" w:w="2448"/>
            <w:vAlign w:val="center"/>
          </w:tcPr>
          <w:p>
            <w:pPr>
              <w:spacing w:line="252" w:lineRule="auto" w:after="80" w:before="80"/>
            </w:pPr>
            <w:r>
              <w:rPr>
                <w:rFonts w:ascii="Times New Roman" w:hAnsi="Times New Roman"/>
                <w:b w:val="0"/>
                <w:color w:val="000000"/>
                <w:sz w:val="21"/>
              </w:rPr>
              <w:t>GitHub Repository URL</w:t>
            </w:r>
          </w:p>
        </w:tc>
        <w:tc>
          <w:tcPr>
            <w:tcW w:type="dxa" w:w="6480"/>
            <w:vAlign w:val="center"/>
          </w:tcPr>
          <w:p>
            <w:pPr>
              <w:spacing w:line="252" w:lineRule="auto" w:after="80" w:before="80"/>
            </w:pPr>
            <w:r>
              <w:rPr>
                <w:rFonts w:ascii="Times New Roman" w:hAnsi="Times New Roman"/>
                <w:b w:val="0"/>
                <w:color w:val="000000"/>
                <w:sz w:val="21"/>
              </w:rPr>
              <w:t>https://github.com/KBLLL05/unit-converter</w:t>
            </w:r>
          </w:p>
        </w:tc>
      </w:tr>
      <w:tr>
        <w:trPr>
          <w:cantSplit/>
        </w:trPr>
        <w:tc>
          <w:tcPr>
            <w:tcW w:type="dxa" w:w="2448"/>
            <w:vAlign w:val="center"/>
          </w:tcPr>
          <w:p>
            <w:pPr>
              <w:spacing w:line="252" w:lineRule="auto" w:after="80" w:before="80"/>
            </w:pPr>
            <w:r>
              <w:rPr>
                <w:rFonts w:ascii="Times New Roman" w:hAnsi="Times New Roman"/>
                <w:b w:val="0"/>
                <w:color w:val="000000"/>
                <w:sz w:val="21"/>
              </w:rPr>
              <w:t>GitHub Pages Target URL</w:t>
            </w:r>
          </w:p>
        </w:tc>
        <w:tc>
          <w:tcPr>
            <w:tcW w:type="dxa" w:w="6480"/>
            <w:vAlign w:val="center"/>
          </w:tcPr>
          <w:p>
            <w:pPr>
              <w:spacing w:line="252" w:lineRule="auto" w:after="80" w:before="80"/>
            </w:pPr>
            <w:r>
              <w:rPr>
                <w:rFonts w:ascii="Times New Roman" w:hAnsi="Times New Roman"/>
                <w:b w:val="0"/>
                <w:color w:val="000000"/>
                <w:sz w:val="21"/>
              </w:rPr>
              <w:t>https://kblll05.github.io/unit-converter/</w:t>
            </w:r>
          </w:p>
        </w:tc>
      </w:tr>
    </w:tbl>
    <w:p>
      <w:pPr>
        <w:spacing w:after="0"/>
      </w:pPr>
    </w:p>
    <w:p>
      <w:pPr>
        <w:keepLines/>
        <w:jc w:val="center"/>
      </w:pPr>
      <w:r>
        <w:rPr>
          <w:b w:val="0"/>
        </w:rPr>
        <w:t>28 October 2026</w:t>
      </w:r>
    </w:p>
    <w:p>
      <w:pPr>
        <w:sectPr>
          <w:pgSz w:w="11906" w:h="16838"/>
          <w:pgMar w:top="1440" w:right="1440" w:bottom="1440" w:left="1440" w:header="576" w:footer="576" w:gutter="0"/>
          <w:cols w:space="720"/>
          <w:docGrid w:linePitch="360"/>
        </w:sectPr>
      </w:pPr>
    </w:p>
    <w:p>
      <w:pPr>
        <w:pStyle w:val="Heading1"/>
      </w:pPr>
      <w:r>
        <w:t>1. Project &amp; Role Distribution</w:t>
      </w:r>
    </w:p>
    <w:p>
      <w:pPr>
        <w:keepLines/>
      </w:pPr>
      <w:r>
        <w:rPr>
          <w:b w:val="0"/>
        </w:rPr>
        <w:t>The group followed the three-member path and developed a Python unit converter with three comparable feature areas. Amr implemented temperature conversion, Sara implemented length conversion and continuous integration, and Mira implemented weight conversion and the static project page. Each member developed program logic and unit tests on a separate feature branch.</w:t>
      </w:r>
    </w:p>
    <w:tbl>
      <w:tblPr>
        <w:tblStyle w:val="TableGrid"/>
        <w:tblW w:type="auto" w:w="0"/>
        <w:jc w:val="center"/>
        <w:tblLayout w:type="fixed"/>
        <w:tblLook w:firstColumn="1" w:firstRow="1" w:lastColumn="0" w:lastRow="0" w:noHBand="0" w:noVBand="1" w:val="04A0"/>
      </w:tblPr>
      <w:tblGrid>
        <w:gridCol w:w="1872"/>
        <w:gridCol w:w="3168"/>
        <w:gridCol w:w="3888"/>
      </w:tblGrid>
      <w:tr>
        <w:trPr>
          <w:tblHeader w:val="true"/>
          <w:cantSplit/>
        </w:trPr>
        <w:tc>
          <w:tcPr>
            <w:tcW w:type="dxa" w:w="1872"/>
            <w:vAlign w:val="center"/>
          </w:tcPr>
          <w:p>
            <w:pPr>
              <w:spacing w:line="252" w:lineRule="auto" w:after="80" w:before="80"/>
            </w:pPr>
            <w:r>
              <w:rPr>
                <w:rFonts w:ascii="Times New Roman" w:hAnsi="Times New Roman"/>
                <w:b/>
                <w:color w:val="000000"/>
                <w:sz w:val="21"/>
              </w:rPr>
              <w:t>Member</w:t>
            </w:r>
          </w:p>
        </w:tc>
        <w:tc>
          <w:tcPr>
            <w:tcW w:type="dxa" w:w="3168"/>
            <w:vAlign w:val="center"/>
          </w:tcPr>
          <w:p>
            <w:pPr>
              <w:spacing w:line="252" w:lineRule="auto" w:after="80" w:before="80"/>
            </w:pPr>
            <w:r>
              <w:rPr>
                <w:rFonts w:ascii="Times New Roman" w:hAnsi="Times New Roman"/>
                <w:b/>
                <w:color w:val="000000"/>
                <w:sz w:val="21"/>
              </w:rPr>
              <w:t>Feature area</w:t>
            </w:r>
          </w:p>
        </w:tc>
        <w:tc>
          <w:tcPr>
            <w:tcW w:type="dxa" w:w="3888"/>
            <w:vAlign w:val="center"/>
          </w:tcPr>
          <w:p>
            <w:pPr>
              <w:spacing w:line="252" w:lineRule="auto" w:after="80" w:before="80"/>
            </w:pPr>
            <w:r>
              <w:rPr>
                <w:rFonts w:ascii="Times New Roman" w:hAnsi="Times New Roman"/>
                <w:b/>
                <w:color w:val="000000"/>
                <w:sz w:val="21"/>
              </w:rPr>
              <w:t>Additional responsibility</w:t>
            </w:r>
          </w:p>
        </w:tc>
      </w:tr>
      <w:tr>
        <w:trPr>
          <w:cantSplit/>
        </w:trPr>
        <w:tc>
          <w:tcPr>
            <w:tcW w:type="dxa" w:w="1872"/>
            <w:vAlign w:val="center"/>
          </w:tcPr>
          <w:p>
            <w:pPr>
              <w:spacing w:line="252" w:lineRule="auto" w:after="80" w:before="80"/>
            </w:pPr>
            <w:r>
              <w:rPr>
                <w:rFonts w:ascii="Times New Roman" w:hAnsi="Times New Roman"/>
                <w:b w:val="0"/>
                <w:color w:val="000000"/>
                <w:sz w:val="21"/>
              </w:rPr>
              <w:t>Amr Kabelma</w:t>
            </w:r>
          </w:p>
        </w:tc>
        <w:tc>
          <w:tcPr>
            <w:tcW w:type="dxa" w:w="3168"/>
            <w:vAlign w:val="center"/>
          </w:tcPr>
          <w:p>
            <w:pPr>
              <w:spacing w:line="252" w:lineRule="auto" w:after="80" w:before="80"/>
            </w:pPr>
            <w:r>
              <w:rPr>
                <w:rFonts w:ascii="Times New Roman" w:hAnsi="Times New Roman"/>
                <w:b w:val="0"/>
                <w:color w:val="000000"/>
                <w:sz w:val="21"/>
              </w:rPr>
              <w:t>Celsius and Fahrenheit</w:t>
            </w:r>
          </w:p>
        </w:tc>
        <w:tc>
          <w:tcPr>
            <w:tcW w:type="dxa" w:w="3888"/>
            <w:vAlign w:val="center"/>
          </w:tcPr>
          <w:p>
            <w:pPr>
              <w:spacing w:line="252" w:lineRule="auto" w:after="80" w:before="80"/>
            </w:pPr>
            <w:r>
              <w:rPr>
                <w:rFonts w:ascii="Times New Roman" w:hAnsi="Times New Roman"/>
                <w:b w:val="0"/>
                <w:color w:val="000000"/>
                <w:sz w:val="21"/>
              </w:rPr>
              <w:t>Repository setup and code review.</w:t>
            </w:r>
          </w:p>
        </w:tc>
      </w:tr>
      <w:tr>
        <w:trPr>
          <w:cantSplit/>
        </w:trPr>
        <w:tc>
          <w:tcPr>
            <w:tcW w:type="dxa" w:w="1872"/>
            <w:vAlign w:val="center"/>
          </w:tcPr>
          <w:p>
            <w:pPr>
              <w:spacing w:line="252" w:lineRule="auto" w:after="80" w:before="80"/>
            </w:pPr>
            <w:r>
              <w:rPr>
                <w:rFonts w:ascii="Times New Roman" w:hAnsi="Times New Roman"/>
                <w:b w:val="0"/>
                <w:color w:val="000000"/>
                <w:sz w:val="21"/>
              </w:rPr>
              <w:t>Sara Benslimane</w:t>
            </w:r>
          </w:p>
        </w:tc>
        <w:tc>
          <w:tcPr>
            <w:tcW w:type="dxa" w:w="3168"/>
            <w:vAlign w:val="center"/>
          </w:tcPr>
          <w:p>
            <w:pPr>
              <w:spacing w:line="252" w:lineRule="auto" w:after="80" w:before="80"/>
            </w:pPr>
            <w:r>
              <w:rPr>
                <w:rFonts w:ascii="Times New Roman" w:hAnsi="Times New Roman"/>
                <w:b w:val="0"/>
                <w:color w:val="000000"/>
                <w:sz w:val="21"/>
              </w:rPr>
              <w:t>Metres, kilometres, and miles</w:t>
            </w:r>
          </w:p>
        </w:tc>
        <w:tc>
          <w:tcPr>
            <w:tcW w:type="dxa" w:w="3888"/>
            <w:vAlign w:val="center"/>
          </w:tcPr>
          <w:p>
            <w:pPr>
              <w:spacing w:line="252" w:lineRule="auto" w:after="80" w:before="80"/>
            </w:pPr>
            <w:r>
              <w:rPr>
                <w:rFonts w:ascii="Times New Roman" w:hAnsi="Times New Roman"/>
                <w:b w:val="0"/>
                <w:color w:val="000000"/>
                <w:sz w:val="21"/>
              </w:rPr>
              <w:t>GitHub Actions workflow and validation reviews.</w:t>
            </w:r>
          </w:p>
        </w:tc>
      </w:tr>
      <w:tr>
        <w:trPr>
          <w:cantSplit/>
        </w:trPr>
        <w:tc>
          <w:tcPr>
            <w:tcW w:type="dxa" w:w="1872"/>
            <w:vAlign w:val="center"/>
          </w:tcPr>
          <w:p>
            <w:pPr>
              <w:spacing w:line="252" w:lineRule="auto" w:after="80" w:before="80"/>
            </w:pPr>
            <w:r>
              <w:rPr>
                <w:rFonts w:ascii="Times New Roman" w:hAnsi="Times New Roman"/>
                <w:b w:val="0"/>
                <w:color w:val="000000"/>
                <w:sz w:val="21"/>
              </w:rPr>
              <w:t>Mira Negra</w:t>
            </w:r>
          </w:p>
        </w:tc>
        <w:tc>
          <w:tcPr>
            <w:tcW w:type="dxa" w:w="3168"/>
            <w:vAlign w:val="center"/>
          </w:tcPr>
          <w:p>
            <w:pPr>
              <w:spacing w:line="252" w:lineRule="auto" w:after="80" w:before="80"/>
            </w:pPr>
            <w:r>
              <w:rPr>
                <w:rFonts w:ascii="Times New Roman" w:hAnsi="Times New Roman"/>
                <w:b w:val="0"/>
                <w:color w:val="000000"/>
                <w:sz w:val="21"/>
              </w:rPr>
              <w:t>Kilograms, grams, and pounds</w:t>
            </w:r>
          </w:p>
        </w:tc>
        <w:tc>
          <w:tcPr>
            <w:tcW w:type="dxa" w:w="3888"/>
            <w:vAlign w:val="center"/>
          </w:tcPr>
          <w:p>
            <w:pPr>
              <w:spacing w:line="252" w:lineRule="auto" w:after="80" w:before="80"/>
            </w:pPr>
            <w:r>
              <w:rPr>
                <w:rFonts w:ascii="Times New Roman" w:hAnsi="Times New Roman"/>
                <w:b w:val="0"/>
                <w:color w:val="000000"/>
                <w:sz w:val="21"/>
              </w:rPr>
              <w:t>Shared weight validation and project-page creation.</w:t>
            </w:r>
          </w:p>
        </w:tc>
      </w:tr>
    </w:tbl>
    <w:p>
      <w:pPr>
        <w:spacing w:after="0"/>
      </w:pPr>
    </w:p>
    <w:p>
      <w:pPr>
        <w:keepNext/>
        <w:spacing w:line="240" w:lineRule="auto" w:before="120" w:after="80"/>
        <w:jc w:val="center"/>
      </w:pPr>
      <w:r>
        <w:drawing>
          <wp:inline xmlns:a="http://schemas.openxmlformats.org/drawingml/2006/main" xmlns:pic="http://schemas.openxmlformats.org/drawingml/2006/picture">
            <wp:extent cx="5577840" cy="3486150"/>
            <wp:docPr id="1" name="Picture 1"/>
            <wp:cNvGraphicFramePr>
              <a:graphicFrameLocks noChangeAspect="1"/>
            </wp:cNvGraphicFramePr>
            <a:graphic>
              <a:graphicData uri="http://schemas.openxmlformats.org/drawingml/2006/picture">
                <pic:pic>
                  <pic:nvPicPr>
                    <pic:cNvPr id="0" name="archive2-02.png"/>
                    <pic:cNvPicPr/>
                  </pic:nvPicPr>
                  <pic:blipFill>
                    <a:blip r:embed="rId10"/>
                    <a:stretch>
                      <a:fillRect/>
                    </a:stretch>
                  </pic:blipFill>
                  <pic:spPr>
                    <a:xfrm>
                      <a:off x="0" y="0"/>
                      <a:ext cx="5577840" cy="3486150"/>
                    </a:xfrm>
                    <a:prstGeom prst="rect"/>
                  </pic:spPr>
                </pic:pic>
              </a:graphicData>
            </a:graphic>
          </wp:inline>
        </w:drawing>
      </w:r>
    </w:p>
    <w:p>
      <w:pPr>
        <w:pStyle w:val="Caption"/>
        <w:jc w:val="center"/>
      </w:pPr>
      <w:r>
        <w:t>Figure 1. Mira clones the shared repository and creates the feature/weight branch in her own local copy.</w:t>
      </w:r>
    </w:p>
    <w:p>
      <w:pPr>
        <w:pStyle w:val="Heading1"/>
      </w:pPr>
      <w:r>
        <w:t>2. Branches, Commits &amp; Contributions</w:t>
      </w:r>
    </w:p>
    <w:p>
      <w:pPr>
        <w:keepLines/>
      </w:pPr>
      <w:r>
        <w:rPr>
          <w:b w:val="0"/>
        </w:rPr>
        <w:t>All three members used feature branches and meaningful commits. Amr separated the temperature implementation from its tests and documentation. Sara added length logic and tests, configured the workflow, and committed later corrections on feature/length. Mira separated the initial weight logic and tests, then added a validation correction on feature/weight.</w:t>
      </w:r>
    </w:p>
    <w:tbl>
      <w:tblPr>
        <w:tblStyle w:val="TableGrid"/>
        <w:tblW w:type="auto" w:w="0"/>
        <w:jc w:val="center"/>
        <w:tblLayout w:type="fixed"/>
        <w:tblLook w:firstColumn="1" w:firstRow="1" w:lastColumn="0" w:lastRow="0" w:noHBand="0" w:noVBand="1" w:val="04A0"/>
      </w:tblPr>
      <w:tblGrid>
        <w:gridCol w:w="2736"/>
        <w:gridCol w:w="6192"/>
      </w:tblGrid>
      <w:tr>
        <w:trPr>
          <w:tblHeader w:val="true"/>
          <w:cantSplit/>
        </w:trPr>
        <w:tc>
          <w:tcPr>
            <w:tcW w:type="dxa" w:w="2736"/>
            <w:vAlign w:val="center"/>
          </w:tcPr>
          <w:p>
            <w:pPr>
              <w:spacing w:line="252" w:lineRule="auto" w:after="80" w:before="80"/>
            </w:pPr>
            <w:r>
              <w:rPr>
                <w:rFonts w:ascii="Times New Roman" w:hAnsi="Times New Roman"/>
                <w:b/>
                <w:color w:val="000000"/>
                <w:sz w:val="21"/>
              </w:rPr>
              <w:t>Member and branch</w:t>
            </w:r>
          </w:p>
        </w:tc>
        <w:tc>
          <w:tcPr>
            <w:tcW w:type="dxa" w:w="6192"/>
            <w:vAlign w:val="center"/>
          </w:tcPr>
          <w:p>
            <w:pPr>
              <w:spacing w:line="252" w:lineRule="auto" w:after="80" w:before="80"/>
            </w:pPr>
            <w:r>
              <w:rPr>
                <w:rFonts w:ascii="Times New Roman" w:hAnsi="Times New Roman"/>
                <w:b/>
                <w:color w:val="000000"/>
                <w:sz w:val="21"/>
              </w:rPr>
              <w:t>Selected meaningful commits</w:t>
            </w:r>
          </w:p>
        </w:tc>
      </w:tr>
      <w:tr>
        <w:trPr>
          <w:cantSplit/>
        </w:trPr>
        <w:tc>
          <w:tcPr>
            <w:tcW w:type="dxa" w:w="2736"/>
            <w:vAlign w:val="center"/>
          </w:tcPr>
          <w:p>
            <w:pPr>
              <w:spacing w:line="252" w:lineRule="auto" w:after="80" w:before="80"/>
            </w:pPr>
            <w:r>
              <w:rPr>
                <w:rFonts w:ascii="Times New Roman" w:hAnsi="Times New Roman"/>
                <w:b w:val="0"/>
                <w:color w:val="000000"/>
                <w:sz w:val="21"/>
              </w:rPr>
              <w:t>Amr: feature/temperature</w:t>
            </w:r>
          </w:p>
        </w:tc>
        <w:tc>
          <w:tcPr>
            <w:tcW w:type="dxa" w:w="6192"/>
            <w:vAlign w:val="center"/>
          </w:tcPr>
          <w:p>
            <w:pPr>
              <w:spacing w:line="252" w:lineRule="auto" w:after="80" w:before="80"/>
            </w:pPr>
            <w:r>
              <w:rPr>
                <w:rFonts w:ascii="Times New Roman" w:hAnsi="Times New Roman"/>
                <w:b w:val="0"/>
                <w:color w:val="000000"/>
                <w:sz w:val="21"/>
              </w:rPr>
              <w:t>a7278cd: Add bidirectional temperature conversion and validation.</w:t>
              <w:br/>
              <w:t>c9642c4: Add temperature tests and documentation.</w:t>
            </w:r>
          </w:p>
        </w:tc>
      </w:tr>
      <w:tr>
        <w:trPr>
          <w:cantSplit/>
        </w:trPr>
        <w:tc>
          <w:tcPr>
            <w:tcW w:type="dxa" w:w="2736"/>
            <w:vAlign w:val="center"/>
          </w:tcPr>
          <w:p>
            <w:pPr>
              <w:spacing w:line="252" w:lineRule="auto" w:after="80" w:before="80"/>
            </w:pPr>
            <w:r>
              <w:rPr>
                <w:rFonts w:ascii="Times New Roman" w:hAnsi="Times New Roman"/>
                <w:b w:val="0"/>
                <w:color w:val="000000"/>
                <w:sz w:val="21"/>
              </w:rPr>
              <w:t>Sara: feature/length</w:t>
            </w:r>
          </w:p>
        </w:tc>
        <w:tc>
          <w:tcPr>
            <w:tcW w:type="dxa" w:w="6192"/>
            <w:vAlign w:val="center"/>
          </w:tcPr>
          <w:p>
            <w:pPr>
              <w:spacing w:line="252" w:lineRule="auto" w:after="80" w:before="80"/>
            </w:pPr>
            <w:r>
              <w:rPr>
                <w:rFonts w:ascii="Times New Roman" w:hAnsi="Times New Roman"/>
                <w:b w:val="0"/>
                <w:color w:val="000000"/>
                <w:sz w:val="21"/>
              </w:rPr>
              <w:t>8f259ee: Add length conversion functions and tests.</w:t>
              <w:br/>
              <w:t>3cc40fc: Configure pytest and GitHub Actions.</w:t>
              <w:br/>
              <w:t>6eaead0: Correct the workflow.</w:t>
              <w:br/>
              <w:t>d8b5470: Add parametrized invalid-input tests.</w:t>
            </w:r>
          </w:p>
        </w:tc>
      </w:tr>
      <w:tr>
        <w:trPr>
          <w:cantSplit/>
        </w:trPr>
        <w:tc>
          <w:tcPr>
            <w:tcW w:type="dxa" w:w="2736"/>
            <w:vAlign w:val="center"/>
          </w:tcPr>
          <w:p>
            <w:pPr>
              <w:spacing w:line="252" w:lineRule="auto" w:after="80" w:before="80"/>
            </w:pPr>
            <w:r>
              <w:rPr>
                <w:rFonts w:ascii="Times New Roman" w:hAnsi="Times New Roman"/>
                <w:b w:val="0"/>
                <w:color w:val="000000"/>
                <w:sz w:val="21"/>
              </w:rPr>
              <w:t>Mira: feature/weight</w:t>
            </w:r>
          </w:p>
        </w:tc>
        <w:tc>
          <w:tcPr>
            <w:tcW w:type="dxa" w:w="6192"/>
            <w:vAlign w:val="center"/>
          </w:tcPr>
          <w:p>
            <w:pPr>
              <w:spacing w:line="252" w:lineRule="auto" w:after="80" w:before="80"/>
            </w:pPr>
            <w:r>
              <w:rPr>
                <w:rFonts w:ascii="Times New Roman" w:hAnsi="Times New Roman"/>
                <w:b w:val="0"/>
                <w:color w:val="000000"/>
                <w:sz w:val="21"/>
              </w:rPr>
              <w:t>b478bd5: Implement weight conversions.</w:t>
              <w:br/>
              <w:t>fc098b6: Add weight tests.</w:t>
              <w:br/>
              <w:t>c4c60c8: Improve validation and edge-case tests.</w:t>
            </w:r>
          </w:p>
        </w:tc>
      </w:tr>
    </w:tbl>
    <w:p>
      <w:pPr>
        <w:spacing w:after="0"/>
      </w:pPr>
    </w:p>
    <w:p>
      <w:pPr>
        <w:keepNext/>
        <w:spacing w:line="240" w:lineRule="auto" w:before="120" w:after="80"/>
        <w:jc w:val="center"/>
      </w:pPr>
      <w: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archive2-11.png"/>
                    <pic:cNvPicPr/>
                  </pic:nvPicPr>
                  <pic:blipFill>
                    <a:blip r:embed="rId11"/>
                    <a:stretch>
                      <a:fillRect/>
                    </a:stretch>
                  </pic:blipFill>
                  <pic:spPr>
                    <a:xfrm>
                      <a:off x="0" y="0"/>
                      <a:ext cx="5577840" cy="3486150"/>
                    </a:xfrm>
                    <a:prstGeom prst="rect"/>
                  </pic:spPr>
                </pic:pic>
              </a:graphicData>
            </a:graphic>
          </wp:inline>
        </w:drawing>
      </w:r>
    </w:p>
    <w:p>
      <w:pPr>
        <w:pStyle w:val="Caption"/>
        <w:jc w:val="center"/>
      </w:pPr>
      <w:r>
        <w:t>Figure 2. Mira records separate implementation and test commits; this early branch snapshot passes 27 cases.</w:t>
      </w:r>
    </w:p>
    <w:p>
      <w:pPr>
        <w:pStyle w:val="Heading1"/>
      </w:pPr>
      <w:r>
        <w:t>3. Pull Requests &amp; Code Review</w:t>
      </w:r>
    </w:p>
    <w:p>
      <w:pPr>
        <w:keepLines/>
      </w:pPr>
      <w:r>
        <w:rPr>
          <w:b w:val="0"/>
        </w:rPr>
        <w:t>Amr authored temperature PR #1. Sara reviewed the validation code and asked whether an extremely large integer such as 10**1000 should receive an additional test because math.isfinite can raise OverflowError for that input. Sara and Mira approved the PR before it was merged.</w:t>
      </w:r>
    </w:p>
    <w:p>
      <w:pPr>
        <w:keepNext/>
        <w:spacing w:line="240" w:lineRule="auto" w:before="120" w:after="80"/>
        <w:jc w:val="center"/>
      </w:pPr>
      <w:r>
        <w:drawing>
          <wp:inline xmlns:a="http://schemas.openxmlformats.org/drawingml/2006/main" xmlns:pic="http://schemas.openxmlformats.org/drawingml/2006/picture">
            <wp:extent cx="5577840" cy="3486150"/>
            <wp:docPr id="3" name="Picture 3"/>
            <wp:cNvGraphicFramePr>
              <a:graphicFrameLocks noChangeAspect="1"/>
            </wp:cNvGraphicFramePr>
            <a:graphic>
              <a:graphicData uri="http://schemas.openxmlformats.org/drawingml/2006/picture">
                <pic:pic>
                  <pic:nvPicPr>
                    <pic:cNvPr id="0" name="archive1-08.jpeg"/>
                    <pic:cNvPicPr/>
                  </pic:nvPicPr>
                  <pic:blipFill>
                    <a:blip r:embed="rId12"/>
                    <a:stretch>
                      <a:fillRect/>
                    </a:stretch>
                  </pic:blipFill>
                  <pic:spPr>
                    <a:xfrm>
                      <a:off x="0" y="0"/>
                      <a:ext cx="5577840" cy="3486150"/>
                    </a:xfrm>
                    <a:prstGeom prst="rect"/>
                  </pic:spPr>
                </pic:pic>
              </a:graphicData>
            </a:graphic>
          </wp:inline>
        </w:drawing>
      </w:r>
    </w:p>
    <w:p>
      <w:pPr>
        <w:pStyle w:val="Caption"/>
        <w:jc w:val="center"/>
      </w:pPr>
      <w:r>
        <w:t>Figure 3. Sara leaves a specific line comment on temperature validation; the PR also records both teammates' approvals.</w:t>
      </w:r>
    </w:p>
    <w:p>
      <w:pPr>
        <w:keepLines/>
      </w:pPr>
      <w:r>
        <w:rPr>
          <w:b w:val="0"/>
        </w:rPr>
        <w:t>Sara authored length PR #2. Amr submitted Request changes because the validator's rejection of booleans, NaN, and infinity lacked test coverage. Sara added the requested parametrized tests in d8b5470 on the same feature/length branch. Amr reviewed the correction, verified the combined 42-case suite, and approved the existing PR before it was merged.</w:t>
      </w:r>
    </w:p>
    <w:p>
      <w:pPr>
        <w:spacing w:line="240" w:lineRule="auto"/>
      </w:pPr>
      <w:hyperlink r:id="rId13">
        <w:r>
          <w:rPr>
            <w:rFonts w:ascii="Times New Roman" w:hAnsi="Times New Roman"/>
            <w:color w:val="000000"/>
            <w:u w:val="single"/>
          </w:rPr>
          <w:t>Length PR #2: requested tests, same-branch correction, and approval</w:t>
        </w:r>
      </w:hyperlink>
    </w:p>
    <w:p>
      <w:pPr>
        <w:keepLines/>
      </w:pPr>
      <w:r>
        <w:rPr>
          <w:b w:val="0"/>
        </w:rPr>
        <w:t>Mira authored weight PR #3. Sara's line comment requested numeric and finite-value validation because NaN could bypass a simple negative-value check. Mira introduced a shared validator and tests for True, text, NaN, and infinity in c4c60c8. Amr reviewed and approved the corrected feature before its merge.</w:t>
      </w:r>
    </w:p>
    <w:p>
      <w:pPr>
        <w:keepNext/>
        <w:spacing w:line="240" w:lineRule="auto" w:before="120" w:after="80"/>
        <w:jc w:val="center"/>
      </w:pPr>
      <w:r>
        <w:drawing>
          <wp:inline xmlns:a="http://schemas.openxmlformats.org/drawingml/2006/main" xmlns:pic="http://schemas.openxmlformats.org/drawingml/2006/picture">
            <wp:extent cx="5577840" cy="3486150"/>
            <wp:docPr id="4" name="Picture 4"/>
            <wp:cNvGraphicFramePr>
              <a:graphicFrameLocks noChangeAspect="1"/>
            </wp:cNvGraphicFramePr>
            <a:graphic>
              <a:graphicData uri="http://schemas.openxmlformats.org/drawingml/2006/picture">
                <pic:pic>
                  <pic:nvPicPr>
                    <pic:cNvPr id="0" name="archive2-17.png"/>
                    <pic:cNvPicPr/>
                  </pic:nvPicPr>
                  <pic:blipFill>
                    <a:blip r:embed="rId14"/>
                    <a:stretch>
                      <a:fillRect/>
                    </a:stretch>
                  </pic:blipFill>
                  <pic:spPr>
                    <a:xfrm>
                      <a:off x="0" y="0"/>
                      <a:ext cx="5577840" cy="3486150"/>
                    </a:xfrm>
                    <a:prstGeom prst="rect"/>
                  </pic:spPr>
                </pic:pic>
              </a:graphicData>
            </a:graphic>
          </wp:inline>
        </w:drawing>
      </w:r>
    </w:p>
    <w:p>
      <w:pPr>
        <w:pStyle w:val="Caption"/>
        <w:jc w:val="center"/>
      </w:pPr>
      <w:r>
        <w:t>Figure 4. Sara's weight review requests validation for numeric, finite inputs and corresponding tests.</w:t>
      </w:r>
    </w:p>
    <w:p>
      <w:pPr>
        <w:keepNext/>
        <w:spacing w:line="240" w:lineRule="auto" w:before="120" w:after="80"/>
        <w:jc w:val="center"/>
      </w:pPr>
      <w:r>
        <w:drawing>
          <wp:inline xmlns:a="http://schemas.openxmlformats.org/drawingml/2006/main" xmlns:pic="http://schemas.openxmlformats.org/drawingml/2006/picture">
            <wp:extent cx="5577840" cy="3486150"/>
            <wp:docPr id="5" name="Picture 5"/>
            <wp:cNvGraphicFramePr>
              <a:graphicFrameLocks noChangeAspect="1"/>
            </wp:cNvGraphicFramePr>
            <a:graphic>
              <a:graphicData uri="http://schemas.openxmlformats.org/drawingml/2006/picture">
                <pic:pic>
                  <pic:nvPicPr>
                    <pic:cNvPr id="0" name="archive2-22.png"/>
                    <pic:cNvPicPr/>
                  </pic:nvPicPr>
                  <pic:blipFill>
                    <a:blip r:embed="rId15"/>
                    <a:stretch>
                      <a:fillRect/>
                    </a:stretch>
                  </pic:blipFill>
                  <pic:spPr>
                    <a:xfrm>
                      <a:off x="0" y="0"/>
                      <a:ext cx="5577840" cy="3486150"/>
                    </a:xfrm>
                    <a:prstGeom prst="rect"/>
                  </pic:spPr>
                </pic:pic>
              </a:graphicData>
            </a:graphic>
          </wp:inline>
        </w:drawing>
      </w:r>
    </w:p>
    <w:p>
      <w:pPr>
        <w:pStyle w:val="Caption"/>
        <w:jc w:val="center"/>
      </w:pPr>
      <w:r>
        <w:t>Figure 5. Amr approves the corrected weight feature; GitHub records the merge of PR #3.</w:t>
      </w:r>
    </w:p>
    <w:p>
      <w:pPr>
        <w:pStyle w:val="Heading1"/>
      </w:pPr>
      <w:r>
        <w:t>4. Merge Conflict</w:t>
      </w:r>
    </w:p>
    <w:p>
      <w:pPr>
        <w:keepLines/>
      </w:pPr>
      <w:r>
        <w:rPr>
          <w:b w:val="0"/>
        </w:rPr>
        <w:t>README.md defines the shared line "Project status: Development in progress." A controlled conflict uses two branches from the same main commit, with each member changing that exact line differently. After the first status PR is merged, merging origin/main into the second branch brings the two competing versions together.</w:t>
      </w:r>
    </w:p>
    <w:p>
      <w:pPr>
        <w:keepLines/>
      </w:pPr>
      <w:r>
        <w:rPr>
          <w:b w:val="0"/>
        </w:rPr>
        <w:t>The reference example below comes from the separate redaalch/unit-converter repository. It illustrates the conflict markers and the distinction between Current/HEAD, which contains the checked-out branch's status, and Incoming/origin/main, which contains the status already merged into main.</w:t>
      </w:r>
    </w:p>
    <w:p>
      <w:pPr>
        <w:keepNext/>
        <w:spacing w:line="240" w:lineRule="auto" w:before="120" w:after="80"/>
        <w:jc w:val="center"/>
      </w:pPr>
      <w:r>
        <w:drawing>
          <wp:inline xmlns:a="http://schemas.openxmlformats.org/drawingml/2006/main" xmlns:pic="http://schemas.openxmlformats.org/drawingml/2006/picture">
            <wp:extent cx="5577840" cy="1207522"/>
            <wp:docPr id="6" name="Picture 6"/>
            <wp:cNvGraphicFramePr>
              <a:graphicFrameLocks noChangeAspect="1"/>
            </wp:cNvGraphicFramePr>
            <a:graphic>
              <a:graphicData uri="http://schemas.openxmlformats.org/drawingml/2006/picture">
                <pic:pic>
                  <pic:nvPicPr>
                    <pic:cNvPr id="0" name="reference-readme-conflict.png"/>
                    <pic:cNvPicPr/>
                  </pic:nvPicPr>
                  <pic:blipFill>
                    <a:blip r:embed="rId16"/>
                    <a:stretch>
                      <a:fillRect/>
                    </a:stretch>
                  </pic:blipFill>
                  <pic:spPr>
                    <a:xfrm>
                      <a:off x="0" y="0"/>
                      <a:ext cx="5577840" cy="1207522"/>
                    </a:xfrm>
                    <a:prstGeom prst="rect"/>
                  </pic:spPr>
                </pic:pic>
              </a:graphicData>
            </a:graphic>
          </wp:inline>
        </w:drawing>
      </w:r>
    </w:p>
    <w:p>
      <w:pPr>
        <w:pStyle w:val="Caption"/>
        <w:jc w:val="center"/>
      </w:pPr>
      <w:r>
        <w:t>Figure 6. Reference example from redaalch/unit-converter: competing README status lines appear under Current and Incoming markers.</w:t>
      </w:r>
    </w:p>
    <w:p>
      <w:pPr>
        <w:keepLines/>
      </w:pPr>
      <w:r>
        <w:rPr>
          <w:b w:val="0"/>
        </w:rPr>
        <w:t>The resolution method is to rewrite the two versions into one sensible status line, remove the markers, stage README.md, and commit and push the resolution on the same branch. In a three-member group, the third member reviews the conflict-resolution PR. A combined status for this project would identify temperature, length, and weight conversion together.</w:t>
      </w:r>
    </w:p>
    <w:p>
      <w:pPr>
        <w:pStyle w:val="Heading1"/>
      </w:pPr>
      <w:r>
        <w:t>5. Unit Tests</w:t>
      </w:r>
    </w:p>
    <w:p>
      <w:pPr>
        <w:keepLines/>
      </w:pPr>
      <w:r>
        <w:rPr>
          <w:b w:val="0"/>
        </w:rPr>
        <w:t>The verified main snapshot, commit 33c4f2e, contains 22 test functions that expand to 42 pytest cases through parameterization. Each member exceeds the three-member requirement of two meaningful tests. Approximate comparisons use pytest.approx for floating-point conversions.</w:t>
      </w:r>
    </w:p>
    <w:tbl>
      <w:tblPr>
        <w:tblStyle w:val="TableGrid"/>
        <w:tblW w:type="auto" w:w="0"/>
        <w:jc w:val="center"/>
        <w:tblLayout w:type="fixed"/>
        <w:tblLook w:firstColumn="1" w:firstRow="1" w:lastColumn="0" w:lastRow="0" w:noHBand="0" w:noVBand="1" w:val="04A0"/>
      </w:tblPr>
      <w:tblGrid>
        <w:gridCol w:w="4608"/>
        <w:gridCol w:w="2160"/>
        <w:gridCol w:w="2160"/>
      </w:tblGrid>
      <w:tr>
        <w:trPr>
          <w:tblHeader w:val="true"/>
          <w:cantSplit/>
        </w:trPr>
        <w:tc>
          <w:tcPr>
            <w:tcW w:type="dxa" w:w="4608"/>
            <w:vAlign w:val="center"/>
          </w:tcPr>
          <w:p>
            <w:pPr>
              <w:spacing w:line="252" w:lineRule="auto" w:after="80" w:before="80"/>
            </w:pPr>
            <w:r>
              <w:rPr>
                <w:rFonts w:ascii="Times New Roman" w:hAnsi="Times New Roman"/>
                <w:b/>
                <w:color w:val="000000"/>
                <w:sz w:val="21"/>
              </w:rPr>
              <w:t>Feature</w:t>
            </w:r>
          </w:p>
        </w:tc>
        <w:tc>
          <w:tcPr>
            <w:tcW w:type="dxa" w:w="2160"/>
            <w:vAlign w:val="center"/>
          </w:tcPr>
          <w:p>
            <w:pPr>
              <w:spacing w:line="252" w:lineRule="auto" w:after="80" w:before="80"/>
            </w:pPr>
            <w:r>
              <w:rPr>
                <w:rFonts w:ascii="Times New Roman" w:hAnsi="Times New Roman"/>
                <w:b/>
                <w:color w:val="000000"/>
                <w:sz w:val="21"/>
              </w:rPr>
              <w:t>Test functions</w:t>
            </w:r>
          </w:p>
        </w:tc>
        <w:tc>
          <w:tcPr>
            <w:tcW w:type="dxa" w:w="2160"/>
            <w:vAlign w:val="center"/>
          </w:tcPr>
          <w:p>
            <w:pPr>
              <w:spacing w:line="252" w:lineRule="auto" w:after="80" w:before="80"/>
            </w:pPr>
            <w:r>
              <w:rPr>
                <w:rFonts w:ascii="Times New Roman" w:hAnsi="Times New Roman"/>
                <w:b/>
                <w:color w:val="000000"/>
                <w:sz w:val="21"/>
              </w:rPr>
              <w:t>Collected cases</w:t>
            </w:r>
          </w:p>
        </w:tc>
      </w:tr>
      <w:tr>
        <w:trPr>
          <w:cantSplit/>
        </w:trPr>
        <w:tc>
          <w:tcPr>
            <w:tcW w:type="dxa" w:w="4608"/>
            <w:vAlign w:val="center"/>
          </w:tcPr>
          <w:p>
            <w:pPr>
              <w:spacing w:line="252" w:lineRule="auto" w:after="80" w:before="80"/>
            </w:pPr>
            <w:r>
              <w:rPr>
                <w:rFonts w:ascii="Times New Roman" w:hAnsi="Times New Roman"/>
                <w:b w:val="0"/>
                <w:color w:val="000000"/>
                <w:sz w:val="21"/>
              </w:rPr>
              <w:t>Amr: temperature</w:t>
            </w:r>
          </w:p>
        </w:tc>
        <w:tc>
          <w:tcPr>
            <w:tcW w:type="dxa" w:w="2160"/>
            <w:vAlign w:val="center"/>
          </w:tcPr>
          <w:p>
            <w:pPr>
              <w:spacing w:line="252" w:lineRule="auto" w:after="80" w:before="80"/>
            </w:pPr>
            <w:r>
              <w:rPr>
                <w:rFonts w:ascii="Times New Roman" w:hAnsi="Times New Roman"/>
                <w:b w:val="0"/>
                <w:color w:val="000000"/>
                <w:sz w:val="21"/>
              </w:rPr>
              <w:t>6</w:t>
            </w:r>
          </w:p>
        </w:tc>
        <w:tc>
          <w:tcPr>
            <w:tcW w:type="dxa" w:w="2160"/>
            <w:vAlign w:val="center"/>
          </w:tcPr>
          <w:p>
            <w:pPr>
              <w:spacing w:line="252" w:lineRule="auto" w:after="80" w:before="80"/>
            </w:pPr>
            <w:r>
              <w:rPr>
                <w:rFonts w:ascii="Times New Roman" w:hAnsi="Times New Roman"/>
                <w:b w:val="0"/>
                <w:color w:val="000000"/>
                <w:sz w:val="21"/>
              </w:rPr>
              <w:t>21</w:t>
            </w:r>
          </w:p>
        </w:tc>
      </w:tr>
      <w:tr>
        <w:trPr>
          <w:cantSplit/>
        </w:trPr>
        <w:tc>
          <w:tcPr>
            <w:tcW w:type="dxa" w:w="4608"/>
            <w:vAlign w:val="center"/>
          </w:tcPr>
          <w:p>
            <w:pPr>
              <w:spacing w:line="252" w:lineRule="auto" w:after="80" w:before="80"/>
            </w:pPr>
            <w:r>
              <w:rPr>
                <w:rFonts w:ascii="Times New Roman" w:hAnsi="Times New Roman"/>
                <w:b w:val="0"/>
                <w:color w:val="000000"/>
                <w:sz w:val="21"/>
              </w:rPr>
              <w:t>Sara: length</w:t>
            </w:r>
          </w:p>
        </w:tc>
        <w:tc>
          <w:tcPr>
            <w:tcW w:type="dxa" w:w="2160"/>
            <w:vAlign w:val="center"/>
          </w:tcPr>
          <w:p>
            <w:pPr>
              <w:spacing w:line="252" w:lineRule="auto" w:after="80" w:before="80"/>
            </w:pPr>
            <w:r>
              <w:rPr>
                <w:rFonts w:ascii="Times New Roman" w:hAnsi="Times New Roman"/>
                <w:b w:val="0"/>
                <w:color w:val="000000"/>
                <w:sz w:val="21"/>
              </w:rPr>
              <w:t>9</w:t>
            </w:r>
          </w:p>
        </w:tc>
        <w:tc>
          <w:tcPr>
            <w:tcW w:type="dxa" w:w="2160"/>
            <w:vAlign w:val="center"/>
          </w:tcPr>
          <w:p>
            <w:pPr>
              <w:spacing w:line="252" w:lineRule="auto" w:after="80" w:before="80"/>
            </w:pPr>
            <w:r>
              <w:rPr>
                <w:rFonts w:ascii="Times New Roman" w:hAnsi="Times New Roman"/>
                <w:b w:val="0"/>
                <w:color w:val="000000"/>
                <w:sz w:val="21"/>
              </w:rPr>
              <w:t>11</w:t>
            </w:r>
          </w:p>
        </w:tc>
      </w:tr>
      <w:tr>
        <w:trPr>
          <w:cantSplit/>
        </w:trPr>
        <w:tc>
          <w:tcPr>
            <w:tcW w:type="dxa" w:w="4608"/>
            <w:vAlign w:val="center"/>
          </w:tcPr>
          <w:p>
            <w:pPr>
              <w:spacing w:line="252" w:lineRule="auto" w:after="80" w:before="80"/>
            </w:pPr>
            <w:r>
              <w:rPr>
                <w:rFonts w:ascii="Times New Roman" w:hAnsi="Times New Roman"/>
                <w:b w:val="0"/>
                <w:color w:val="000000"/>
                <w:sz w:val="21"/>
              </w:rPr>
              <w:t>Mira: weight</w:t>
            </w:r>
          </w:p>
        </w:tc>
        <w:tc>
          <w:tcPr>
            <w:tcW w:type="dxa" w:w="2160"/>
            <w:vAlign w:val="center"/>
          </w:tcPr>
          <w:p>
            <w:pPr>
              <w:spacing w:line="252" w:lineRule="auto" w:after="80" w:before="80"/>
            </w:pPr>
            <w:r>
              <w:rPr>
                <w:rFonts w:ascii="Times New Roman" w:hAnsi="Times New Roman"/>
                <w:b w:val="0"/>
                <w:color w:val="000000"/>
                <w:sz w:val="21"/>
              </w:rPr>
              <w:t>7</w:t>
            </w:r>
          </w:p>
        </w:tc>
        <w:tc>
          <w:tcPr>
            <w:tcW w:type="dxa" w:w="2160"/>
            <w:vAlign w:val="center"/>
          </w:tcPr>
          <w:p>
            <w:pPr>
              <w:spacing w:line="252" w:lineRule="auto" w:after="80" w:before="80"/>
            </w:pPr>
            <w:r>
              <w:rPr>
                <w:rFonts w:ascii="Times New Roman" w:hAnsi="Times New Roman"/>
                <w:b w:val="0"/>
                <w:color w:val="000000"/>
                <w:sz w:val="21"/>
              </w:rPr>
              <w:t>10</w:t>
            </w:r>
          </w:p>
        </w:tc>
      </w:tr>
      <w:tr>
        <w:trPr>
          <w:cantSplit/>
        </w:trPr>
        <w:tc>
          <w:tcPr>
            <w:tcW w:type="dxa" w:w="4608"/>
            <w:vAlign w:val="center"/>
          </w:tcPr>
          <w:p>
            <w:pPr>
              <w:spacing w:line="252" w:lineRule="auto" w:after="80" w:before="80"/>
            </w:pPr>
            <w:r>
              <w:rPr>
                <w:rFonts w:ascii="Times New Roman" w:hAnsi="Times New Roman"/>
                <w:b w:val="0"/>
                <w:color w:val="000000"/>
                <w:sz w:val="21"/>
              </w:rPr>
              <w:t>Total</w:t>
            </w:r>
          </w:p>
        </w:tc>
        <w:tc>
          <w:tcPr>
            <w:tcW w:type="dxa" w:w="2160"/>
            <w:vAlign w:val="center"/>
          </w:tcPr>
          <w:p>
            <w:pPr>
              <w:spacing w:line="252" w:lineRule="auto" w:after="80" w:before="80"/>
            </w:pPr>
            <w:r>
              <w:rPr>
                <w:rFonts w:ascii="Times New Roman" w:hAnsi="Times New Roman"/>
                <w:b w:val="0"/>
                <w:color w:val="000000"/>
                <w:sz w:val="21"/>
              </w:rPr>
              <w:t>22</w:t>
            </w:r>
          </w:p>
        </w:tc>
        <w:tc>
          <w:tcPr>
            <w:tcW w:type="dxa" w:w="2160"/>
            <w:vAlign w:val="center"/>
          </w:tcPr>
          <w:p>
            <w:pPr>
              <w:spacing w:line="252" w:lineRule="auto" w:after="80" w:before="80"/>
            </w:pPr>
            <w:r>
              <w:rPr>
                <w:rFonts w:ascii="Times New Roman" w:hAnsi="Times New Roman"/>
                <w:b w:val="0"/>
                <w:color w:val="000000"/>
                <w:sz w:val="21"/>
              </w:rPr>
              <w:t>42</w:t>
            </w:r>
          </w:p>
        </w:tc>
      </w:tr>
    </w:tbl>
    <w:p>
      <w:pPr>
        <w:spacing w:after="0"/>
      </w:pPr>
    </w:p>
    <w:tbl>
      <w:tblPr>
        <w:tblStyle w:val="TableGrid"/>
        <w:tblW w:type="auto" w:w="0"/>
        <w:jc w:val="center"/>
        <w:tblLayout w:type="fixed"/>
        <w:tblLook w:firstColumn="1" w:firstRow="1" w:lastColumn="0" w:lastRow="0" w:noHBand="0" w:noVBand="1" w:val="04A0"/>
      </w:tblPr>
      <w:tblGrid>
        <w:gridCol w:w="2160"/>
        <w:gridCol w:w="6768"/>
      </w:tblGrid>
      <w:tr>
        <w:trPr>
          <w:tblHeader w:val="true"/>
          <w:cantSplit/>
        </w:trPr>
        <w:tc>
          <w:tcPr>
            <w:tcW w:type="dxa" w:w="2160"/>
            <w:vAlign w:val="center"/>
          </w:tcPr>
          <w:p>
            <w:pPr>
              <w:spacing w:line="252" w:lineRule="auto" w:after="80" w:before="80"/>
            </w:pPr>
            <w:r>
              <w:rPr>
                <w:rFonts w:ascii="Times New Roman" w:hAnsi="Times New Roman"/>
                <w:b/>
                <w:color w:val="000000"/>
                <w:sz w:val="21"/>
              </w:rPr>
              <w:t>Case category</w:t>
            </w:r>
          </w:p>
        </w:tc>
        <w:tc>
          <w:tcPr>
            <w:tcW w:type="dxa" w:w="6768"/>
            <w:vAlign w:val="center"/>
          </w:tcPr>
          <w:p>
            <w:pPr>
              <w:spacing w:line="252" w:lineRule="auto" w:after="80" w:before="80"/>
            </w:pPr>
            <w:r>
              <w:rPr>
                <w:rFonts w:ascii="Times New Roman" w:hAnsi="Times New Roman"/>
                <w:b/>
                <w:color w:val="000000"/>
                <w:sz w:val="21"/>
              </w:rPr>
              <w:t>Examples covered</w:t>
            </w:r>
          </w:p>
        </w:tc>
      </w:tr>
      <w:tr>
        <w:trPr>
          <w:cantSplit/>
        </w:trPr>
        <w:tc>
          <w:tcPr>
            <w:tcW w:type="dxa" w:w="2160"/>
            <w:vAlign w:val="center"/>
          </w:tcPr>
          <w:p>
            <w:pPr>
              <w:spacing w:line="252" w:lineRule="auto" w:after="80" w:before="80"/>
            </w:pPr>
            <w:r>
              <w:rPr>
                <w:rFonts w:ascii="Times New Roman" w:hAnsi="Times New Roman"/>
                <w:b w:val="0"/>
                <w:color w:val="000000"/>
                <w:sz w:val="21"/>
              </w:rPr>
              <w:t>Normal behavior</w:t>
            </w:r>
          </w:p>
        </w:tc>
        <w:tc>
          <w:tcPr>
            <w:tcW w:type="dxa" w:w="6768"/>
            <w:vAlign w:val="center"/>
          </w:tcPr>
          <w:p>
            <w:pPr>
              <w:spacing w:line="252" w:lineRule="auto" w:after="80" w:before="80"/>
            </w:pPr>
            <w:r>
              <w:rPr>
                <w:rFonts w:ascii="Times New Roman" w:hAnsi="Times New Roman"/>
                <w:b w:val="0"/>
                <w:color w:val="000000"/>
                <w:sz w:val="21"/>
              </w:rPr>
              <w:t>0 C to 32 F; 1609.344 metres to one mile; 2 kg to 2000 g.</w:t>
            </w:r>
          </w:p>
        </w:tc>
      </w:tr>
      <w:tr>
        <w:trPr>
          <w:cantSplit/>
        </w:trPr>
        <w:tc>
          <w:tcPr>
            <w:tcW w:type="dxa" w:w="2160"/>
            <w:vAlign w:val="center"/>
          </w:tcPr>
          <w:p>
            <w:pPr>
              <w:spacing w:line="252" w:lineRule="auto" w:after="80" w:before="80"/>
            </w:pPr>
            <w:r>
              <w:rPr>
                <w:rFonts w:ascii="Times New Roman" w:hAnsi="Times New Roman"/>
                <w:b w:val="0"/>
                <w:color w:val="000000"/>
                <w:sz w:val="21"/>
              </w:rPr>
              <w:t>Boundary or edge</w:t>
            </w:r>
          </w:p>
        </w:tc>
        <w:tc>
          <w:tcPr>
            <w:tcW w:type="dxa" w:w="6768"/>
            <w:vAlign w:val="center"/>
          </w:tcPr>
          <w:p>
            <w:pPr>
              <w:spacing w:line="252" w:lineRule="auto" w:after="80" w:before="80"/>
            </w:pPr>
            <w:r>
              <w:rPr>
                <w:rFonts w:ascii="Times New Roman" w:hAnsi="Times New Roman"/>
                <w:b w:val="0"/>
                <w:color w:val="000000"/>
                <w:sz w:val="21"/>
              </w:rPr>
              <w:t>Absolute-zero temperatures; zero length and weight; a length round trip.</w:t>
            </w:r>
          </w:p>
        </w:tc>
      </w:tr>
      <w:tr>
        <w:trPr>
          <w:cantSplit/>
        </w:trPr>
        <w:tc>
          <w:tcPr>
            <w:tcW w:type="dxa" w:w="2160"/>
            <w:vAlign w:val="center"/>
          </w:tcPr>
          <w:p>
            <w:pPr>
              <w:spacing w:line="252" w:lineRule="auto" w:after="80" w:before="80"/>
            </w:pPr>
            <w:r>
              <w:rPr>
                <w:rFonts w:ascii="Times New Roman" w:hAnsi="Times New Roman"/>
                <w:b w:val="0"/>
                <w:color w:val="000000"/>
                <w:sz w:val="21"/>
              </w:rPr>
              <w:t>Invalid input or error</w:t>
            </w:r>
          </w:p>
        </w:tc>
        <w:tc>
          <w:tcPr>
            <w:tcW w:type="dxa" w:w="6768"/>
            <w:vAlign w:val="center"/>
          </w:tcPr>
          <w:p>
            <w:pPr>
              <w:spacing w:line="252" w:lineRule="auto" w:after="80" w:before="80"/>
            </w:pPr>
            <w:r>
              <w:rPr>
                <w:rFonts w:ascii="Times New Roman" w:hAnsi="Times New Roman"/>
                <w:b w:val="0"/>
                <w:color w:val="000000"/>
                <w:sz w:val="21"/>
              </w:rPr>
              <w:t>Below-absolute-zero temperatures; negative length and weight; booleans, text, NaN, and infinity. Temperature uses TypeError for nonnumeric inputs and ValueError for non-finite or below-boundary values.</w:t>
            </w:r>
          </w:p>
        </w:tc>
      </w:tr>
    </w:tbl>
    <w:p>
      <w:pPr>
        <w:spacing w:after="0"/>
      </w:pPr>
    </w:p>
    <w:p>
      <w:pPr>
        <w:keepNext/>
        <w:spacing w:line="240" w:lineRule="auto" w:before="120" w:after="80"/>
        <w:jc w:val="center"/>
      </w:pPr>
      <w:r>
        <w:drawing>
          <wp:inline xmlns:a="http://schemas.openxmlformats.org/drawingml/2006/main" xmlns:pic="http://schemas.openxmlformats.org/drawingml/2006/picture">
            <wp:extent cx="5577840" cy="3486150"/>
            <wp:docPr id="7" name="Picture 7"/>
            <wp:cNvGraphicFramePr>
              <a:graphicFrameLocks noChangeAspect="1"/>
            </wp:cNvGraphicFramePr>
            <a:graphic>
              <a:graphicData uri="http://schemas.openxmlformats.org/drawingml/2006/picture">
                <pic:pic>
                  <pic:nvPicPr>
                    <pic:cNvPr id="0" name="archive1-03.png"/>
                    <pic:cNvPicPr/>
                  </pic:nvPicPr>
                  <pic:blipFill>
                    <a:blip r:embed="rId17"/>
                    <a:stretch>
                      <a:fillRect/>
                    </a:stretch>
                  </pic:blipFill>
                  <pic:spPr>
                    <a:xfrm>
                      <a:off x="0" y="0"/>
                      <a:ext cx="5577840" cy="3486150"/>
                    </a:xfrm>
                    <a:prstGeom prst="rect"/>
                  </pic:spPr>
                </pic:pic>
              </a:graphicData>
            </a:graphic>
          </wp:inline>
        </w:drawing>
      </w:r>
    </w:p>
    <w:p>
      <w:pPr>
        <w:pStyle w:val="Caption"/>
        <w:jc w:val="center"/>
      </w:pPr>
      <w:r>
        <w:t>Figure 7. The improved weight validator and a local 31-case result are shown before the length feature is integrated.</w:t>
      </w:r>
    </w:p>
    <w:p>
      <w:pPr>
        <w:keepNext/>
        <w:keepLines/>
      </w:pPr>
      <w:r>
        <w:rPr>
          <w:b w:val="0"/>
        </w:rPr>
        <w:t>The complete main snapshot was verified again locally with Python 3.10.12. GitHub Actions also passed all 42 cases using Python 3.12.15. The local command output was:</w:t>
      </w:r>
    </w:p>
    <w:p>
      <w:pPr>
        <w:keepLines/>
        <w:spacing w:line="240" w:lineRule="auto" w:after="160"/>
      </w:pPr>
      <w:r>
        <w:rPr>
          <w:rFonts w:ascii="Courier New" w:hAnsi="Courier New"/>
          <w:sz w:val="19"/>
        </w:rPr>
        <w:t>$ python3 -m pytest -q</w:t>
        <w:br/>
        <w:t>..........................................                               [100%]</w:t>
        <w:br/>
        <w:t>42 passed in 0.02s</w:t>
      </w:r>
    </w:p>
    <w:p>
      <w:pPr>
        <w:pStyle w:val="Heading1"/>
      </w:pPr>
      <w:r>
        <w:t>6. Continuous Integration</w:t>
      </w:r>
    </w:p>
    <w:p>
      <w:pPr>
        <w:keepLines/>
      </w:pPr>
      <w:r>
        <w:rPr>
          <w:b w:val="0"/>
        </w:rPr>
        <w:t>Sara configured .github/workflows/tests.yml on feature/length. The Python Tests workflow runs on push and pull_request events. Its test job uses ubuntu-latest, checks out the repository, prepares Python 3.12, installs requirements.txt, and executes python -m pytest -v. The workflow uses actions/checkout@v4 and actions/setup-python@v5.</w:t>
      </w:r>
    </w:p>
    <w:p>
      <w:pPr>
        <w:keepLines/>
      </w:pPr>
      <w:r>
        <w:rPr>
          <w:b w:val="0"/>
        </w:rPr>
        <w:t>The first workflow commit, 3cc40fc, added an empty workflow file. Run 40574729415 failed before a test job started. Sara corrected the workflow in 6eaead0 on the same branch, after which both push and PR runs succeeded. The later d8b5470 commit added the review-requested invalid-input tests, and the merged main run 40611619519 passed all 42 cases.</w:t>
      </w:r>
    </w:p>
    <w:p>
      <w:pPr>
        <w:keepNext/>
        <w:spacing w:line="240" w:lineRule="auto" w:before="120" w:after="80"/>
        <w:jc w:val="center"/>
      </w:pPr>
      <w:r>
        <w:drawing>
          <wp:inline xmlns:a="http://schemas.openxmlformats.org/drawingml/2006/main" xmlns:pic="http://schemas.openxmlformats.org/drawingml/2006/picture">
            <wp:extent cx="5577840" cy="3486150"/>
            <wp:docPr id="8" name="Picture 8"/>
            <wp:cNvGraphicFramePr>
              <a:graphicFrameLocks noChangeAspect="1"/>
            </wp:cNvGraphicFramePr>
            <a:graphic>
              <a:graphicData uri="http://schemas.openxmlformats.org/drawingml/2006/picture">
                <pic:pic>
                  <pic:nvPicPr>
                    <pic:cNvPr id="0" name="archive1-09.jpeg"/>
                    <pic:cNvPicPr/>
                  </pic:nvPicPr>
                  <pic:blipFill>
                    <a:blip r:embed="rId18"/>
                    <a:stretch>
                      <a:fillRect/>
                    </a:stretch>
                  </pic:blipFill>
                  <pic:spPr>
                    <a:xfrm>
                      <a:off x="0" y="0"/>
                      <a:ext cx="5577840" cy="3486150"/>
                    </a:xfrm>
                    <a:prstGeom prst="rect"/>
                  </pic:spPr>
                </pic:pic>
              </a:graphicData>
            </a:graphic>
          </wp:inline>
        </w:drawing>
      </w:r>
    </w:p>
    <w:p>
      <w:pPr>
        <w:pStyle w:val="Caption"/>
        <w:jc w:val="center"/>
      </w:pPr>
      <w:r>
        <w:t>Figure 8. Actions history shows the initial failed configuration and later successful runs beside Sara's added validation tests.</w:t>
      </w:r>
    </w:p>
    <w:p>
      <w:pPr>
        <w:spacing w:line="240" w:lineRule="auto"/>
      </w:pPr>
      <w:hyperlink r:id="rId19">
        <w:r>
          <w:rPr>
            <w:rFonts w:ascii="Times New Roman" w:hAnsi="Times New Roman"/>
            <w:color w:val="000000"/>
            <w:u w:val="single"/>
          </w:rPr>
          <w:t>Initial failed workflow run</w:t>
        </w:r>
      </w:hyperlink>
    </w:p>
    <w:p>
      <w:pPr>
        <w:spacing w:line="240" w:lineRule="auto"/>
      </w:pPr>
      <w:hyperlink r:id="rId20">
        <w:r>
          <w:rPr>
            <w:rFonts w:ascii="Times New Roman" w:hAnsi="Times New Roman"/>
            <w:color w:val="000000"/>
            <w:u w:val="single"/>
          </w:rPr>
          <w:t>Successful run after the workflow correction</w:t>
        </w:r>
      </w:hyperlink>
    </w:p>
    <w:p>
      <w:pPr>
        <w:spacing w:line="240" w:lineRule="auto"/>
      </w:pPr>
      <w:hyperlink r:id="rId21">
        <w:r>
          <w:rPr>
            <w:rFonts w:ascii="Times New Roman" w:hAnsi="Times New Roman"/>
            <w:color w:val="000000"/>
            <w:u w:val="single"/>
          </w:rPr>
          <w:t>Successful 42-case main run</w:t>
        </w:r>
      </w:hyperlink>
    </w:p>
    <w:p>
      <w:pPr>
        <w:pStyle w:val="Heading1"/>
      </w:pPr>
      <w:r>
        <w:t>7. Ruleset &amp; Protected main</w:t>
      </w:r>
    </w:p>
    <w:p>
      <w:pPr>
        <w:keepLines/>
      </w:pPr>
      <w:r>
        <w:rPr>
          <w:b w:val="0"/>
        </w:rPr>
        <w:t>The active Protect main ruleset targets the default branch. It requires a Pull Request with one approving review and blocks branch deletion and force pushes. The weight PR demonstrates the approval requirement: GitHub displayed Review required and prevented merging before an approving review was submitted.</w:t>
      </w:r>
    </w:p>
    <w:p>
      <w:pPr>
        <w:keepNext/>
        <w:spacing w:line="240" w:lineRule="auto" w:before="120" w:after="80"/>
        <w:jc w:val="center"/>
      </w:pPr>
      <w:r>
        <w:drawing>
          <wp:inline xmlns:a="http://schemas.openxmlformats.org/drawingml/2006/main" xmlns:pic="http://schemas.openxmlformats.org/drawingml/2006/picture">
            <wp:extent cx="5577840" cy="3486150"/>
            <wp:docPr id="9" name="Picture 9"/>
            <wp:cNvGraphicFramePr>
              <a:graphicFrameLocks noChangeAspect="1"/>
            </wp:cNvGraphicFramePr>
            <a:graphic>
              <a:graphicData uri="http://schemas.openxmlformats.org/drawingml/2006/picture">
                <pic:pic>
                  <pic:nvPicPr>
                    <pic:cNvPr id="0" name="archive2-15.png"/>
                    <pic:cNvPicPr/>
                  </pic:nvPicPr>
                  <pic:blipFill>
                    <a:blip r:embed="rId22"/>
                    <a:stretch>
                      <a:fillRect/>
                    </a:stretch>
                  </pic:blipFill>
                  <pic:spPr>
                    <a:xfrm>
                      <a:off x="0" y="0"/>
                      <a:ext cx="5577840" cy="3486150"/>
                    </a:xfrm>
                    <a:prstGeom prst="rect"/>
                  </pic:spPr>
                </pic:pic>
              </a:graphicData>
            </a:graphic>
          </wp:inline>
        </w:drawing>
      </w:r>
    </w:p>
    <w:p>
      <w:pPr>
        <w:pStyle w:val="Caption"/>
        <w:jc w:val="center"/>
      </w:pPr>
      <w:r>
        <w:t>Figure 9. Weight PR #3 is blocked while its required approval is missing.</w:t>
      </w:r>
    </w:p>
    <w:p>
      <w:pPr>
        <w:keepLines/>
      </w:pPr>
      <w:r>
        <w:rPr>
          <w:b w:val="0"/>
        </w:rPr>
        <w:t>Amr's later approval satisfied the review requirement for the weight PR. The Actions runs separately record automated test results, including the successful combined suite on main. The ruleset and workflow provide the review and test records used to assess integration changes.</w:t>
      </w:r>
    </w:p>
    <w:p>
      <w:pPr>
        <w:spacing w:line="240" w:lineRule="auto"/>
      </w:pPr>
      <w:hyperlink r:id="rId23">
        <w:r>
          <w:rPr>
            <w:rFonts w:ascii="Times New Roman" w:hAnsi="Times New Roman"/>
            <w:color w:val="000000"/>
            <w:u w:val="single"/>
          </w:rPr>
          <w:t>Protect main ruleset</w:t>
        </w:r>
      </w:hyperlink>
    </w:p>
    <w:p>
      <w:pPr>
        <w:pStyle w:val="Heading1"/>
      </w:pPr>
      <w:r>
        <w:t>8. Continuous Deployment</w:t>
      </w:r>
    </w:p>
    <w:p>
      <w:pPr>
        <w:keepLines/>
      </w:pPr>
      <w:r>
        <w:rPr>
          <w:b w:val="0"/>
        </w:rPr>
        <w:t>Mira created the static project page in docs/index.html on feature/github-pages and committed it as b1f9cd2. The page describes the three conversion features, lists all members and their responsibilities, gives dependency and pytest instructions, and links the repository. She submitted the page through PR #4.</w:t>
      </w:r>
    </w:p>
    <w:p>
      <w:pPr>
        <w:keepNext/>
        <w:spacing w:line="240" w:lineRule="auto" w:before="120" w:after="80"/>
        <w:jc w:val="center"/>
      </w:pPr>
      <w:r>
        <w:drawing>
          <wp:inline xmlns:a="http://schemas.openxmlformats.org/drawingml/2006/main" xmlns:pic="http://schemas.openxmlformats.org/drawingml/2006/picture">
            <wp:extent cx="5577840" cy="3486150"/>
            <wp:docPr id="10" name="Picture 10"/>
            <wp:cNvGraphicFramePr>
              <a:graphicFrameLocks noChangeAspect="1"/>
            </wp:cNvGraphicFramePr>
            <a:graphic>
              <a:graphicData uri="http://schemas.openxmlformats.org/drawingml/2006/picture">
                <pic:pic>
                  <pic:nvPicPr>
                    <pic:cNvPr id="0" name="archive2-25.png"/>
                    <pic:cNvPicPr/>
                  </pic:nvPicPr>
                  <pic:blipFill>
                    <a:blip r:embed="rId24"/>
                    <a:stretch>
                      <a:fillRect/>
                    </a:stretch>
                  </pic:blipFill>
                  <pic:spPr>
                    <a:xfrm>
                      <a:off x="0" y="0"/>
                      <a:ext cx="5577840" cy="3486150"/>
                    </a:xfrm>
                    <a:prstGeom prst="rect"/>
                  </pic:spPr>
                </pic:pic>
              </a:graphicData>
            </a:graphic>
          </wp:inline>
        </w:drawing>
      </w:r>
    </w:p>
    <w:p>
      <w:pPr>
        <w:pStyle w:val="Caption"/>
        <w:jc w:val="center"/>
      </w:pPr>
      <w:r>
        <w:t>Figure 10. Local browser preview of the project page, showing its title, course, and feature overview.</w:t>
      </w:r>
    </w:p>
    <w:p>
      <w:pPr>
        <w:keepLines/>
      </w:pPr>
      <w:r>
        <w:rPr>
          <w:b w:val="0"/>
        </w:rPr>
        <w:t>The page is designed for GitHub Pages publication from main and /docs, with docs/index.html as the entry file. The target address is https://kblll05.github.io/unit-converter/. Publication is verified by checking that a successful Pages build serves the merged page at that address; a later visible change is verified against the next deployment.</w:t>
      </w:r>
    </w:p>
    <w:p>
      <w:pPr>
        <w:spacing w:line="240" w:lineRule="auto"/>
      </w:pPr>
      <w:hyperlink r:id="rId25">
        <w:r>
          <w:rPr>
            <w:rFonts w:ascii="Times New Roman" w:hAnsi="Times New Roman"/>
            <w:color w:val="000000"/>
            <w:u w:val="single"/>
          </w:rPr>
          <w:t>Project-page Pull Request #4</w:t>
        </w:r>
      </w:hyperlink>
    </w:p>
    <w:p>
      <w:pPr>
        <w:pStyle w:val="Heading1"/>
      </w:pPr>
      <w:r>
        <w:t>9. Contribution Summary</w:t>
      </w:r>
    </w:p>
    <w:tbl>
      <w:tblPr>
        <w:tblStyle w:val="TableGrid"/>
        <w:tblW w:type="auto" w:w="0"/>
        <w:jc w:val="center"/>
        <w:tblLayout w:type="fixed"/>
        <w:tblLook w:firstColumn="1" w:firstRow="1" w:lastColumn="0" w:lastRow="0" w:noHBand="0" w:noVBand="1" w:val="04A0"/>
      </w:tblPr>
      <w:tblGrid>
        <w:gridCol w:w="1728"/>
        <w:gridCol w:w="3456"/>
        <w:gridCol w:w="3744"/>
      </w:tblGrid>
      <w:tr>
        <w:trPr>
          <w:tblHeader w:val="true"/>
          <w:cantSplit/>
        </w:trPr>
        <w:tc>
          <w:tcPr>
            <w:tcW w:type="dxa" w:w="1728"/>
            <w:vAlign w:val="center"/>
          </w:tcPr>
          <w:p>
            <w:pPr>
              <w:spacing w:line="252" w:lineRule="auto" w:after="80" w:before="80"/>
            </w:pPr>
            <w:r>
              <w:rPr>
                <w:rFonts w:ascii="Times New Roman" w:hAnsi="Times New Roman"/>
                <w:b/>
                <w:color w:val="000000"/>
                <w:sz w:val="21"/>
              </w:rPr>
              <w:t>Member</w:t>
            </w:r>
          </w:p>
        </w:tc>
        <w:tc>
          <w:tcPr>
            <w:tcW w:type="dxa" w:w="3456"/>
            <w:vAlign w:val="center"/>
          </w:tcPr>
          <w:p>
            <w:pPr>
              <w:spacing w:line="252" w:lineRule="auto" w:after="80" w:before="80"/>
            </w:pPr>
            <w:r>
              <w:rPr>
                <w:rFonts w:ascii="Times New Roman" w:hAnsi="Times New Roman"/>
                <w:b/>
                <w:color w:val="000000"/>
                <w:sz w:val="21"/>
              </w:rPr>
              <w:t>Branches and PRs</w:t>
            </w:r>
          </w:p>
        </w:tc>
        <w:tc>
          <w:tcPr>
            <w:tcW w:type="dxa" w:w="3744"/>
            <w:vAlign w:val="center"/>
          </w:tcPr>
          <w:p>
            <w:pPr>
              <w:spacing w:line="252" w:lineRule="auto" w:after="80" w:before="80"/>
            </w:pPr>
            <w:r>
              <w:rPr>
                <w:rFonts w:ascii="Times New Roman" w:hAnsi="Times New Roman"/>
                <w:b/>
                <w:color w:val="000000"/>
                <w:sz w:val="21"/>
              </w:rPr>
              <w:t>Logic and test contribution</w:t>
            </w:r>
          </w:p>
        </w:tc>
      </w:tr>
      <w:tr>
        <w:trPr>
          <w:cantSplit/>
        </w:trPr>
        <w:tc>
          <w:tcPr>
            <w:tcW w:type="dxa" w:w="1728"/>
            <w:vAlign w:val="center"/>
          </w:tcPr>
          <w:p>
            <w:pPr>
              <w:spacing w:line="252" w:lineRule="auto" w:after="80" w:before="80"/>
            </w:pPr>
            <w:r>
              <w:rPr>
                <w:rFonts w:ascii="Times New Roman" w:hAnsi="Times New Roman"/>
                <w:b w:val="0"/>
                <w:color w:val="000000"/>
                <w:sz w:val="21"/>
              </w:rPr>
              <w:t>Amr Kabelma</w:t>
            </w:r>
          </w:p>
        </w:tc>
        <w:tc>
          <w:tcPr>
            <w:tcW w:type="dxa" w:w="3456"/>
            <w:vAlign w:val="center"/>
          </w:tcPr>
          <w:p>
            <w:pPr>
              <w:spacing w:line="252" w:lineRule="auto" w:after="80" w:before="80"/>
            </w:pPr>
            <w:r>
              <w:rPr>
                <w:rFonts w:ascii="Times New Roman" w:hAnsi="Times New Roman"/>
                <w:b w:val="0"/>
                <w:color w:val="000000"/>
                <w:sz w:val="21"/>
              </w:rPr>
              <w:t>feature/temperature; authored PR #1; reviewed PRs #2 and #3.</w:t>
            </w:r>
          </w:p>
        </w:tc>
        <w:tc>
          <w:tcPr>
            <w:tcW w:type="dxa" w:w="3744"/>
            <w:vAlign w:val="center"/>
          </w:tcPr>
          <w:p>
            <w:pPr>
              <w:spacing w:line="252" w:lineRule="auto" w:after="80" w:before="80"/>
            </w:pPr>
            <w:r>
              <w:rPr>
                <w:rFonts w:ascii="Times New Roman" w:hAnsi="Times New Roman"/>
                <w:b w:val="0"/>
                <w:color w:val="000000"/>
                <w:sz w:val="21"/>
              </w:rPr>
              <w:t>Bidirectional Celsius/Fahrenheit conversion; 6 test functions / 21 cases; validation and review feedback.</w:t>
            </w:r>
          </w:p>
        </w:tc>
      </w:tr>
      <w:tr>
        <w:trPr>
          <w:cantSplit/>
        </w:trPr>
        <w:tc>
          <w:tcPr>
            <w:tcW w:type="dxa" w:w="1728"/>
            <w:vAlign w:val="center"/>
          </w:tcPr>
          <w:p>
            <w:pPr>
              <w:spacing w:line="252" w:lineRule="auto" w:after="80" w:before="80"/>
            </w:pPr>
            <w:r>
              <w:rPr>
                <w:rFonts w:ascii="Times New Roman" w:hAnsi="Times New Roman"/>
                <w:b w:val="0"/>
                <w:color w:val="000000"/>
                <w:sz w:val="21"/>
              </w:rPr>
              <w:t>Sara Benslimane</w:t>
            </w:r>
          </w:p>
        </w:tc>
        <w:tc>
          <w:tcPr>
            <w:tcW w:type="dxa" w:w="3456"/>
            <w:vAlign w:val="center"/>
          </w:tcPr>
          <w:p>
            <w:pPr>
              <w:spacing w:line="252" w:lineRule="auto" w:after="80" w:before="80"/>
            </w:pPr>
            <w:r>
              <w:rPr>
                <w:rFonts w:ascii="Times New Roman" w:hAnsi="Times New Roman"/>
                <w:b w:val="0"/>
                <w:color w:val="000000"/>
                <w:sz w:val="21"/>
              </w:rPr>
              <w:t>feature/length; authored PR #2; reviewed PRs #1 and #3.</w:t>
            </w:r>
          </w:p>
        </w:tc>
        <w:tc>
          <w:tcPr>
            <w:tcW w:type="dxa" w:w="3744"/>
            <w:vAlign w:val="center"/>
          </w:tcPr>
          <w:p>
            <w:pPr>
              <w:spacing w:line="252" w:lineRule="auto" w:after="80" w:before="80"/>
            </w:pPr>
            <w:r>
              <w:rPr>
                <w:rFonts w:ascii="Times New Roman" w:hAnsi="Times New Roman"/>
                <w:b w:val="0"/>
                <w:color w:val="000000"/>
                <w:sz w:val="21"/>
              </w:rPr>
              <w:t>Six length conversion functions; 9 test functions / 11 cases; workflow setup and correction; review-requested tests.</w:t>
            </w:r>
          </w:p>
        </w:tc>
      </w:tr>
      <w:tr>
        <w:trPr>
          <w:cantSplit/>
        </w:trPr>
        <w:tc>
          <w:tcPr>
            <w:tcW w:type="dxa" w:w="1728"/>
            <w:vAlign w:val="center"/>
          </w:tcPr>
          <w:p>
            <w:pPr>
              <w:spacing w:line="252" w:lineRule="auto" w:after="80" w:before="80"/>
            </w:pPr>
            <w:r>
              <w:rPr>
                <w:rFonts w:ascii="Times New Roman" w:hAnsi="Times New Roman"/>
                <w:b w:val="0"/>
                <w:color w:val="000000"/>
                <w:sz w:val="21"/>
              </w:rPr>
              <w:t>Mira Negra</w:t>
            </w:r>
          </w:p>
        </w:tc>
        <w:tc>
          <w:tcPr>
            <w:tcW w:type="dxa" w:w="3456"/>
            <w:vAlign w:val="center"/>
          </w:tcPr>
          <w:p>
            <w:pPr>
              <w:spacing w:line="252" w:lineRule="auto" w:after="80" w:before="80"/>
            </w:pPr>
            <w:r>
              <w:rPr>
                <w:rFonts w:ascii="Times New Roman" w:hAnsi="Times New Roman"/>
                <w:b w:val="0"/>
                <w:color w:val="000000"/>
                <w:sz w:val="21"/>
              </w:rPr>
              <w:t>feature/weight and feature/github-pages; authored PRs #3 and #4; approved PRs #1 and #2.</w:t>
            </w:r>
          </w:p>
        </w:tc>
        <w:tc>
          <w:tcPr>
            <w:tcW w:type="dxa" w:w="3744"/>
            <w:vAlign w:val="center"/>
          </w:tcPr>
          <w:p>
            <w:pPr>
              <w:spacing w:line="252" w:lineRule="auto" w:after="80" w:before="80"/>
            </w:pPr>
            <w:r>
              <w:rPr>
                <w:rFonts w:ascii="Times New Roman" w:hAnsi="Times New Roman"/>
                <w:b w:val="0"/>
                <w:color w:val="000000"/>
                <w:sz w:val="21"/>
              </w:rPr>
              <w:t>Four weight conversion functions; 7 test functions / 10 cases; shared validation correction; static project page.</w:t>
            </w:r>
          </w:p>
        </w:tc>
      </w:tr>
    </w:tbl>
    <w:p>
      <w:pPr>
        <w:spacing w:after="0"/>
      </w:pPr>
    </w:p>
    <w:p>
      <w:pPr>
        <w:pStyle w:val="Heading1"/>
      </w:pPr>
      <w:r>
        <w:t>10. Fair Use of AI</w:t>
      </w:r>
    </w:p>
    <w:p>
      <w:pPr>
        <w:keepLines/>
      </w:pPr>
      <w:r>
        <w:rPr>
          <w:b w:val="0"/>
        </w:rPr>
        <w:t>AI assistance was used to draft Amr's temperature functions, validation, tests, and feature notes, and to prepare this report. Prompts concerned converter logic, numeric validation, boundary cases, and test documentation. The temperature draft was checked with pytest, and the group evaluated the work through peer reviews, corrections, local test runs, and Actions results. Sara's length tests and Mira's weight validator were updated in response to review feedback. Each member remains responsible for understanding the code, tests, Git commands, and review actions attributed to their account.</w:t>
      </w:r>
    </w:p>
    <w:p>
      <w:pPr>
        <w:pStyle w:val="Heading1"/>
      </w:pPr>
      <w:r>
        <w:t>11. Sources &amp; Reflection</w:t>
      </w:r>
    </w:p>
    <w:p>
      <w:pPr>
        <w:keepLines/>
        <w:spacing w:line="240" w:lineRule="auto"/>
      </w:pPr>
      <w:r>
        <w:rPr>
          <w:b w:val="0"/>
          <w:sz w:val="21"/>
        </w:rPr>
        <w:t>[1] Course assignment. Assignment 2 - GitHub Collaboration &amp; Automation, including the report template.</w:t>
      </w:r>
    </w:p>
    <w:p>
      <w:pPr>
        <w:keepLines/>
        <w:spacing w:line="240" w:lineRule="auto"/>
      </w:pPr>
      <w:r>
        <w:rPr>
          <w:b w:val="0"/>
          <w:sz w:val="21"/>
        </w:rPr>
        <w:t>[2] Course slides. Session 2 - Collaboration &amp; Automation.</w:t>
      </w:r>
    </w:p>
    <w:p>
      <w:pPr>
        <w:spacing w:line="240" w:lineRule="auto"/>
      </w:pPr>
      <w:hyperlink r:id="rId26">
        <w:r>
          <w:rPr>
            <w:rFonts w:ascii="Times New Roman" w:hAnsi="Times New Roman"/>
            <w:color w:val="000000"/>
            <w:u w:val="single"/>
          </w:rPr>
          <w:t>[3] Project repository, PRs #1 to #4, commit history, and Actions runs.</w:t>
        </w:r>
      </w:hyperlink>
    </w:p>
    <w:p>
      <w:pPr>
        <w:spacing w:line="240" w:lineRule="auto"/>
      </w:pPr>
      <w:hyperlink r:id="rId27">
        <w:r>
          <w:rPr>
            <w:rFonts w:ascii="Times New Roman" w:hAnsi="Times New Roman"/>
            <w:color w:val="000000"/>
            <w:u w:val="single"/>
          </w:rPr>
          <w:t>[4] Temperature feature notes: usage, validation, tests, and AI assistance.</w:t>
        </w:r>
      </w:hyperlink>
    </w:p>
    <w:p>
      <w:pPr>
        <w:spacing w:line="240" w:lineRule="auto"/>
      </w:pPr>
      <w:hyperlink r:id="rId28">
        <w:r>
          <w:rPr>
            <w:rFonts w:ascii="Times New Roman" w:hAnsi="Times New Roman"/>
            <w:color w:val="000000"/>
            <w:u w:val="single"/>
          </w:rPr>
          <w:t>[5] Reference example of a controlled README conflict from a separate unit-converter project.</w:t>
        </w:r>
      </w:hyperlink>
    </w:p>
    <w:p>
      <w:pPr>
        <w:keepLines/>
      </w:pPr>
      <w:r>
        <w:rPr>
          <w:b w:val="0"/>
        </w:rPr>
        <w:t>One difficult integration issue was validating unusual numeric inputs consistently across the converters. Sara's review showed that a negative-value check alone did not reject NaN, so Mira added a shared validator and regression tests. If a test or workflow behaved unexpectedly, the group would first inspect the failing input, the checked-out branch, and the workflow definition. For review or publication problems, the first checks would be the required approvals, the merged file location, and the deployment result.</w:t>
      </w:r>
    </w:p>
    <w:sectPr w:rsidR="00FC693F" w:rsidRPr="0006063C" w:rsidSect="00034616">
      <w:footerReference w:type="default" r:id="rId9"/>
      <w:pgSz w:w="11906" w:h="16838"/>
      <w:pgMar w:top="1440" w:right="1440" w:bottom="1440" w:left="1440" w:header="576" w:footer="576"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Times New Roman" w:hAnsi="Times New Roman" w:eastAsia="Times New Roman"/>
      <w:b w:val="0"/>
      <w:bCs/>
      <w:i/>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eg"/><Relationship Id="rId13" Type="http://schemas.openxmlformats.org/officeDocument/2006/relationships/hyperlink" Target="https://github.com/KBLLL05/unit-converter/pull/2#discussion_r4393728045" TargetMode="Externa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eg"/><Relationship Id="rId19" Type="http://schemas.openxmlformats.org/officeDocument/2006/relationships/hyperlink" Target="https://github.com/KBLLL05/unit-converter/actions/runs/40574729415" TargetMode="External"/><Relationship Id="rId20" Type="http://schemas.openxmlformats.org/officeDocument/2006/relationships/hyperlink" Target="https://github.com/KBLLL05/unit-converter/actions/runs/40576094112" TargetMode="External"/><Relationship Id="rId21" Type="http://schemas.openxmlformats.org/officeDocument/2006/relationships/hyperlink" Target="https://github.com/KBLLL05/unit-converter/actions/runs/40611619519" TargetMode="External"/><Relationship Id="rId22" Type="http://schemas.openxmlformats.org/officeDocument/2006/relationships/image" Target="media/image9.png"/><Relationship Id="rId23" Type="http://schemas.openxmlformats.org/officeDocument/2006/relationships/hyperlink" Target="https://github.com/KBLLL05/unit-converter/rules/25969561" TargetMode="External"/><Relationship Id="rId24" Type="http://schemas.openxmlformats.org/officeDocument/2006/relationships/image" Target="media/image10.png"/><Relationship Id="rId25" Type="http://schemas.openxmlformats.org/officeDocument/2006/relationships/hyperlink" Target="https://github.com/KBLLL05/unit-converter/pull/4" TargetMode="External"/><Relationship Id="rId26" Type="http://schemas.openxmlformats.org/officeDocument/2006/relationships/hyperlink" Target="https://github.com/KBLLL05/unit-converter" TargetMode="External"/><Relationship Id="rId27" Type="http://schemas.openxmlformats.org/officeDocument/2006/relationships/hyperlink" Target="https://github.com/KBLLL05/unit-converter/blob/main/docs/temperature-notes.md" TargetMode="External"/><Relationship Id="rId28" Type="http://schemas.openxmlformats.org/officeDocument/2006/relationships/hyperlink" Target="https://github.com/redaalch/unit-converter/pull/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 Git &amp; GitHub Fundamentals</dc:title>
  <dc:subject>Unit Converter: GitHub Collaboration &amp; Automation</dc:subject>
  <dc:creator>Sara Benslimane; Amr Kabelma; Mira Negra</dc:creator>
  <cp:keywords>Git, GitHub, pytest, GitHub Actions, GitHub Pages</cp:keywords>
  <dc:description/>
  <cp:lastModifiedBy>Sara Benslimane; Amr Kabelma; Mira Negra</cp:lastModifiedBy>
  <cp:revision>1</cp:revision>
  <dcterms:created xsi:type="dcterms:W3CDTF">2026-10-28T01:12:04Z</dcterms:created>
  <dcterms:modified xsi:type="dcterms:W3CDTF">2026-10-28T01:12:04Z</dcterms:modified>
  <cp:category/>
</cp:coreProperties>
</file>